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B7292" w14:textId="77777777" w:rsidR="0043083A" w:rsidRDefault="0043083A" w:rsidP="0038253B">
      <w:pPr>
        <w:pStyle w:val="Zkladntext"/>
        <w:spacing w:after="0"/>
        <w:jc w:val="center"/>
        <w:rPr>
          <w:b/>
          <w:sz w:val="28"/>
          <w:szCs w:val="28"/>
        </w:rPr>
      </w:pPr>
    </w:p>
    <w:p w14:paraId="190CD937" w14:textId="10EBE636" w:rsidR="004D0E65" w:rsidRPr="0038253B" w:rsidRDefault="0038253B" w:rsidP="0038253B">
      <w:pPr>
        <w:pStyle w:val="Zkladntex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Minimální technické požadavky zadavatele</w:t>
      </w:r>
    </w:p>
    <w:p w14:paraId="7CA79F1B" w14:textId="77777777" w:rsidR="0038253B" w:rsidRPr="003F5E82" w:rsidRDefault="0038253B" w:rsidP="0038253B">
      <w:pPr>
        <w:pStyle w:val="Zkladntext"/>
        <w:spacing w:after="0"/>
        <w:jc w:val="center"/>
        <w:rPr>
          <w:b/>
          <w:sz w:val="14"/>
        </w:rPr>
      </w:pPr>
    </w:p>
    <w:p w14:paraId="1D842F6E" w14:textId="68BDFAE5" w:rsidR="009B0832" w:rsidRPr="004573C6" w:rsidRDefault="00721142" w:rsidP="00F159FD">
      <w:pPr>
        <w:pStyle w:val="Odstavecseseznamem"/>
        <w:numPr>
          <w:ilvl w:val="1"/>
          <w:numId w:val="6"/>
        </w:numPr>
        <w:contextualSpacing/>
        <w:jc w:val="both"/>
        <w:rPr>
          <w:rFonts w:cstheme="minorHAnsi"/>
        </w:rPr>
      </w:pPr>
      <w:r w:rsidRPr="001E3F38">
        <w:rPr>
          <w:rFonts w:cstheme="minorHAnsi"/>
        </w:rPr>
        <w:t>Výrobna musí splňovat řešení</w:t>
      </w:r>
      <w:r w:rsidR="009B0832" w:rsidRPr="004573C6">
        <w:rPr>
          <w:rFonts w:cstheme="minorHAnsi"/>
        </w:rPr>
        <w:t>, ve kterých budou instalovány výhradně fotovoltaické moduly, měniče a akumulátory s nezávisle ověřenými parametry prokázanými certifikáty vydanými akreditovanými certifikačními orgány na základě níže uvedených souborů norem:</w:t>
      </w:r>
    </w:p>
    <w:p w14:paraId="731C534B" w14:textId="77777777" w:rsidR="009B0832" w:rsidRPr="004573C6" w:rsidRDefault="009B0832" w:rsidP="009B0832">
      <w:pPr>
        <w:pStyle w:val="Odstavecseseznamem"/>
        <w:ind w:left="1440"/>
        <w:jc w:val="both"/>
        <w:rPr>
          <w:rFonts w:cstheme="minorHAnsi"/>
        </w:rPr>
      </w:pPr>
    </w:p>
    <w:tbl>
      <w:tblPr>
        <w:tblStyle w:val="Mkatabulky"/>
        <w:tblW w:w="0" w:type="auto"/>
        <w:tblInd w:w="1440" w:type="dxa"/>
        <w:tblLook w:val="04A0" w:firstRow="1" w:lastRow="0" w:firstColumn="1" w:lastColumn="0" w:noHBand="0" w:noVBand="1"/>
      </w:tblPr>
      <w:tblGrid>
        <w:gridCol w:w="2748"/>
        <w:gridCol w:w="4992"/>
      </w:tblGrid>
      <w:tr w:rsidR="009B0832" w:rsidRPr="004573C6" w14:paraId="12076549" w14:textId="77777777" w:rsidTr="009B0832">
        <w:tc>
          <w:tcPr>
            <w:tcW w:w="2748" w:type="dxa"/>
            <w:shd w:val="clear" w:color="auto" w:fill="DBE5F1" w:themeFill="accent1" w:themeFillTint="33"/>
          </w:tcPr>
          <w:p w14:paraId="20B45743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  <w:r w:rsidRPr="004573C6">
              <w:rPr>
                <w:rFonts w:cstheme="minorHAnsi"/>
                <w:b/>
              </w:rPr>
              <w:t>Technologie</w:t>
            </w:r>
          </w:p>
        </w:tc>
        <w:tc>
          <w:tcPr>
            <w:tcW w:w="4992" w:type="dxa"/>
            <w:shd w:val="clear" w:color="auto" w:fill="DBE5F1" w:themeFill="accent1" w:themeFillTint="33"/>
          </w:tcPr>
          <w:p w14:paraId="41847849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Soubory norem (je-li relevantní) </w:t>
            </w:r>
          </w:p>
        </w:tc>
      </w:tr>
      <w:tr w:rsidR="009B0832" w:rsidRPr="004573C6" w14:paraId="579E3F4E" w14:textId="77777777" w:rsidTr="009B0832">
        <w:tc>
          <w:tcPr>
            <w:tcW w:w="2748" w:type="dxa"/>
          </w:tcPr>
          <w:p w14:paraId="40C5500D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Fotovoltaické moduly </w:t>
            </w:r>
          </w:p>
        </w:tc>
        <w:tc>
          <w:tcPr>
            <w:tcW w:w="4992" w:type="dxa"/>
          </w:tcPr>
          <w:p w14:paraId="6C9CD4D7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IEC 61215, IEC 61730 </w:t>
            </w:r>
          </w:p>
        </w:tc>
      </w:tr>
      <w:tr w:rsidR="009B0832" w:rsidRPr="004573C6" w14:paraId="06B2134C" w14:textId="77777777" w:rsidTr="009B0832">
        <w:tc>
          <w:tcPr>
            <w:tcW w:w="2748" w:type="dxa"/>
          </w:tcPr>
          <w:p w14:paraId="6CEF6F45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Měniče </w:t>
            </w:r>
          </w:p>
        </w:tc>
        <w:tc>
          <w:tcPr>
            <w:tcW w:w="4992" w:type="dxa"/>
          </w:tcPr>
          <w:p w14:paraId="388CA566" w14:textId="12DFB5C5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IEC 61727, IEC 62116</w:t>
            </w:r>
            <w:r w:rsidR="00721142">
              <w:rPr>
                <w:rFonts w:asciiTheme="minorHAnsi" w:hAnsiTheme="minorHAnsi" w:cstheme="minorHAnsi"/>
                <w:sz w:val="22"/>
                <w:szCs w:val="22"/>
              </w:rPr>
              <w:t xml:space="preserve"> nebo EN 50549-1/EN50549-2</w:t>
            </w: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B0832" w:rsidRPr="004573C6" w14:paraId="1E8F0587" w14:textId="77777777" w:rsidTr="009B0832">
        <w:tc>
          <w:tcPr>
            <w:tcW w:w="2748" w:type="dxa"/>
          </w:tcPr>
          <w:p w14:paraId="789B0AE5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Elektrické akumulátory </w:t>
            </w:r>
          </w:p>
        </w:tc>
        <w:tc>
          <w:tcPr>
            <w:tcW w:w="4992" w:type="dxa"/>
          </w:tcPr>
          <w:p w14:paraId="6EFDED8C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dle typu akumulátoru (pro nejčastější lithiové akumulátory IEC 63056:2020 nebo IEC 62619:2017 nebo IEC 62620:2014) </w:t>
            </w:r>
          </w:p>
        </w:tc>
      </w:tr>
    </w:tbl>
    <w:p w14:paraId="6FD3D4A5" w14:textId="77777777" w:rsidR="009B0832" w:rsidRPr="004573C6" w:rsidRDefault="009B0832" w:rsidP="009B0832">
      <w:pPr>
        <w:pStyle w:val="Odstavecseseznamem"/>
        <w:ind w:left="1440"/>
        <w:jc w:val="both"/>
        <w:rPr>
          <w:rFonts w:cstheme="minorHAnsi"/>
        </w:rPr>
      </w:pPr>
    </w:p>
    <w:p w14:paraId="2C91BE85" w14:textId="183A2C16" w:rsidR="009B0832" w:rsidRPr="004573C6" w:rsidRDefault="00721142" w:rsidP="009B0832">
      <w:pPr>
        <w:pStyle w:val="Odstavecseseznamem"/>
        <w:numPr>
          <w:ilvl w:val="1"/>
          <w:numId w:val="6"/>
        </w:numPr>
        <w:contextualSpacing/>
        <w:jc w:val="both"/>
        <w:rPr>
          <w:rFonts w:cstheme="minorHAnsi"/>
        </w:rPr>
      </w:pPr>
      <w:r>
        <w:rPr>
          <w:rFonts w:cstheme="minorHAnsi"/>
        </w:rPr>
        <w:t>Instalované</w:t>
      </w:r>
      <w:r w:rsidR="009B0832" w:rsidRPr="004573C6">
        <w:rPr>
          <w:rFonts w:cstheme="minorHAnsi"/>
        </w:rPr>
        <w:t xml:space="preserve"> fotovoltaické moduly a měniče musí dosahovat minimálně níže uvedených účinností:</w:t>
      </w:r>
    </w:p>
    <w:tbl>
      <w:tblPr>
        <w:tblStyle w:val="Mkatabulky"/>
        <w:tblW w:w="0" w:type="auto"/>
        <w:tblInd w:w="1440" w:type="dxa"/>
        <w:tblLook w:val="04A0" w:firstRow="1" w:lastRow="0" w:firstColumn="1" w:lastColumn="0" w:noHBand="0" w:noVBand="1"/>
      </w:tblPr>
      <w:tblGrid>
        <w:gridCol w:w="2779"/>
        <w:gridCol w:w="4961"/>
      </w:tblGrid>
      <w:tr w:rsidR="009B0832" w:rsidRPr="004573C6" w14:paraId="168F6B7D" w14:textId="77777777" w:rsidTr="009B0832">
        <w:tc>
          <w:tcPr>
            <w:tcW w:w="2779" w:type="dxa"/>
            <w:shd w:val="clear" w:color="auto" w:fill="DBE5F1" w:themeFill="accent1" w:themeFillTint="33"/>
          </w:tcPr>
          <w:p w14:paraId="6E46C277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Technologie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2B9F3A61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Minimální účinnost </w:t>
            </w:r>
          </w:p>
        </w:tc>
      </w:tr>
      <w:tr w:rsidR="009B0832" w:rsidRPr="004573C6" w14:paraId="771A33A9" w14:textId="77777777" w:rsidTr="009B0832">
        <w:tc>
          <w:tcPr>
            <w:tcW w:w="2779" w:type="dxa"/>
          </w:tcPr>
          <w:p w14:paraId="171B627E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Fotovoltaické moduly při standardních testovacích podmínkách (STC) </w:t>
            </w:r>
          </w:p>
          <w:p w14:paraId="109E4B93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14:paraId="23C60B0A" w14:textId="481DB5F0" w:rsidR="009B0832" w:rsidRPr="004573C6" w:rsidRDefault="0072114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,0 % pro </w:t>
            </w:r>
            <w:proofErr w:type="spellStart"/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>monofaciální</w:t>
            </w:r>
            <w:proofErr w:type="spellEnd"/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moduly z monokrystalického křemíku, </w:t>
            </w:r>
          </w:p>
          <w:p w14:paraId="7FA240CA" w14:textId="6143D9F0" w:rsidR="009B0832" w:rsidRPr="004573C6" w:rsidRDefault="0072114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,0 % pro </w:t>
            </w:r>
            <w:proofErr w:type="spellStart"/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>monofaciální</w:t>
            </w:r>
            <w:proofErr w:type="spellEnd"/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moduly z </w:t>
            </w:r>
            <w:proofErr w:type="spellStart"/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>multikrystalického</w:t>
            </w:r>
            <w:proofErr w:type="spellEnd"/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křemíku, </w:t>
            </w:r>
          </w:p>
          <w:p w14:paraId="0E9C9480" w14:textId="36F6A23A" w:rsidR="009B0832" w:rsidRPr="004573C6" w:rsidRDefault="0072114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,0 % pro bifaciální moduly při </w:t>
            </w:r>
            <w:r w:rsidR="001E3F38" w:rsidRPr="004573C6">
              <w:rPr>
                <w:rFonts w:asciiTheme="minorHAnsi" w:hAnsiTheme="minorHAnsi" w:cstheme="minorHAnsi"/>
                <w:sz w:val="22"/>
                <w:szCs w:val="22"/>
              </w:rPr>
              <w:t>0 %</w:t>
            </w:r>
            <w:r w:rsidR="009B0832"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bifaciálním zisku, </w:t>
            </w:r>
          </w:p>
          <w:p w14:paraId="27F9A394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12,0 % pro tenkovrstvé moduly, </w:t>
            </w:r>
          </w:p>
          <w:p w14:paraId="2F053DA2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nestanoveno pro speciální výrobky a použití. </w:t>
            </w:r>
          </w:p>
        </w:tc>
      </w:tr>
      <w:tr w:rsidR="009B0832" w:rsidRPr="004573C6" w14:paraId="7281D871" w14:textId="77777777" w:rsidTr="009B0832">
        <w:tc>
          <w:tcPr>
            <w:tcW w:w="2779" w:type="dxa"/>
          </w:tcPr>
          <w:p w14:paraId="433CC2FF" w14:textId="77777777" w:rsidR="009B0832" w:rsidRPr="004573C6" w:rsidRDefault="009B0832" w:rsidP="00350A63">
            <w:pPr>
              <w:pStyle w:val="Odstavecseseznamem"/>
              <w:spacing w:after="0"/>
              <w:jc w:val="both"/>
              <w:rPr>
                <w:rFonts w:cstheme="minorHAnsi"/>
                <w:b/>
              </w:rPr>
            </w:pPr>
            <w:r w:rsidRPr="004573C6">
              <w:rPr>
                <w:rFonts w:cstheme="minorHAnsi"/>
                <w:b/>
              </w:rPr>
              <w:t>Měniče</w:t>
            </w:r>
          </w:p>
        </w:tc>
        <w:tc>
          <w:tcPr>
            <w:tcW w:w="4961" w:type="dxa"/>
          </w:tcPr>
          <w:p w14:paraId="0D1179FF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97,0 % (Euro účinnost) </w:t>
            </w:r>
          </w:p>
        </w:tc>
      </w:tr>
      <w:tr w:rsidR="00721142" w:rsidRPr="004573C6" w14:paraId="02EE0B74" w14:textId="77777777" w:rsidTr="009B0832">
        <w:tc>
          <w:tcPr>
            <w:tcW w:w="2779" w:type="dxa"/>
          </w:tcPr>
          <w:p w14:paraId="670D4E63" w14:textId="2862D8B1" w:rsidR="00721142" w:rsidRPr="004573C6" w:rsidRDefault="00721142" w:rsidP="00350A63">
            <w:pPr>
              <w:pStyle w:val="Odstavecseseznamem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Elektrolyzéry</w:t>
            </w:r>
          </w:p>
        </w:tc>
        <w:tc>
          <w:tcPr>
            <w:tcW w:w="4961" w:type="dxa"/>
          </w:tcPr>
          <w:p w14:paraId="04852521" w14:textId="788CBE82" w:rsidR="00721142" w:rsidRPr="00721142" w:rsidRDefault="0072114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Minimální hodinová produkce vodíku 5Nm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/h</w:t>
            </w:r>
          </w:p>
        </w:tc>
      </w:tr>
    </w:tbl>
    <w:p w14:paraId="7A5958B7" w14:textId="77777777" w:rsidR="009B0832" w:rsidRPr="004573C6" w:rsidRDefault="009B0832" w:rsidP="009B0832">
      <w:pPr>
        <w:jc w:val="both"/>
        <w:rPr>
          <w:rFonts w:cstheme="minorHAnsi"/>
        </w:rPr>
      </w:pPr>
    </w:p>
    <w:p w14:paraId="50AD5373" w14:textId="77777777" w:rsidR="009B0832" w:rsidRPr="004573C6" w:rsidRDefault="009B0832" w:rsidP="009B0832">
      <w:pPr>
        <w:pStyle w:val="Odstavecseseznamem"/>
        <w:numPr>
          <w:ilvl w:val="1"/>
          <w:numId w:val="6"/>
        </w:numPr>
        <w:contextualSpacing/>
        <w:jc w:val="both"/>
        <w:rPr>
          <w:rFonts w:cstheme="minorHAnsi"/>
        </w:rPr>
      </w:pPr>
      <w:r w:rsidRPr="004573C6">
        <w:rPr>
          <w:rFonts w:cstheme="minorHAnsi"/>
        </w:rPr>
        <w:t>Při realizaci mohou být použity výhradně komponenty s garantovanou životností:</w:t>
      </w:r>
    </w:p>
    <w:tbl>
      <w:tblPr>
        <w:tblStyle w:val="Mkatabulky"/>
        <w:tblW w:w="0" w:type="auto"/>
        <w:tblInd w:w="1440" w:type="dxa"/>
        <w:tblLook w:val="04A0" w:firstRow="1" w:lastRow="0" w:firstColumn="1" w:lastColumn="0" w:noHBand="0" w:noVBand="1"/>
      </w:tblPr>
      <w:tblGrid>
        <w:gridCol w:w="2779"/>
        <w:gridCol w:w="4961"/>
      </w:tblGrid>
      <w:tr w:rsidR="009B0832" w:rsidRPr="004573C6" w14:paraId="082C4647" w14:textId="77777777" w:rsidTr="00281B1C">
        <w:tc>
          <w:tcPr>
            <w:tcW w:w="2779" w:type="dxa"/>
            <w:shd w:val="clear" w:color="auto" w:fill="DBE5F1" w:themeFill="accent1" w:themeFillTint="33"/>
          </w:tcPr>
          <w:p w14:paraId="24673D11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Technologie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279E8A4C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Požadované zajištění životnosti</w:t>
            </w:r>
          </w:p>
        </w:tc>
      </w:tr>
      <w:tr w:rsidR="009B0832" w:rsidRPr="004573C6" w14:paraId="117AF5E9" w14:textId="77777777" w:rsidTr="00281B1C">
        <w:tc>
          <w:tcPr>
            <w:tcW w:w="2779" w:type="dxa"/>
          </w:tcPr>
          <w:p w14:paraId="2590BBE8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Fotovoltaické moduly </w:t>
            </w:r>
          </w:p>
          <w:p w14:paraId="3C8569E8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14:paraId="653CACB7" w14:textId="6F06155D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min. 2</w:t>
            </w:r>
            <w:r w:rsidR="00281B1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letá lineární záruka na výkon s max. poklesem na 80 % původního výkonu garantovanou výrobcem </w:t>
            </w:r>
          </w:p>
          <w:p w14:paraId="63BAD49A" w14:textId="43B23A3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min. 1</w:t>
            </w:r>
            <w:r w:rsidR="00281B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letá produktová záruka garantovaná výrobcem </w:t>
            </w:r>
          </w:p>
        </w:tc>
      </w:tr>
      <w:tr w:rsidR="009B0832" w:rsidRPr="004573C6" w14:paraId="3F29D817" w14:textId="77777777" w:rsidTr="00281B1C">
        <w:tc>
          <w:tcPr>
            <w:tcW w:w="2779" w:type="dxa"/>
          </w:tcPr>
          <w:p w14:paraId="35389694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Měniče </w:t>
            </w:r>
          </w:p>
          <w:p w14:paraId="56F588AD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14:paraId="248937AE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záruka výrobce či dodavatele trvající min. 10 let na jeho bezodkladnou výměnu či adekvátní náhradu v případě poruchy či poškození </w:t>
            </w:r>
          </w:p>
        </w:tc>
      </w:tr>
      <w:tr w:rsidR="009B0832" w:rsidRPr="004573C6" w14:paraId="4A34CAB7" w14:textId="77777777" w:rsidTr="00281B1C">
        <w:tc>
          <w:tcPr>
            <w:tcW w:w="2779" w:type="dxa"/>
          </w:tcPr>
          <w:p w14:paraId="4353C7F1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Elektrické akumulátory </w:t>
            </w:r>
          </w:p>
          <w:p w14:paraId="002A3D60" w14:textId="77777777"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14:paraId="6F8130AA" w14:textId="77777777"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záruka s max. poklesem na 60 % nominální kapacity po 10 letech provozu, nebo dosažení min. 2400násobku nominální energie (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Energy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Throughput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81B1C" w:rsidRPr="004573C6" w14:paraId="34E9D96B" w14:textId="77777777" w:rsidTr="00281B1C">
        <w:tc>
          <w:tcPr>
            <w:tcW w:w="2779" w:type="dxa"/>
          </w:tcPr>
          <w:p w14:paraId="05266FA1" w14:textId="4396CC3F" w:rsidR="00281B1C" w:rsidRPr="004573C6" w:rsidRDefault="00281B1C" w:rsidP="00B26C4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>Elektr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olyzér</w:t>
            </w:r>
          </w:p>
          <w:p w14:paraId="2E95247E" w14:textId="77777777" w:rsidR="00281B1C" w:rsidRPr="004573C6" w:rsidRDefault="00281B1C" w:rsidP="00B26C48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14:paraId="2AA5C7AC" w14:textId="2ED37855" w:rsidR="00281B1C" w:rsidRPr="004573C6" w:rsidRDefault="00281B1C" w:rsidP="00B26C4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Záruka výrobce či dodavatele na minimálně 15 000 provozních hodin nebo min. 5 let provozu na jeho bezodkladnou opravu, výměnu či adekvátní náhradu v případě poruchy nebo poškození</w:t>
            </w:r>
          </w:p>
        </w:tc>
      </w:tr>
    </w:tbl>
    <w:p w14:paraId="6651B85A" w14:textId="77777777" w:rsidR="009553F5" w:rsidRDefault="009553F5" w:rsidP="009553F5">
      <w:pPr>
        <w:pStyle w:val="Default"/>
      </w:pPr>
    </w:p>
    <w:p w14:paraId="722CCE08" w14:textId="77777777" w:rsidR="00281B1C" w:rsidRDefault="00281B1C" w:rsidP="009553F5">
      <w:pPr>
        <w:pStyle w:val="Default"/>
      </w:pPr>
    </w:p>
    <w:p w14:paraId="755D10EF" w14:textId="77777777" w:rsidR="00281B1C" w:rsidRDefault="00281B1C" w:rsidP="009553F5">
      <w:pPr>
        <w:pStyle w:val="Default"/>
      </w:pPr>
    </w:p>
    <w:p w14:paraId="681A47C8" w14:textId="77777777" w:rsidR="009553F5" w:rsidRDefault="009553F5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9553F5">
        <w:rPr>
          <w:rFonts w:cstheme="minorHAnsi"/>
        </w:rPr>
        <w:lastRenderedPageBreak/>
        <w:t xml:space="preserve">Instalované měniče musí být vybaveny plynulou, nebo diskrétní řiditelností dodávaného výkonu do elektrizační soustavy umožňující změnu dodávaného výkonu výrobny. </w:t>
      </w:r>
    </w:p>
    <w:p w14:paraId="308EF0D0" w14:textId="326437C6" w:rsidR="00281B1C" w:rsidRDefault="00281B1C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281B1C">
        <w:rPr>
          <w:rFonts w:cstheme="minorHAnsi"/>
        </w:rPr>
        <w:t xml:space="preserve">V případě vybudování systému bateriové akumulace je minimální podporovaná využitelná kapacita vyjádřená v kWh stanovena na </w:t>
      </w:r>
      <w:proofErr w:type="gramStart"/>
      <w:r w:rsidRPr="00281B1C">
        <w:rPr>
          <w:rFonts w:cstheme="minorHAnsi"/>
        </w:rPr>
        <w:t>0,2 násobek</w:t>
      </w:r>
      <w:proofErr w:type="gramEnd"/>
      <w:r w:rsidRPr="00281B1C">
        <w:rPr>
          <w:rFonts w:cstheme="minorHAnsi"/>
        </w:rPr>
        <w:t xml:space="preserve"> a maximální podporovaná využitelná kapacita na 1 násobek podporovaného instalovaného špičkového výkonu přímo připojené FVE. V případě překročení maximální podporované využitelné kapacity je dotace poměrově krácena. </w:t>
      </w:r>
    </w:p>
    <w:p w14:paraId="48088286" w14:textId="4FA868ED" w:rsidR="0038253B" w:rsidRDefault="00281B1C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281B1C">
        <w:rPr>
          <w:rFonts w:cstheme="minorHAnsi"/>
        </w:rPr>
        <w:t xml:space="preserve"> V případě bateriové akumulace s technologií na bázi olova nebo </w:t>
      </w:r>
      <w:proofErr w:type="spellStart"/>
      <w:r w:rsidRPr="00281B1C">
        <w:rPr>
          <w:rFonts w:cstheme="minorHAnsi"/>
        </w:rPr>
        <w:t>NiCd</w:t>
      </w:r>
      <w:proofErr w:type="spellEnd"/>
      <w:r w:rsidRPr="00281B1C">
        <w:rPr>
          <w:rFonts w:cstheme="minorHAnsi"/>
        </w:rPr>
        <w:t xml:space="preserve">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 </w:t>
      </w:r>
    </w:p>
    <w:p w14:paraId="2CD71637" w14:textId="46F477E5" w:rsidR="0038253B" w:rsidRDefault="00281B1C" w:rsidP="0038253B">
      <w:pPr>
        <w:pStyle w:val="Odstavecseseznamem"/>
        <w:numPr>
          <w:ilvl w:val="0"/>
          <w:numId w:val="17"/>
        </w:numPr>
        <w:contextualSpacing/>
        <w:jc w:val="both"/>
        <w:rPr>
          <w:rFonts w:cstheme="minorHAnsi"/>
        </w:rPr>
      </w:pPr>
      <w:proofErr w:type="spellStart"/>
      <w:r w:rsidRPr="00281B1C">
        <w:rPr>
          <w:rFonts w:cstheme="minorHAnsi"/>
        </w:rPr>
        <w:t>NiCd</w:t>
      </w:r>
      <w:proofErr w:type="spellEnd"/>
      <w:r w:rsidRPr="00281B1C">
        <w:rPr>
          <w:rFonts w:cstheme="minorHAnsi"/>
        </w:rPr>
        <w:t xml:space="preserve"> baterie min. 75 % celkově a 99 % pro Cd, </w:t>
      </w:r>
    </w:p>
    <w:p w14:paraId="76E34CA0" w14:textId="77777777" w:rsidR="00732889" w:rsidRDefault="00281B1C" w:rsidP="0038253B">
      <w:pPr>
        <w:pStyle w:val="Odstavecseseznamem"/>
        <w:numPr>
          <w:ilvl w:val="0"/>
          <w:numId w:val="17"/>
        </w:numPr>
        <w:contextualSpacing/>
        <w:jc w:val="both"/>
        <w:rPr>
          <w:rFonts w:cstheme="minorHAnsi"/>
        </w:rPr>
      </w:pPr>
      <w:r w:rsidRPr="00281B1C">
        <w:rPr>
          <w:rFonts w:cstheme="minorHAnsi"/>
        </w:rPr>
        <w:t xml:space="preserve">baterie na bázi olova min. 65 % celkově a 97 % pro </w:t>
      </w:r>
      <w:proofErr w:type="spellStart"/>
      <w:r w:rsidRPr="00281B1C">
        <w:rPr>
          <w:rFonts w:cstheme="minorHAnsi"/>
        </w:rPr>
        <w:t>Pb</w:t>
      </w:r>
      <w:proofErr w:type="spellEnd"/>
      <w:r w:rsidRPr="00281B1C">
        <w:rPr>
          <w:rFonts w:cstheme="minorHAnsi"/>
        </w:rPr>
        <w:t xml:space="preserve">. </w:t>
      </w:r>
    </w:p>
    <w:p w14:paraId="383479C2" w14:textId="2BA8697B" w:rsidR="00281B1C" w:rsidRPr="00732889" w:rsidRDefault="00281B1C" w:rsidP="00732889">
      <w:pPr>
        <w:ind w:left="1812"/>
        <w:contextualSpacing/>
        <w:jc w:val="both"/>
        <w:rPr>
          <w:rFonts w:cstheme="minorHAnsi"/>
        </w:rPr>
      </w:pPr>
      <w:r w:rsidRPr="00732889">
        <w:rPr>
          <w:rFonts w:cstheme="minorHAnsi"/>
        </w:rPr>
        <w:t xml:space="preserve">Pro ostatní technologie (např. lithium, </w:t>
      </w:r>
      <w:proofErr w:type="spellStart"/>
      <w:r w:rsidRPr="00732889">
        <w:rPr>
          <w:rFonts w:cstheme="minorHAnsi"/>
        </w:rPr>
        <w:t>NiMH</w:t>
      </w:r>
      <w:proofErr w:type="spellEnd"/>
      <w:r w:rsidRPr="00732889">
        <w:rPr>
          <w:rFonts w:cstheme="minorHAnsi"/>
        </w:rPr>
        <w:t xml:space="preserve">) není prokázání způsobu následné likvidace bateriového systému požadováno. </w:t>
      </w:r>
    </w:p>
    <w:p w14:paraId="4C94ECA5" w14:textId="1E9769F1" w:rsidR="00281B1C" w:rsidRDefault="00281B1C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281B1C">
        <w:rPr>
          <w:rFonts w:cstheme="minorHAnsi"/>
        </w:rPr>
        <w:t xml:space="preserve"> Kvalita výsledného vodíku musí splňovat požadavky normy ČSN ISO 14687 </w:t>
      </w:r>
    </w:p>
    <w:p w14:paraId="31D54874" w14:textId="31C0ACE6" w:rsidR="00281B1C" w:rsidRDefault="00281B1C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281B1C">
        <w:rPr>
          <w:rFonts w:cstheme="minorHAnsi"/>
        </w:rPr>
        <w:t xml:space="preserve"> Výstupní přetlak vodíku musí být minimálně 1 bar(g). </w:t>
      </w:r>
    </w:p>
    <w:p w14:paraId="3C1B1912" w14:textId="258F821D" w:rsidR="00281B1C" w:rsidRDefault="00281B1C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281B1C">
        <w:rPr>
          <w:rFonts w:cstheme="minorHAnsi"/>
        </w:rPr>
        <w:t xml:space="preserve"> V elektrolyzéry nesmí vznikat při výrobě vodíku skleníkové plyny. </w:t>
      </w:r>
    </w:p>
    <w:p w14:paraId="2760013F" w14:textId="360E7369" w:rsidR="0038253B" w:rsidRPr="00732889" w:rsidRDefault="00732889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  <w:strike/>
        </w:rPr>
      </w:pPr>
      <w:r w:rsidRPr="001E3F38">
        <w:rPr>
          <w:rFonts w:cstheme="minorHAnsi"/>
        </w:rPr>
        <w:t xml:space="preserve">Elektrolyzér musí splňovat </w:t>
      </w:r>
      <w:r w:rsidR="001E3F38" w:rsidRPr="001E3F38">
        <w:rPr>
          <w:rFonts w:cstheme="minorHAnsi"/>
        </w:rPr>
        <w:t>podmínku – systémy</w:t>
      </w:r>
      <w:r w:rsidR="00281B1C" w:rsidRPr="00281B1C">
        <w:rPr>
          <w:rFonts w:cstheme="minorHAnsi"/>
        </w:rPr>
        <w:t xml:space="preserve"> s hodinovou výrobou v rozsahu min. 5 Nm3/h a max. 1000 Nm3/h. Zároveň platí, že minimální</w:t>
      </w:r>
      <w:r w:rsidR="001E3F38">
        <w:rPr>
          <w:rFonts w:cstheme="minorHAnsi"/>
        </w:rPr>
        <w:t xml:space="preserve"> </w:t>
      </w:r>
      <w:r w:rsidR="00281B1C" w:rsidRPr="00281B1C">
        <w:rPr>
          <w:rFonts w:cstheme="minorHAnsi"/>
        </w:rPr>
        <w:t xml:space="preserve">výkon elektrolyzéru je </w:t>
      </w:r>
      <w:r w:rsidR="001E3F38" w:rsidRPr="00281B1C">
        <w:rPr>
          <w:rFonts w:cstheme="minorHAnsi"/>
        </w:rPr>
        <w:t>0,1násobek</w:t>
      </w:r>
      <w:r w:rsidR="00281B1C" w:rsidRPr="00281B1C">
        <w:rPr>
          <w:rFonts w:cstheme="minorHAnsi"/>
        </w:rPr>
        <w:t xml:space="preserve"> a maximální výkon elektrolyzéru je </w:t>
      </w:r>
      <w:r w:rsidR="001E3F38" w:rsidRPr="00281B1C">
        <w:rPr>
          <w:rFonts w:cstheme="minorHAnsi"/>
        </w:rPr>
        <w:t>0,6násobek</w:t>
      </w:r>
      <w:r w:rsidR="00281B1C" w:rsidRPr="00281B1C">
        <w:rPr>
          <w:rFonts w:cstheme="minorHAnsi"/>
        </w:rPr>
        <w:t xml:space="preserve"> instalovaného špičkového výkonu přímo připojené FVE</w:t>
      </w:r>
      <w:r w:rsidR="00141CAF">
        <w:rPr>
          <w:rFonts w:cstheme="minorHAnsi"/>
        </w:rPr>
        <w:t>.</w:t>
      </w:r>
      <w:r w:rsidR="00281B1C" w:rsidRPr="00281B1C">
        <w:rPr>
          <w:rFonts w:cstheme="minorHAnsi"/>
        </w:rPr>
        <w:t xml:space="preserve"> </w:t>
      </w:r>
    </w:p>
    <w:p w14:paraId="55DE4960" w14:textId="54A2CDCB" w:rsidR="00281B1C" w:rsidRDefault="00281B1C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281B1C">
        <w:rPr>
          <w:rFonts w:cstheme="minorHAnsi"/>
        </w:rPr>
        <w:t>Celková kapacita akumulace a výroby vodíku nesmí přesáhnout souhrnný výkon přímo připojené FVE. Pokud celková kapacita akumulace a výroby vodíku překročí souhrnný výkon přímo připojené FVE, bude dotace na elektrolyzér poměrově snížena.</w:t>
      </w:r>
    </w:p>
    <w:sectPr w:rsidR="00281B1C" w:rsidSect="00E61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20" w:right="853" w:bottom="280" w:left="800" w:header="79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8DF62" w14:textId="77777777" w:rsidR="00987945" w:rsidRDefault="00987945" w:rsidP="0078278A">
      <w:r>
        <w:separator/>
      </w:r>
    </w:p>
  </w:endnote>
  <w:endnote w:type="continuationSeparator" w:id="0">
    <w:p w14:paraId="5686392C" w14:textId="77777777" w:rsidR="00987945" w:rsidRDefault="00987945" w:rsidP="007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7E3F0" w14:textId="77777777" w:rsidR="00E61C5A" w:rsidRDefault="00E6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75A14" w14:textId="77777777" w:rsidR="00E61C5A" w:rsidRDefault="00E61C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6FA01" w14:textId="77777777" w:rsidR="00E61C5A" w:rsidRDefault="00E6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25672" w14:textId="77777777" w:rsidR="00987945" w:rsidRDefault="00987945" w:rsidP="0078278A">
      <w:r>
        <w:separator/>
      </w:r>
    </w:p>
  </w:footnote>
  <w:footnote w:type="continuationSeparator" w:id="0">
    <w:p w14:paraId="13A7EC6D" w14:textId="77777777" w:rsidR="00987945" w:rsidRDefault="00987945" w:rsidP="0078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1776C" w14:textId="77777777" w:rsidR="00E61C5A" w:rsidRDefault="00E61C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F1E8" w14:textId="6949C3A7" w:rsidR="00E61C5A" w:rsidRPr="00DF48FC" w:rsidRDefault="00E61C5A" w:rsidP="00E61C5A">
    <w:pPr>
      <w:pStyle w:val="Zhlav"/>
      <w:rPr>
        <w:rFonts w:cstheme="minorHAnsi"/>
        <w:bCs/>
      </w:rPr>
    </w:pPr>
    <w:r w:rsidRPr="00DF48FC">
      <w:rPr>
        <w:rFonts w:cstheme="minorHAnsi"/>
        <w:bCs/>
      </w:rPr>
      <w:t>Fotovoltaický systém na administrativní budově TSMP</w:t>
    </w:r>
  </w:p>
  <w:p w14:paraId="553B47F7" w14:textId="77777777" w:rsidR="00E61C5A" w:rsidRPr="00DF48FC" w:rsidRDefault="00E61C5A" w:rsidP="00E61C5A">
    <w:pPr>
      <w:pStyle w:val="Zhlav"/>
      <w:rPr>
        <w:rFonts w:cstheme="minorHAnsi"/>
        <w:bCs/>
      </w:rPr>
    </w:pPr>
    <w:r w:rsidRPr="00DF48FC">
      <w:rPr>
        <w:rFonts w:cstheme="minorHAnsi"/>
        <w:bCs/>
      </w:rPr>
      <w:t>P</w:t>
    </w:r>
    <w:r>
      <w:rPr>
        <w:rFonts w:cstheme="minorHAnsi"/>
        <w:bCs/>
      </w:rPr>
      <w:t>ř</w:t>
    </w:r>
    <w:r w:rsidRPr="00DF48FC">
      <w:rPr>
        <w:rFonts w:cstheme="minorHAnsi"/>
        <w:bCs/>
      </w:rPr>
      <w:t>íloha č.</w:t>
    </w:r>
    <w:r>
      <w:rPr>
        <w:rFonts w:cstheme="minorHAnsi"/>
        <w:bCs/>
      </w:rPr>
      <w:t>4</w:t>
    </w:r>
    <w:r w:rsidRPr="00DF48FC">
      <w:rPr>
        <w:rFonts w:cstheme="minorHAnsi"/>
        <w:bCs/>
      </w:rPr>
      <w:t xml:space="preserve"> – T</w:t>
    </w:r>
    <w:r>
      <w:rPr>
        <w:rFonts w:cstheme="minorHAnsi"/>
        <w:bCs/>
      </w:rPr>
      <w:t>echnické požadavky zadavatele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F7A6E" w14:textId="77777777" w:rsidR="00E61C5A" w:rsidRDefault="00E61C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A8E13C6"/>
    <w:multiLevelType w:val="hybridMultilevel"/>
    <w:tmpl w:val="569793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C65F93"/>
    <w:multiLevelType w:val="hybridMultilevel"/>
    <w:tmpl w:val="C6EE3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06EE"/>
    <w:multiLevelType w:val="hybridMultilevel"/>
    <w:tmpl w:val="0FEC1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562B2"/>
    <w:multiLevelType w:val="hybridMultilevel"/>
    <w:tmpl w:val="3D1487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0926B6"/>
    <w:multiLevelType w:val="hybridMultilevel"/>
    <w:tmpl w:val="0DD895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28FF5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E87"/>
    <w:multiLevelType w:val="hybridMultilevel"/>
    <w:tmpl w:val="5114F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A6072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1C7F6"/>
    <w:multiLevelType w:val="hybridMultilevel"/>
    <w:tmpl w:val="38BD99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841500"/>
    <w:multiLevelType w:val="hybridMultilevel"/>
    <w:tmpl w:val="87821DD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6936F30"/>
    <w:multiLevelType w:val="hybridMultilevel"/>
    <w:tmpl w:val="8E2805FC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4D95E1C"/>
    <w:multiLevelType w:val="hybridMultilevel"/>
    <w:tmpl w:val="4F946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A684E"/>
    <w:multiLevelType w:val="hybridMultilevel"/>
    <w:tmpl w:val="AA96A8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3F3BC8"/>
    <w:multiLevelType w:val="hybridMultilevel"/>
    <w:tmpl w:val="7584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F4611"/>
    <w:multiLevelType w:val="hybridMultilevel"/>
    <w:tmpl w:val="8AD4489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C484310"/>
    <w:multiLevelType w:val="hybridMultilevel"/>
    <w:tmpl w:val="927E5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94CB3"/>
    <w:multiLevelType w:val="hybridMultilevel"/>
    <w:tmpl w:val="70C6F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64959"/>
    <w:multiLevelType w:val="hybridMultilevel"/>
    <w:tmpl w:val="0A6071FA"/>
    <w:lvl w:ilvl="0" w:tplc="00F6482A">
      <w:start w:val="1"/>
      <w:numFmt w:val="lowerRoman"/>
      <w:lvlText w:val="%1."/>
      <w:lvlJc w:val="left"/>
      <w:pPr>
        <w:ind w:left="253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6" w15:restartNumberingAfterBreak="0">
    <w:nsid w:val="7D975932"/>
    <w:multiLevelType w:val="hybridMultilevel"/>
    <w:tmpl w:val="547CA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B0EFE"/>
    <w:multiLevelType w:val="hybridMultilevel"/>
    <w:tmpl w:val="9184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8906">
    <w:abstractNumId w:val="1"/>
  </w:num>
  <w:num w:numId="2" w16cid:durableId="1478499065">
    <w:abstractNumId w:val="14"/>
  </w:num>
  <w:num w:numId="3" w16cid:durableId="52968444">
    <w:abstractNumId w:val="9"/>
  </w:num>
  <w:num w:numId="4" w16cid:durableId="607277266">
    <w:abstractNumId w:val="5"/>
  </w:num>
  <w:num w:numId="5" w16cid:durableId="436829405">
    <w:abstractNumId w:val="16"/>
  </w:num>
  <w:num w:numId="6" w16cid:durableId="933241356">
    <w:abstractNumId w:val="17"/>
  </w:num>
  <w:num w:numId="7" w16cid:durableId="722143068">
    <w:abstractNumId w:val="3"/>
  </w:num>
  <w:num w:numId="8" w16cid:durableId="407581540">
    <w:abstractNumId w:val="4"/>
  </w:num>
  <w:num w:numId="9" w16cid:durableId="1840533953">
    <w:abstractNumId w:val="2"/>
  </w:num>
  <w:num w:numId="10" w16cid:durableId="1247375327">
    <w:abstractNumId w:val="11"/>
  </w:num>
  <w:num w:numId="11" w16cid:durableId="1139418873">
    <w:abstractNumId w:val="13"/>
  </w:num>
  <w:num w:numId="12" w16cid:durableId="985865185">
    <w:abstractNumId w:val="0"/>
  </w:num>
  <w:num w:numId="13" w16cid:durableId="1546143560">
    <w:abstractNumId w:val="6"/>
  </w:num>
  <w:num w:numId="14" w16cid:durableId="782846357">
    <w:abstractNumId w:val="10"/>
  </w:num>
  <w:num w:numId="15" w16cid:durableId="1632514067">
    <w:abstractNumId w:val="7"/>
  </w:num>
  <w:num w:numId="16" w16cid:durableId="906647145">
    <w:abstractNumId w:val="12"/>
  </w:num>
  <w:num w:numId="17" w16cid:durableId="1872650452">
    <w:abstractNumId w:val="15"/>
  </w:num>
  <w:num w:numId="18" w16cid:durableId="1542862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3F"/>
    <w:rsid w:val="00002682"/>
    <w:rsid w:val="00013A21"/>
    <w:rsid w:val="00016B6F"/>
    <w:rsid w:val="00026AB8"/>
    <w:rsid w:val="00052B71"/>
    <w:rsid w:val="00060C1B"/>
    <w:rsid w:val="00141CAF"/>
    <w:rsid w:val="0018643C"/>
    <w:rsid w:val="001937E7"/>
    <w:rsid w:val="001A3AE3"/>
    <w:rsid w:val="001B0A10"/>
    <w:rsid w:val="001B4E8B"/>
    <w:rsid w:val="001E3F38"/>
    <w:rsid w:val="001F41FA"/>
    <w:rsid w:val="00210A41"/>
    <w:rsid w:val="002163A6"/>
    <w:rsid w:val="002460B8"/>
    <w:rsid w:val="00254D79"/>
    <w:rsid w:val="00281B1C"/>
    <w:rsid w:val="00292EBB"/>
    <w:rsid w:val="002A24E8"/>
    <w:rsid w:val="00340FD4"/>
    <w:rsid w:val="00350A63"/>
    <w:rsid w:val="003529BC"/>
    <w:rsid w:val="0038253B"/>
    <w:rsid w:val="003B02F5"/>
    <w:rsid w:val="003D08F7"/>
    <w:rsid w:val="003F5CF0"/>
    <w:rsid w:val="003F5E82"/>
    <w:rsid w:val="0043083A"/>
    <w:rsid w:val="004573C6"/>
    <w:rsid w:val="004B0F3F"/>
    <w:rsid w:val="004D0E65"/>
    <w:rsid w:val="005A1D9B"/>
    <w:rsid w:val="005B1991"/>
    <w:rsid w:val="00647CA8"/>
    <w:rsid w:val="006D309A"/>
    <w:rsid w:val="00701D13"/>
    <w:rsid w:val="00721142"/>
    <w:rsid w:val="007300EE"/>
    <w:rsid w:val="00732889"/>
    <w:rsid w:val="0078278A"/>
    <w:rsid w:val="008B3E42"/>
    <w:rsid w:val="008E13F5"/>
    <w:rsid w:val="009553F5"/>
    <w:rsid w:val="00987945"/>
    <w:rsid w:val="009B0832"/>
    <w:rsid w:val="009E1BEF"/>
    <w:rsid w:val="009F3C1F"/>
    <w:rsid w:val="00A5765B"/>
    <w:rsid w:val="00AB1B80"/>
    <w:rsid w:val="00AB26A4"/>
    <w:rsid w:val="00B749FD"/>
    <w:rsid w:val="00B808E4"/>
    <w:rsid w:val="00D030CA"/>
    <w:rsid w:val="00D5459B"/>
    <w:rsid w:val="00D777AA"/>
    <w:rsid w:val="00DA7984"/>
    <w:rsid w:val="00DF2DDC"/>
    <w:rsid w:val="00E17FE1"/>
    <w:rsid w:val="00E57E3B"/>
    <w:rsid w:val="00E61C5A"/>
    <w:rsid w:val="00E65D6D"/>
    <w:rsid w:val="00EC59D8"/>
    <w:rsid w:val="00F159FD"/>
    <w:rsid w:val="00F606D9"/>
    <w:rsid w:val="00FC138C"/>
    <w:rsid w:val="00FC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65CC"/>
  <w15:docId w15:val="{8DA4DDEF-AFA8-4878-A4B5-BFFB681C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984"/>
    <w:pPr>
      <w:widowControl/>
      <w:autoSpaceDE/>
      <w:autoSpaceDN/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2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2A24E8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4E8"/>
  </w:style>
  <w:style w:type="paragraph" w:customStyle="1" w:styleId="TableParagraph">
    <w:name w:val="Table Paragraph"/>
    <w:basedOn w:val="Normln"/>
    <w:uiPriority w:val="1"/>
    <w:qFormat/>
    <w:rsid w:val="002A24E8"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8278A"/>
    <w:pPr>
      <w:tabs>
        <w:tab w:val="center" w:pos="4513"/>
        <w:tab w:val="right" w:pos="9026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8278A"/>
    <w:rPr>
      <w:rFonts w:ascii="Poppins" w:eastAsia="Poppins" w:hAnsi="Poppins" w:cs="Poppins"/>
      <w:lang w:val="lv-LV"/>
    </w:rPr>
  </w:style>
  <w:style w:type="paragraph" w:styleId="Zpat">
    <w:name w:val="footer"/>
    <w:basedOn w:val="Normln"/>
    <w:link w:val="ZpatChar"/>
    <w:uiPriority w:val="99"/>
    <w:unhideWhenUsed/>
    <w:rsid w:val="0078278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278A"/>
    <w:rPr>
      <w:rFonts w:ascii="Poppins" w:eastAsia="Poppins" w:hAnsi="Poppins" w:cs="Poppins"/>
      <w:lang w:val="lv-LV"/>
    </w:rPr>
  </w:style>
  <w:style w:type="paragraph" w:styleId="Nzev">
    <w:name w:val="Title"/>
    <w:basedOn w:val="Normln"/>
    <w:next w:val="Normln"/>
    <w:link w:val="NzevChar"/>
    <w:uiPriority w:val="10"/>
    <w:qFormat/>
    <w:rsid w:val="00AB2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B2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table" w:styleId="Mkatabulky">
    <w:name w:val="Table Grid"/>
    <w:basedOn w:val="Normlntabulka"/>
    <w:uiPriority w:val="59"/>
    <w:rsid w:val="009B0832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832"/>
    <w:pPr>
      <w:widowControl/>
      <w:adjustRightInd w:val="0"/>
    </w:pPr>
    <w:rPr>
      <w:rFonts w:ascii="Segoe UI" w:hAnsi="Segoe UI" w:cs="Segoe UI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0A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A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A10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A10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A10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Marketing\Logo%202022+\Materi&#225;ly\Hlavi&#269;kov&#253;%20pap&#237;r\RPA_hlavickovy_papir_FINAL_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RPA_hlavickovy_papir_FINAL_šablona</Template>
  <TotalTime>144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RPA_hlavickovy_papir_V1</vt:lpstr>
    </vt:vector>
  </TitlesOfParts>
  <Company>RPA, s.r.o.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RPA_hlavickovy_papir_V1</dc:title>
  <dc:creator>skala</dc:creator>
  <cp:lastModifiedBy>Hörnerova</cp:lastModifiedBy>
  <cp:revision>6</cp:revision>
  <cp:lastPrinted>2024-11-08T10:28:00Z</cp:lastPrinted>
  <dcterms:created xsi:type="dcterms:W3CDTF">2024-11-08T10:33:00Z</dcterms:created>
  <dcterms:modified xsi:type="dcterms:W3CDTF">2024-11-18T08:14:00Z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2021-12-07T00:00:00Z</vt:filetime>
  </property>
</Properties>
</file>