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65E8" w14:textId="59833783" w:rsidR="008B0E7E" w:rsidRPr="00A90930" w:rsidRDefault="008B0E7E" w:rsidP="00EE5BB8">
      <w:pPr>
        <w:jc w:val="both"/>
        <w:rPr>
          <w:color w:val="4472C4" w:themeColor="accent1"/>
          <w:sz w:val="40"/>
          <w:szCs w:val="40"/>
        </w:rPr>
      </w:pPr>
      <w:r w:rsidRPr="00A90930">
        <w:rPr>
          <w:color w:val="4472C4" w:themeColor="accent1"/>
          <w:sz w:val="40"/>
          <w:szCs w:val="40"/>
        </w:rPr>
        <w:t>Technická specifikace projektu</w:t>
      </w:r>
    </w:p>
    <w:p w14:paraId="1276AE20" w14:textId="1C68D16E" w:rsidR="00BE4290" w:rsidRDefault="008B0E7E" w:rsidP="00503788">
      <w:pPr>
        <w:ind w:firstLine="708"/>
        <w:jc w:val="both"/>
      </w:pPr>
      <w:r w:rsidRPr="00953945">
        <w:t xml:space="preserve">Tento dokument popisuje technické požadavky, které je nezbytné nabízeným řešením splnit. </w:t>
      </w:r>
      <w:r w:rsidR="00B65DEE" w:rsidRPr="00953945">
        <w:t xml:space="preserve">Všechny technické požadavky jsou povinné. </w:t>
      </w:r>
      <w:r w:rsidRPr="00953945">
        <w:t xml:space="preserve">Požadavky jsou minimální a nesplnění </w:t>
      </w:r>
      <w:r w:rsidR="004B6AE6">
        <w:t>jakéhokoliv</w:t>
      </w:r>
      <w:r w:rsidRPr="00953945">
        <w:t xml:space="preserve"> </w:t>
      </w:r>
      <w:r w:rsidR="00E6317F">
        <w:t xml:space="preserve">povinného </w:t>
      </w:r>
      <w:r w:rsidRPr="00953945">
        <w:t xml:space="preserve">požadavku povede k vyřazení nabídky </w:t>
      </w:r>
      <w:r w:rsidR="00C024A3" w:rsidRPr="00953945">
        <w:t>Dodavatele</w:t>
      </w:r>
      <w:r w:rsidR="004E21D7">
        <w:t>.</w:t>
      </w:r>
    </w:p>
    <w:p w14:paraId="49A6AAB8" w14:textId="54AEF128" w:rsidR="00503788" w:rsidRDefault="00503788" w:rsidP="00666D49">
      <w:pPr>
        <w:pStyle w:val="Nadpis2"/>
        <w:numPr>
          <w:ilvl w:val="0"/>
          <w:numId w:val="0"/>
        </w:numPr>
      </w:pPr>
      <w:r>
        <w:t>Technologie</w:t>
      </w:r>
    </w:p>
    <w:p w14:paraId="56666A8A" w14:textId="454B7985" w:rsidR="00503788" w:rsidRPr="00503788" w:rsidRDefault="1153AA66" w:rsidP="00503788">
      <w:r>
        <w:t>Jde o jednorázový nákup komponent včetně 3-leté záruky na hardware a 3-letých subskripcí.</w:t>
      </w:r>
    </w:p>
    <w:p w14:paraId="1E779A88" w14:textId="71A434C7" w:rsidR="00A40CE3" w:rsidRDefault="00A40CE3" w:rsidP="009C5B11">
      <w:pPr>
        <w:pStyle w:val="Nadpis2"/>
      </w:pPr>
      <w:r>
        <w:t>Přehled poptávaných komponent</w:t>
      </w:r>
    </w:p>
    <w:p w14:paraId="4389AE07" w14:textId="2D01C1FD" w:rsidR="00A40CE3" w:rsidRPr="00B016A4" w:rsidRDefault="00A40CE3" w:rsidP="00503788">
      <w:pPr>
        <w:ind w:firstLine="360"/>
        <w:rPr>
          <w:lang w:val="de-DE"/>
        </w:rPr>
      </w:pPr>
      <w:r>
        <w:t xml:space="preserve">Uvedená tabulka popisuje nejmenší počet požadovaných prvků.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320"/>
        <w:gridCol w:w="3666"/>
      </w:tblGrid>
      <w:tr w:rsidR="00510E4E" w14:paraId="54ECF93F" w14:textId="77777777" w:rsidTr="000B23DF">
        <w:tc>
          <w:tcPr>
            <w:tcW w:w="1075" w:type="dxa"/>
          </w:tcPr>
          <w:p w14:paraId="45EB10DD" w14:textId="33E3EB4B" w:rsidR="00510E4E" w:rsidRDefault="00510E4E" w:rsidP="00EE5BB8">
            <w:pPr>
              <w:jc w:val="both"/>
            </w:pPr>
            <w:r>
              <w:t>Číslo</w:t>
            </w:r>
          </w:p>
        </w:tc>
        <w:tc>
          <w:tcPr>
            <w:tcW w:w="4320" w:type="dxa"/>
          </w:tcPr>
          <w:p w14:paraId="07DE87C4" w14:textId="21C2B6C9" w:rsidR="00510E4E" w:rsidRDefault="00510E4E" w:rsidP="00EE5BB8">
            <w:pPr>
              <w:jc w:val="both"/>
            </w:pPr>
            <w:r>
              <w:t>Položka</w:t>
            </w:r>
          </w:p>
        </w:tc>
        <w:tc>
          <w:tcPr>
            <w:tcW w:w="3666" w:type="dxa"/>
          </w:tcPr>
          <w:p w14:paraId="7F0B2C49" w14:textId="50F060B7" w:rsidR="00510E4E" w:rsidRDefault="00510E4E" w:rsidP="00EE5BB8">
            <w:pPr>
              <w:jc w:val="both"/>
            </w:pPr>
            <w:r>
              <w:t>Počet kusů</w:t>
            </w:r>
          </w:p>
        </w:tc>
      </w:tr>
      <w:tr w:rsidR="00510E4E" w14:paraId="76DB83B9" w14:textId="77777777" w:rsidTr="000B23DF">
        <w:tc>
          <w:tcPr>
            <w:tcW w:w="1075" w:type="dxa"/>
          </w:tcPr>
          <w:p w14:paraId="2F6CD45B" w14:textId="36E07F0A" w:rsidR="00510E4E" w:rsidRDefault="00390861" w:rsidP="00EE5BB8">
            <w:pPr>
              <w:jc w:val="both"/>
            </w:pPr>
            <w:r>
              <w:t>1.2</w:t>
            </w:r>
          </w:p>
        </w:tc>
        <w:tc>
          <w:tcPr>
            <w:tcW w:w="4320" w:type="dxa"/>
          </w:tcPr>
          <w:p w14:paraId="2222B769" w14:textId="2789DF1F" w:rsidR="00510E4E" w:rsidRDefault="00DD18CD" w:rsidP="00EE5BB8">
            <w:pPr>
              <w:jc w:val="both"/>
            </w:pPr>
            <w:r>
              <w:t>Proxy servery</w:t>
            </w:r>
          </w:p>
        </w:tc>
        <w:tc>
          <w:tcPr>
            <w:tcW w:w="3666" w:type="dxa"/>
          </w:tcPr>
          <w:p w14:paraId="28E30299" w14:textId="26F817B8" w:rsidR="00510E4E" w:rsidRDefault="00DD18CD" w:rsidP="00EE5BB8">
            <w:pPr>
              <w:jc w:val="both"/>
            </w:pPr>
            <w:r>
              <w:t>10</w:t>
            </w:r>
            <w:r w:rsidR="006350F4">
              <w:t xml:space="preserve"> </w:t>
            </w:r>
            <w:r w:rsidR="00510E4E">
              <w:t>ks</w:t>
            </w:r>
          </w:p>
        </w:tc>
      </w:tr>
    </w:tbl>
    <w:p w14:paraId="360A6B4D" w14:textId="02023529" w:rsidR="00510E4E" w:rsidRDefault="00510E4E" w:rsidP="00510E4E"/>
    <w:p w14:paraId="29BE103B" w14:textId="0E565C7F" w:rsidR="00510E4E" w:rsidRPr="00510E4E" w:rsidRDefault="00510E4E" w:rsidP="00510E4E">
      <w:pPr>
        <w:rPr>
          <w:b/>
        </w:rPr>
      </w:pPr>
      <w:r w:rsidRPr="00510E4E">
        <w:rPr>
          <w:b/>
        </w:rPr>
        <w:t>Požadavek na ekologii:</w:t>
      </w:r>
    </w:p>
    <w:p w14:paraId="246A8931" w14:textId="562C7649" w:rsidR="00510E4E" w:rsidRDefault="00510E4E" w:rsidP="00E7608C">
      <w:pPr>
        <w:ind w:firstLine="360"/>
      </w:pPr>
      <w:r>
        <w:t>Všechny technické komponenty postavené na standardních serverech musí plnit požadavky EU na napájecí zdroje a musí disponovat vzájemně zaměnitelnými napájecími zdroji. Tento požadavek je stanoven s ohledem na servisní efektivitu a ekologii.</w:t>
      </w:r>
      <w:r w:rsidR="00663C1C">
        <w:t xml:space="preserve"> Platí pro prvky kapitoly 1.2</w:t>
      </w:r>
      <w:r w:rsidR="005E64C3">
        <w:t>.</w:t>
      </w:r>
    </w:p>
    <w:p w14:paraId="7AB22580" w14:textId="7FE16D2D" w:rsidR="00663C1C" w:rsidRDefault="00663C1C" w:rsidP="00E7608C">
      <w:pPr>
        <w:ind w:firstLine="360"/>
      </w:pPr>
      <w:r>
        <w:t>Každý prvek bude mít nejméně dva za chodu vyměnitelné napájecí zdroje pro střídavé napětí 230V. Platí pro všechny hardwarové prvky kapitoly 1.2.</w:t>
      </w:r>
    </w:p>
    <w:p w14:paraId="4D584340" w14:textId="5343FC0B" w:rsidR="00AC13B2" w:rsidRDefault="00AC13B2" w:rsidP="00AC13B2">
      <w:pPr>
        <w:rPr>
          <w:b/>
        </w:rPr>
      </w:pPr>
      <w:r w:rsidRPr="00AC13B2">
        <w:rPr>
          <w:b/>
        </w:rPr>
        <w:t>Jednotný nástroj pro správu serverů</w:t>
      </w:r>
      <w:r>
        <w:rPr>
          <w:b/>
        </w:rPr>
        <w:t xml:space="preserve"> pro vyšší efektivitu:</w:t>
      </w:r>
    </w:p>
    <w:p w14:paraId="206685F8" w14:textId="06A403CF" w:rsidR="00F2533A" w:rsidRPr="00F2533A" w:rsidRDefault="1153AA66" w:rsidP="00AC13B2">
      <w:r>
        <w:t>Hardware musí byť kompatibilní s </w:t>
      </w:r>
      <w:proofErr w:type="spellStart"/>
      <w:r>
        <w:t>managementovým</w:t>
      </w:r>
      <w:proofErr w:type="spellEnd"/>
      <w:r>
        <w:t xml:space="preserve"> nástrojem HPE </w:t>
      </w:r>
      <w:proofErr w:type="spellStart"/>
      <w:r>
        <w:t>Insight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Support.</w:t>
      </w:r>
    </w:p>
    <w:p w14:paraId="1C29A716" w14:textId="1EBABB54" w:rsidR="008B0E7E" w:rsidRPr="00B131E4" w:rsidRDefault="003877CB" w:rsidP="009C5B11">
      <w:pPr>
        <w:pStyle w:val="Nadpis2"/>
      </w:pPr>
      <w:r>
        <w:t>Proxy servery</w:t>
      </w:r>
      <w:r w:rsidR="00B2761B">
        <w:t xml:space="preserve">, </w:t>
      </w:r>
      <w:r>
        <w:t>10</w:t>
      </w:r>
      <w:r w:rsidR="00B2761B">
        <w:t>ks</w:t>
      </w:r>
      <w:r w:rsidR="00A76E6A">
        <w:t xml:space="preserve"> </w:t>
      </w:r>
    </w:p>
    <w:p w14:paraId="4B5BE085" w14:textId="663795FF" w:rsidR="1153AA66" w:rsidRDefault="1153AA66" w:rsidP="1153AA66">
      <w:pPr>
        <w:ind w:firstLine="360"/>
        <w:jc w:val="both"/>
      </w:pPr>
      <w:r>
        <w:t xml:space="preserve">Jedná se o rozšíření stávající farmy využívající virtualizační technologii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. Zadavatel nemá technologickou preferenci dodávané procesorové platformy. Nutná je kompatibilita s x86_64 prostředím a dostupná informace o kompatibilitě na stránkách </w:t>
      </w:r>
      <w:proofErr w:type="spellStart"/>
      <w:r>
        <w:t>Broadcom</w:t>
      </w:r>
      <w:proofErr w:type="spellEnd"/>
      <w:r>
        <w:t>:</w:t>
      </w:r>
    </w:p>
    <w:p w14:paraId="0610ADCF" w14:textId="34BFF58E" w:rsidR="1153AA66" w:rsidRDefault="1153AA66" w:rsidP="1153AA66">
      <w:pPr>
        <w:ind w:firstLine="360"/>
        <w:jc w:val="both"/>
      </w:pPr>
      <w:hyperlink r:id="rId8">
        <w:r w:rsidRPr="1153AA66">
          <w:rPr>
            <w:rStyle w:val="Hypertextovodkaz"/>
          </w:rPr>
          <w:t>https://compatibilityguide.broadcom.com/</w:t>
        </w:r>
      </w:hyperlink>
    </w:p>
    <w:p w14:paraId="43E4CCB8" w14:textId="57A09DF4" w:rsidR="00C93FF8" w:rsidRDefault="1153AA66" w:rsidP="00EE5BB8">
      <w:pPr>
        <w:jc w:val="both"/>
      </w:pPr>
      <w:r>
        <w:t xml:space="preserve">Na výše uvedených stránkách </w:t>
      </w:r>
      <w:proofErr w:type="spellStart"/>
      <w:r>
        <w:t>Broadcom</w:t>
      </w:r>
      <w:proofErr w:type="spellEnd"/>
      <w:r>
        <w:t xml:space="preserve"> musí být explicitně uveden: </w:t>
      </w:r>
    </w:p>
    <w:p w14:paraId="04FBA4ED" w14:textId="44F1A4F7" w:rsidR="008B0E7E" w:rsidRDefault="1153AA66" w:rsidP="00DE5B27">
      <w:pPr>
        <w:pStyle w:val="Odstavecseseznamem"/>
        <w:numPr>
          <w:ilvl w:val="0"/>
          <w:numId w:val="4"/>
        </w:numPr>
        <w:jc w:val="both"/>
      </w:pPr>
      <w:r>
        <w:t xml:space="preserve">podpora pro </w:t>
      </w:r>
      <w:proofErr w:type="spellStart"/>
      <w:r>
        <w:t>vSphere</w:t>
      </w:r>
      <w:proofErr w:type="spellEnd"/>
      <w:r>
        <w:t xml:space="preserve"> (ESXI) ve verzi 8.0 U3 a vyšší (kategorie Systems</w:t>
      </w:r>
      <w:r w:rsidRPr="1153AA66">
        <w:rPr>
          <w:lang w:val="de-DE"/>
        </w:rPr>
        <w:t>/Servers)</w:t>
      </w:r>
      <w:r>
        <w:t>.</w:t>
      </w:r>
    </w:p>
    <w:p w14:paraId="0E563D61" w14:textId="77777777" w:rsidR="004E21D7" w:rsidRDefault="004E21D7" w:rsidP="00DE5B27">
      <w:pPr>
        <w:pStyle w:val="Odstavecseseznamem"/>
        <w:numPr>
          <w:ilvl w:val="1"/>
          <w:numId w:val="4"/>
        </w:numPr>
        <w:jc w:val="both"/>
      </w:pPr>
      <w:r w:rsidRPr="00A90930">
        <w:t>model nabíz</w:t>
      </w:r>
      <w:r>
        <w:t>eného serveru v nabízené verzi,</w:t>
      </w:r>
    </w:p>
    <w:p w14:paraId="1D7D6019" w14:textId="1B725215" w:rsidR="004E21D7" w:rsidRDefault="1153AA66" w:rsidP="00DE5B27">
      <w:pPr>
        <w:pStyle w:val="Odstavecseseznamem"/>
        <w:numPr>
          <w:ilvl w:val="1"/>
          <w:numId w:val="4"/>
        </w:numPr>
        <w:jc w:val="both"/>
      </w:pPr>
      <w:r>
        <w:t>modelová řada nabízených procesorů</w:t>
      </w:r>
    </w:p>
    <w:p w14:paraId="26E3848E" w14:textId="77777777" w:rsidR="00F2533A" w:rsidRDefault="00F2533A" w:rsidP="00F2533A">
      <w:pPr>
        <w:jc w:val="both"/>
      </w:pPr>
    </w:p>
    <w:p w14:paraId="50F6396A" w14:textId="6FF4DC26" w:rsidR="00F2533A" w:rsidRDefault="1153AA66" w:rsidP="00F2533A">
      <w:r>
        <w:t xml:space="preserve">Zařízení musí byť zároveň kompatibilní s HPE </w:t>
      </w:r>
      <w:proofErr w:type="spellStart"/>
      <w:r>
        <w:t>Morpheus</w:t>
      </w:r>
      <w:proofErr w:type="spellEnd"/>
      <w:r>
        <w:t xml:space="preserve"> VM Essentials Software.</w:t>
      </w:r>
      <w:r w:rsidR="00F2533A">
        <w:br/>
      </w:r>
      <w:hyperlink r:id="rId9">
        <w:r w:rsidRPr="1153AA66">
          <w:rPr>
            <w:rStyle w:val="Hypertextovodkaz"/>
          </w:rPr>
          <w:t>https://support.hpe.com/hpesc/public/docDisplay?docId=sd00006551en_us&amp;page=GUID-EA7C0803-E66B-4B17-B994-30D4025A258F.html</w:t>
        </w:r>
      </w:hyperlink>
      <w:r>
        <w:t xml:space="preserve"> </w:t>
      </w:r>
    </w:p>
    <w:p w14:paraId="422486DA" w14:textId="0E6EE275" w:rsidR="004E21D7" w:rsidRPr="005955A1" w:rsidRDefault="004E21D7" w:rsidP="00DE5B27">
      <w:pPr>
        <w:pStyle w:val="Odstavecseseznamem"/>
        <w:numPr>
          <w:ilvl w:val="0"/>
          <w:numId w:val="4"/>
        </w:numPr>
        <w:jc w:val="both"/>
      </w:pPr>
      <w:r>
        <w:t xml:space="preserve">podpora pro </w:t>
      </w:r>
      <w:r w:rsidR="00DD18CD">
        <w:t>HPE VME ve verzi 8.0.10</w:t>
      </w:r>
    </w:p>
    <w:p w14:paraId="07DE9361" w14:textId="77777777" w:rsidR="004E21D7" w:rsidRPr="005955A1" w:rsidRDefault="004E21D7" w:rsidP="00DE5B27">
      <w:pPr>
        <w:pStyle w:val="Odstavecseseznamem"/>
        <w:numPr>
          <w:ilvl w:val="1"/>
          <w:numId w:val="4"/>
        </w:numPr>
        <w:jc w:val="both"/>
      </w:pPr>
      <w:r w:rsidRPr="005955A1">
        <w:t>model nabízeného serveru v nabízené verzi,</w:t>
      </w:r>
    </w:p>
    <w:p w14:paraId="129F647C" w14:textId="7A956EEB" w:rsidR="004E21D7" w:rsidRPr="005955A1" w:rsidRDefault="004E21D7" w:rsidP="00DE5B27">
      <w:pPr>
        <w:pStyle w:val="Odstavecseseznamem"/>
        <w:numPr>
          <w:ilvl w:val="1"/>
          <w:numId w:val="4"/>
        </w:numPr>
        <w:jc w:val="both"/>
      </w:pPr>
      <w:r w:rsidRPr="005955A1">
        <w:t>modelová řada nabízených procesorů,</w:t>
      </w:r>
    </w:p>
    <w:p w14:paraId="7C6E6300" w14:textId="6FC96693" w:rsidR="008E2825" w:rsidRPr="005803E7" w:rsidRDefault="00F2533A" w:rsidP="1153AA66">
      <w:pPr>
        <w:rPr>
          <w:b/>
          <w:bCs/>
          <w:lang w:val="en-US"/>
        </w:rPr>
      </w:pPr>
      <w:r>
        <w:br/>
      </w:r>
      <w:r w:rsidR="1153AA66" w:rsidRPr="1153AA66">
        <w:rPr>
          <w:b/>
          <w:bCs/>
        </w:rPr>
        <w:t>Technické parametry</w:t>
      </w:r>
    </w:p>
    <w:p w14:paraId="3375612F" w14:textId="437CFCF9" w:rsidR="008B0E7E" w:rsidRPr="008778BE" w:rsidRDefault="008B0E7E" w:rsidP="00DE5B27">
      <w:pPr>
        <w:pStyle w:val="Odstavecseseznamem"/>
        <w:numPr>
          <w:ilvl w:val="0"/>
          <w:numId w:val="1"/>
        </w:numPr>
        <w:spacing w:after="0"/>
        <w:jc w:val="both"/>
      </w:pPr>
      <w:r w:rsidRPr="008778BE">
        <w:lastRenderedPageBreak/>
        <w:t xml:space="preserve">Montáž do standardního 19“ racku o maximální výšce </w:t>
      </w:r>
      <w:r w:rsidR="00DD18CD">
        <w:t>1</w:t>
      </w:r>
      <w:r w:rsidRPr="008778BE">
        <w:t xml:space="preserve"> RU.</w:t>
      </w:r>
    </w:p>
    <w:p w14:paraId="391E20F1" w14:textId="2BE1A540" w:rsidR="008B0E7E" w:rsidRPr="008778BE" w:rsidRDefault="005E64C3" w:rsidP="00DE5B27">
      <w:pPr>
        <w:pStyle w:val="Odstavecseseznamem"/>
        <w:numPr>
          <w:ilvl w:val="0"/>
          <w:numId w:val="1"/>
        </w:numPr>
        <w:spacing w:after="0"/>
        <w:jc w:val="both"/>
      </w:pPr>
      <w:r>
        <w:t>1</w:t>
      </w:r>
      <w:r w:rsidR="008B0E7E" w:rsidRPr="008778BE">
        <w:t xml:space="preserve"> CPU, </w:t>
      </w:r>
      <w:r w:rsidR="004E21D7" w:rsidRPr="00370EBB">
        <w:t xml:space="preserve">právě </w:t>
      </w:r>
      <w:r w:rsidR="008B0E7E" w:rsidRPr="00370EBB">
        <w:t>o</w:t>
      </w:r>
      <w:r w:rsidR="008B0E7E" w:rsidRPr="008778BE">
        <w:t xml:space="preserve"> </w:t>
      </w:r>
      <w:r>
        <w:t>16</w:t>
      </w:r>
      <w:r w:rsidR="008B0E7E" w:rsidRPr="008778BE">
        <w:t xml:space="preserve"> </w:t>
      </w:r>
      <w:r w:rsidR="008B0E7E" w:rsidRPr="00370EBB">
        <w:t>jádrech na minimáln</w:t>
      </w:r>
      <w:r w:rsidR="00510E4E" w:rsidRPr="00370EBB">
        <w:t xml:space="preserve">í frekvenci na všech jádrech </w:t>
      </w:r>
      <w:r>
        <w:t>2.5</w:t>
      </w:r>
      <w:r w:rsidR="00E51CF4" w:rsidRPr="00370EBB">
        <w:t xml:space="preserve">Ghz </w:t>
      </w:r>
      <w:r w:rsidR="008B0E7E" w:rsidRPr="008778BE">
        <w:t>při zpracování x86_64 instrukcí (požadavek je stanoven s ohledem na licenční omezení používaného software).</w:t>
      </w:r>
      <w:r w:rsidR="00B2761B">
        <w:t xml:space="preserve"> SPEC2017 </w:t>
      </w:r>
      <w:proofErr w:type="spellStart"/>
      <w:r w:rsidR="000C046D">
        <w:t>floating</w:t>
      </w:r>
      <w:proofErr w:type="spellEnd"/>
      <w:r w:rsidR="000C046D">
        <w:t xml:space="preserve"> point </w:t>
      </w:r>
      <w:proofErr w:type="spellStart"/>
      <w:r w:rsidR="000C046D">
        <w:t>rate</w:t>
      </w:r>
      <w:proofErr w:type="spellEnd"/>
      <w:r w:rsidR="000C046D">
        <w:t xml:space="preserve"> base </w:t>
      </w:r>
      <w:r w:rsidR="00B2761B">
        <w:t xml:space="preserve">pro obě aktivní CPU </w:t>
      </w:r>
      <w:r w:rsidR="00B2761B" w:rsidRPr="00370EBB">
        <w:t xml:space="preserve">nejméně </w:t>
      </w:r>
      <w:r w:rsidR="00743D8E" w:rsidRPr="00743D8E">
        <w:t>22</w:t>
      </w:r>
      <w:r w:rsidR="00743D8E">
        <w:t xml:space="preserve">5 </w:t>
      </w:r>
      <w:r w:rsidR="00B2761B" w:rsidRPr="00370EBB">
        <w:t>bodů</w:t>
      </w:r>
      <w:r w:rsidR="00B2761B">
        <w:t>.</w:t>
      </w:r>
      <w:r w:rsidR="00096EA4" w:rsidRPr="00096EA4">
        <w:t xml:space="preserve"> </w:t>
      </w:r>
    </w:p>
    <w:p w14:paraId="53E2815C" w14:textId="0A8D4ED6" w:rsidR="008B0E7E" w:rsidRPr="008778BE" w:rsidRDefault="00EC62A2" w:rsidP="00DE5B27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Nejméně </w:t>
      </w:r>
      <w:r w:rsidR="005E64C3">
        <w:t>4</w:t>
      </w:r>
      <w:r>
        <w:t xml:space="preserve"> ks </w:t>
      </w:r>
      <w:r w:rsidR="005E64C3">
        <w:t>32</w:t>
      </w:r>
      <w:r w:rsidR="008B0E7E" w:rsidRPr="008778BE">
        <w:t xml:space="preserve">GB DDR5 RAM </w:t>
      </w:r>
      <w:r w:rsidR="008B0E7E" w:rsidRPr="00370EBB">
        <w:t xml:space="preserve">modulů </w:t>
      </w:r>
      <w:r w:rsidR="005955A1">
        <w:t>nejméně 4800</w:t>
      </w:r>
      <w:r w:rsidR="00224840" w:rsidRPr="00370EBB">
        <w:t xml:space="preserve"> </w:t>
      </w:r>
      <w:r w:rsidR="007B3344" w:rsidRPr="00370EBB">
        <w:t>MT/s</w:t>
      </w:r>
      <w:r w:rsidR="008B0E7E" w:rsidRPr="00370EBB">
        <w:t xml:space="preserve"> </w:t>
      </w:r>
      <w:proofErr w:type="spellStart"/>
      <w:r w:rsidR="008B0E7E" w:rsidRPr="00370EBB">
        <w:t>s</w:t>
      </w:r>
      <w:proofErr w:type="spellEnd"/>
      <w:r w:rsidR="008B0E7E" w:rsidRPr="008778BE">
        <w:t xml:space="preserve"> podporou ECC, všechny paměťové moduly musí být identické.</w:t>
      </w:r>
      <w:r w:rsidR="00891667" w:rsidRPr="008778BE">
        <w:t xml:space="preserve"> </w:t>
      </w:r>
    </w:p>
    <w:p w14:paraId="33898F06" w14:textId="630F58C4" w:rsidR="008B0E7E" w:rsidRPr="008778BE" w:rsidRDefault="00EC62A2" w:rsidP="00DE5B27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370EBB">
        <w:rPr>
          <w:color w:val="000000" w:themeColor="text1"/>
        </w:rPr>
        <w:t xml:space="preserve">Nejméně </w:t>
      </w:r>
      <w:r w:rsidR="00F61AD8">
        <w:rPr>
          <w:color w:val="000000" w:themeColor="text1"/>
        </w:rPr>
        <w:t>1</w:t>
      </w:r>
      <w:r w:rsidR="00224840" w:rsidRPr="00370EBB">
        <w:rPr>
          <w:color w:val="000000" w:themeColor="text1"/>
        </w:rPr>
        <w:t xml:space="preserve">2 </w:t>
      </w:r>
      <w:r w:rsidR="008B0E7E" w:rsidRPr="00370EBB">
        <w:rPr>
          <w:color w:val="000000" w:themeColor="text1"/>
        </w:rPr>
        <w:t>slotů na</w:t>
      </w:r>
      <w:r w:rsidR="008B0E7E" w:rsidRPr="008778BE">
        <w:rPr>
          <w:color w:val="000000" w:themeColor="text1"/>
        </w:rPr>
        <w:t xml:space="preserve"> paměti RAM z dů</w:t>
      </w:r>
      <w:r>
        <w:rPr>
          <w:color w:val="000000" w:themeColor="text1"/>
        </w:rPr>
        <w:t>vodu rozšiřitelnosti platformy.</w:t>
      </w:r>
    </w:p>
    <w:p w14:paraId="3F40A289" w14:textId="08A446BF" w:rsidR="008B0E7E" w:rsidRDefault="1153AA66" w:rsidP="00DE5B27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Nejméně jedna dvouportová síťová karta o rychlosti právě 10/25 </w:t>
      </w:r>
      <w:proofErr w:type="spellStart"/>
      <w:r>
        <w:t>Gbps</w:t>
      </w:r>
      <w:proofErr w:type="spellEnd"/>
      <w:r>
        <w:t xml:space="preserve"> a jedna čtyřportová síťová karta o rychlosti 1Gbps kompatibilní s platformou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8.0 U3 s HW podporou SR-IOV.</w:t>
      </w:r>
    </w:p>
    <w:p w14:paraId="6DBA3E08" w14:textId="071CA873" w:rsidR="00743D8E" w:rsidRPr="00A90930" w:rsidRDefault="00743D8E" w:rsidP="00DE5B27">
      <w:pPr>
        <w:pStyle w:val="Odstavecseseznamem"/>
        <w:numPr>
          <w:ilvl w:val="0"/>
          <w:numId w:val="1"/>
        </w:numPr>
        <w:spacing w:after="0"/>
        <w:jc w:val="both"/>
      </w:pPr>
      <w:proofErr w:type="spellStart"/>
      <w:r>
        <w:t>Nejmeně</w:t>
      </w:r>
      <w:proofErr w:type="spellEnd"/>
      <w:r>
        <w:t xml:space="preserve"> jeden diskový řadič s alespoň </w:t>
      </w:r>
      <w:r w:rsidRPr="00743D8E">
        <w:t>4GB</w:t>
      </w:r>
      <w:r>
        <w:t xml:space="preserve"> </w:t>
      </w:r>
      <w:proofErr w:type="spellStart"/>
      <w:r>
        <w:t>cache</w:t>
      </w:r>
      <w:proofErr w:type="spellEnd"/>
      <w:r>
        <w:t xml:space="preserve"> a </w:t>
      </w:r>
      <w:proofErr w:type="spellStart"/>
      <w:r>
        <w:t>podporujíci</w:t>
      </w:r>
      <w:proofErr w:type="spellEnd"/>
      <w:r>
        <w:t xml:space="preserve"> úroveň </w:t>
      </w:r>
      <w:proofErr w:type="spellStart"/>
      <w:r>
        <w:t>Raid</w:t>
      </w:r>
      <w:proofErr w:type="spellEnd"/>
      <w:r>
        <w:t xml:space="preserve"> 0,1,5,6 </w:t>
      </w:r>
    </w:p>
    <w:p w14:paraId="2903CCDB" w14:textId="0A39F069" w:rsidR="008B0E7E" w:rsidRPr="00A90930" w:rsidRDefault="008B0E7E" w:rsidP="00DE5B27">
      <w:pPr>
        <w:pStyle w:val="Odstavecseseznamem"/>
        <w:numPr>
          <w:ilvl w:val="0"/>
          <w:numId w:val="1"/>
        </w:numPr>
        <w:spacing w:after="0"/>
        <w:jc w:val="both"/>
      </w:pPr>
      <w:r w:rsidRPr="00A90930">
        <w:t>Nej</w:t>
      </w:r>
      <w:r w:rsidR="00EC62A2">
        <w:t>méně 2 SSD disky o velikosti 480</w:t>
      </w:r>
      <w:r w:rsidRPr="00A90930">
        <w:t xml:space="preserve">GB </w:t>
      </w:r>
      <w:r w:rsidR="00743D8E">
        <w:t>p</w:t>
      </w:r>
      <w:r w:rsidR="00EC62A2">
        <w:t xml:space="preserve">ro </w:t>
      </w:r>
      <w:proofErr w:type="spellStart"/>
      <w:r w:rsidR="00EC62A2">
        <w:t>boot</w:t>
      </w:r>
      <w:proofErr w:type="spellEnd"/>
      <w:r w:rsidR="00EC62A2">
        <w:t xml:space="preserve"> hypervisoru</w:t>
      </w:r>
      <w:r>
        <w:t>.</w:t>
      </w:r>
    </w:p>
    <w:p w14:paraId="0E194107" w14:textId="232B4B41" w:rsidR="004A5D25" w:rsidRPr="00A90930" w:rsidRDefault="00951E11" w:rsidP="002240B4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Nejméně </w:t>
      </w:r>
      <w:r w:rsidR="00F61AD8">
        <w:t>3</w:t>
      </w:r>
      <w:r>
        <w:t xml:space="preserve"> SSD disk</w:t>
      </w:r>
      <w:r w:rsidR="00F61AD8">
        <w:t>y</w:t>
      </w:r>
      <w:r>
        <w:t xml:space="preserve"> </w:t>
      </w:r>
      <w:r w:rsidR="00547551">
        <w:t xml:space="preserve">každý o kapacitě nejméně </w:t>
      </w:r>
      <w:r w:rsidR="00F61AD8" w:rsidRPr="00F61AD8">
        <w:t>1.92TB</w:t>
      </w:r>
    </w:p>
    <w:p w14:paraId="75146399" w14:textId="660B6EA1" w:rsidR="008B0E7E" w:rsidRDefault="008B0E7E" w:rsidP="002240B4">
      <w:pPr>
        <w:pStyle w:val="Odstavecseseznamem"/>
        <w:numPr>
          <w:ilvl w:val="0"/>
          <w:numId w:val="1"/>
        </w:numPr>
        <w:spacing w:after="0"/>
        <w:jc w:val="both"/>
      </w:pPr>
      <w:r w:rsidRPr="00A90930">
        <w:t xml:space="preserve">HW management serveru s možností zapnutí, vypnutí, restartu serveru, přesměrování KVM nezávisle </w:t>
      </w:r>
      <w:r w:rsidR="00E33F6B">
        <w:t>na OS, vzdálené připojení médií</w:t>
      </w:r>
      <w:r>
        <w:t>.</w:t>
      </w:r>
      <w:r w:rsidR="00E33F6B">
        <w:t xml:space="preserve"> Schopnost hromadné správy</w:t>
      </w:r>
      <w:r w:rsidR="00743D8E">
        <w:t>:</w:t>
      </w:r>
    </w:p>
    <w:p w14:paraId="66711D8A" w14:textId="0B0DD867" w:rsidR="00E33F6B" w:rsidRDefault="00E33F6B" w:rsidP="00DE5B27">
      <w:pPr>
        <w:pStyle w:val="Odstavecseseznamem"/>
        <w:numPr>
          <w:ilvl w:val="1"/>
          <w:numId w:val="1"/>
        </w:numPr>
        <w:spacing w:after="0"/>
        <w:jc w:val="both"/>
      </w:pPr>
      <w:r>
        <w:t>Schopnost hromadného zobrazení stavu prvků</w:t>
      </w:r>
    </w:p>
    <w:p w14:paraId="2D339533" w14:textId="309B581C" w:rsidR="00E33F6B" w:rsidRDefault="00E33F6B" w:rsidP="00DE5B27">
      <w:pPr>
        <w:pStyle w:val="Odstavecseseznamem"/>
        <w:numPr>
          <w:ilvl w:val="1"/>
          <w:numId w:val="1"/>
        </w:numPr>
        <w:spacing w:after="0"/>
        <w:jc w:val="both"/>
      </w:pPr>
      <w:r>
        <w:t>Připojení image na základě URL pro hromadně pro více serverů</w:t>
      </w:r>
    </w:p>
    <w:p w14:paraId="528FFA7F" w14:textId="31875884" w:rsidR="00E33F6B" w:rsidRDefault="00E33F6B" w:rsidP="00DE5B27">
      <w:pPr>
        <w:pStyle w:val="Odstavecseseznamem"/>
        <w:numPr>
          <w:ilvl w:val="1"/>
          <w:numId w:val="1"/>
        </w:numPr>
        <w:spacing w:after="0"/>
        <w:jc w:val="both"/>
      </w:pPr>
      <w:r>
        <w:t>Správa napájení pro více serverů a možnost nastavit strop spotřeby</w:t>
      </w:r>
    </w:p>
    <w:p w14:paraId="1352B31A" w14:textId="319693E4" w:rsidR="00E33F6B" w:rsidRDefault="00E33F6B" w:rsidP="00DE5B27">
      <w:pPr>
        <w:pStyle w:val="Odstavecseseznamem"/>
        <w:numPr>
          <w:ilvl w:val="1"/>
          <w:numId w:val="1"/>
        </w:numPr>
        <w:spacing w:after="0"/>
        <w:jc w:val="both"/>
      </w:pPr>
      <w:r>
        <w:t>Update firmware většího počtu serverů najednou</w:t>
      </w:r>
    </w:p>
    <w:p w14:paraId="06A636F2" w14:textId="4020A6D2" w:rsidR="00E33F6B" w:rsidRDefault="00C33568" w:rsidP="00DE5B27">
      <w:pPr>
        <w:pStyle w:val="Odstavecseseznamem"/>
        <w:numPr>
          <w:ilvl w:val="1"/>
          <w:numId w:val="1"/>
        </w:numPr>
        <w:spacing w:after="0"/>
        <w:jc w:val="both"/>
      </w:pPr>
      <w:r>
        <w:t xml:space="preserve">Hromadná konfigurace </w:t>
      </w:r>
      <w:proofErr w:type="spellStart"/>
      <w:r>
        <w:t>l</w:t>
      </w:r>
      <w:r w:rsidR="00E33F6B">
        <w:t>ights</w:t>
      </w:r>
      <w:proofErr w:type="spellEnd"/>
      <w:r w:rsidR="00E33F6B">
        <w:t xml:space="preserve"> out řešení pro více serverů</w:t>
      </w:r>
    </w:p>
    <w:p w14:paraId="7C2B69C6" w14:textId="631C5C13" w:rsidR="00E33F6B" w:rsidRPr="00A90930" w:rsidRDefault="00E33F6B" w:rsidP="00E33F6B">
      <w:pPr>
        <w:spacing w:after="0"/>
        <w:ind w:left="708"/>
        <w:jc w:val="both"/>
      </w:pPr>
      <w:r>
        <w:t>Mobilní aplikace pro přístup ke správě serverů s ovládáním napájení, vzdálenou konzolí pro BIOS, ROM a přístup k OS, možnost připojit ISO image</w:t>
      </w:r>
      <w:r w:rsidR="00C33568">
        <w:t xml:space="preserve"> z URL nebo USB, možnost spustit konfigurační skript a přístup na rozhraní </w:t>
      </w:r>
      <w:proofErr w:type="spellStart"/>
      <w:r w:rsidR="00C33568">
        <w:t>light</w:t>
      </w:r>
      <w:proofErr w:type="spellEnd"/>
      <w:r w:rsidR="00C33568">
        <w:t xml:space="preserve"> out správy.</w:t>
      </w:r>
    </w:p>
    <w:p w14:paraId="161F9DF9" w14:textId="0350D352" w:rsidR="00663C1C" w:rsidRDefault="008B0E7E" w:rsidP="003877CB">
      <w:pPr>
        <w:pStyle w:val="Odstavecseseznamem"/>
        <w:numPr>
          <w:ilvl w:val="0"/>
          <w:numId w:val="1"/>
        </w:numPr>
        <w:spacing w:after="0"/>
        <w:jc w:val="both"/>
      </w:pPr>
      <w:r w:rsidRPr="00A90930">
        <w:t xml:space="preserve">Podpora výrobce </w:t>
      </w:r>
      <w:r w:rsidR="00E57602">
        <w:t xml:space="preserve">minimálně </w:t>
      </w:r>
      <w:r w:rsidR="006F6450">
        <w:t>24x7</w:t>
      </w:r>
      <w:r w:rsidR="00951E11">
        <w:t xml:space="preserve"> s výměnou vadného dílu </w:t>
      </w:r>
      <w:r w:rsidR="006F6450">
        <w:t xml:space="preserve">do 4 hodin. </w:t>
      </w:r>
      <w:r w:rsidR="00951E11">
        <w:t>Vzdálená podpora s možností hlášení incidentu 24x7 s</w:t>
      </w:r>
      <w:r w:rsidR="006F6450">
        <w:t> 15ti minutovou</w:t>
      </w:r>
      <w:r w:rsidR="00951E11">
        <w:t xml:space="preserve"> reakční dobou</w:t>
      </w:r>
      <w:r w:rsidR="006F6450">
        <w:t>.</w:t>
      </w:r>
      <w:r w:rsidR="00951E11">
        <w:t xml:space="preserve"> Délka trvání podpory</w:t>
      </w:r>
      <w:r w:rsidRPr="00A90930">
        <w:t xml:space="preserve"> </w:t>
      </w:r>
      <w:r w:rsidR="006F6450">
        <w:t>3</w:t>
      </w:r>
      <w:r w:rsidRPr="00A90930">
        <w:t xml:space="preserve"> </w:t>
      </w:r>
      <w:r w:rsidR="006F6450">
        <w:t>roky.</w:t>
      </w:r>
    </w:p>
    <w:p w14:paraId="5A072C9F" w14:textId="77777777" w:rsidR="006F6450" w:rsidRDefault="006F6450" w:rsidP="006F6450">
      <w:pPr>
        <w:pStyle w:val="Odstavecseseznamem"/>
        <w:spacing w:after="0"/>
        <w:jc w:val="both"/>
      </w:pPr>
    </w:p>
    <w:p w14:paraId="70AC928A" w14:textId="38A1265A" w:rsidR="00056EEA" w:rsidRDefault="00056EEA" w:rsidP="00E325B1">
      <w:pPr>
        <w:ind w:firstLine="360"/>
        <w:jc w:val="both"/>
      </w:pPr>
      <w:r>
        <w:t xml:space="preserve">Zadavatel požaduje </w:t>
      </w:r>
      <w:r w:rsidR="009C5B11">
        <w:t xml:space="preserve">předvedení, zahoření </w:t>
      </w:r>
      <w:r w:rsidR="00E325B1">
        <w:t>technického řešení</w:t>
      </w:r>
      <w:r w:rsidR="009C5B11">
        <w:t xml:space="preserve"> a školení </w:t>
      </w:r>
      <w:r w:rsidR="006F6450">
        <w:t>p</w:t>
      </w:r>
      <w:r w:rsidR="00E325B1">
        <w:t>ouze v případě, že Zadavatel nebude mít zkušenost s uvedenou technologií</w:t>
      </w:r>
      <w:r w:rsidR="009C5B11">
        <w:t>. P</w:t>
      </w:r>
      <w:r w:rsidR="00E325B1">
        <w:t>ožaduje školení výrobce, tak aby mohl užít všechny poptávané funkce. Zadavatel bude za všech okolností provádět implementaci a následný provoz vlastními silami. Školení musí pokrýt tyto oblasti:</w:t>
      </w:r>
    </w:p>
    <w:p w14:paraId="2A2790FA" w14:textId="518E9380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>Všechny poptávané funkce a funkce, které jsou potřebné k provozu funkcí poptávaných</w:t>
      </w:r>
    </w:p>
    <w:p w14:paraId="111F77F1" w14:textId="1A738852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>Návrh řešení s přístupem k nástrojům pro kapacitní a výkonnostní návrh řešení</w:t>
      </w:r>
    </w:p>
    <w:p w14:paraId="5D416E1B" w14:textId="6A1DEC92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>Provoz a administraci platforem</w:t>
      </w:r>
    </w:p>
    <w:p w14:paraId="19099035" w14:textId="1A118A51" w:rsidR="00E325B1" w:rsidRDefault="00E325B1" w:rsidP="00E325B1">
      <w:pPr>
        <w:jc w:val="both"/>
      </w:pPr>
      <w:r>
        <w:t>Zadavatel má zkušenosti s těmito technologickými platformami:</w:t>
      </w:r>
    </w:p>
    <w:p w14:paraId="6FA1136B" w14:textId="72A99CD0" w:rsidR="00E325B1" w:rsidRDefault="00E325B1" w:rsidP="00E325B1">
      <w:pPr>
        <w:spacing w:after="0"/>
        <w:jc w:val="both"/>
      </w:pPr>
      <w:r>
        <w:t>Servery:</w:t>
      </w:r>
    </w:p>
    <w:p w14:paraId="2DF3F7B4" w14:textId="12673F05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>Fujitsu</w:t>
      </w:r>
    </w:p>
    <w:p w14:paraId="5F826667" w14:textId="5C93F930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Hewlett Packard </w:t>
      </w:r>
      <w:proofErr w:type="spellStart"/>
      <w:r>
        <w:t>Enterprise</w:t>
      </w:r>
      <w:proofErr w:type="spellEnd"/>
    </w:p>
    <w:p w14:paraId="07A1BB27" w14:textId="312B9449" w:rsidR="00E325B1" w:rsidRDefault="00E325B1" w:rsidP="00DE5B27">
      <w:pPr>
        <w:pStyle w:val="Odstavecseseznamem"/>
        <w:numPr>
          <w:ilvl w:val="0"/>
          <w:numId w:val="2"/>
        </w:numPr>
        <w:spacing w:after="0"/>
        <w:jc w:val="both"/>
      </w:pPr>
      <w:r>
        <w:t>Lenovo</w:t>
      </w:r>
    </w:p>
    <w:p w14:paraId="38C941D9" w14:textId="77777777" w:rsidR="000638F3" w:rsidRDefault="000638F3" w:rsidP="000638F3">
      <w:pPr>
        <w:spacing w:after="0"/>
        <w:jc w:val="both"/>
      </w:pPr>
    </w:p>
    <w:p w14:paraId="5B4FC9CD" w14:textId="725C98E9" w:rsidR="00F1535A" w:rsidRDefault="1153AA66" w:rsidP="1153AA66">
      <w:pPr>
        <w:spacing w:after="0"/>
        <w:ind w:firstLine="360"/>
        <w:jc w:val="both"/>
      </w:pPr>
      <w:r>
        <w:t>Pro výše uvedené technologie není potřeba školení. S produkty jiných výrobců nemá Zadavatel zkušenosti a proto je potřeba v rámci nabídkové ceny kalkulovat školení. Rozsah školení je dán pro každou produktovou oblast počtem pěti technických specialistů. Minimální rozsah školení je deset člověkodní pro každou produktovou oblast.</w:t>
      </w:r>
    </w:p>
    <w:sectPr w:rsidR="00F153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8D14" w14:textId="77777777" w:rsidR="00E02B41" w:rsidRDefault="00E02B41" w:rsidP="00B06ECC">
      <w:pPr>
        <w:spacing w:after="0" w:line="240" w:lineRule="auto"/>
      </w:pPr>
      <w:r>
        <w:separator/>
      </w:r>
    </w:p>
  </w:endnote>
  <w:endnote w:type="continuationSeparator" w:id="0">
    <w:p w14:paraId="1360C3AD" w14:textId="77777777" w:rsidR="00E02B41" w:rsidRDefault="00E02B41" w:rsidP="00B0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CFE9" w14:textId="77777777" w:rsidR="00E02B41" w:rsidRDefault="00E02B41" w:rsidP="00B06ECC">
      <w:pPr>
        <w:spacing w:after="0" w:line="240" w:lineRule="auto"/>
      </w:pPr>
      <w:r>
        <w:separator/>
      </w:r>
    </w:p>
  </w:footnote>
  <w:footnote w:type="continuationSeparator" w:id="0">
    <w:p w14:paraId="5F97387A" w14:textId="77777777" w:rsidR="00E02B41" w:rsidRDefault="00E02B41" w:rsidP="00B0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D34" w14:textId="0FB90C66" w:rsidR="00E325B1" w:rsidRDefault="00E325B1">
    <w:pPr>
      <w:pStyle w:val="Zhlav"/>
    </w:pPr>
    <w:r>
      <w:ptab w:relativeTo="margin" w:alignment="left" w:leader="none"/>
    </w:r>
    <w:r w:rsidR="006C0515">
      <w:t>Příloha č. 4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8F7"/>
    <w:multiLevelType w:val="hybridMultilevel"/>
    <w:tmpl w:val="0DF02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82D"/>
    <w:multiLevelType w:val="hybridMultilevel"/>
    <w:tmpl w:val="F3E065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BE1997"/>
    <w:multiLevelType w:val="hybridMultilevel"/>
    <w:tmpl w:val="C25CD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D2E"/>
    <w:multiLevelType w:val="hybridMultilevel"/>
    <w:tmpl w:val="619643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351B6"/>
    <w:multiLevelType w:val="multilevel"/>
    <w:tmpl w:val="F3E06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A1D41"/>
    <w:multiLevelType w:val="hybridMultilevel"/>
    <w:tmpl w:val="F418F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AC434C"/>
    <w:multiLevelType w:val="hybridMultilevel"/>
    <w:tmpl w:val="0D76E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5912D4"/>
    <w:multiLevelType w:val="hybridMultilevel"/>
    <w:tmpl w:val="F6DE5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05242"/>
    <w:multiLevelType w:val="hybridMultilevel"/>
    <w:tmpl w:val="E556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BB7922"/>
    <w:multiLevelType w:val="hybridMultilevel"/>
    <w:tmpl w:val="AC48D350"/>
    <w:lvl w:ilvl="0" w:tplc="0CCA0C5E">
      <w:start w:val="2"/>
      <w:numFmt w:val="decimal"/>
      <w:pStyle w:val="Nadpis1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96172"/>
    <w:multiLevelType w:val="hybridMultilevel"/>
    <w:tmpl w:val="38940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C1AA7"/>
    <w:multiLevelType w:val="hybridMultilevel"/>
    <w:tmpl w:val="69C0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55225"/>
    <w:multiLevelType w:val="hybridMultilevel"/>
    <w:tmpl w:val="28FC9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0C0FA2"/>
    <w:multiLevelType w:val="hybridMultilevel"/>
    <w:tmpl w:val="FFBA2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63743"/>
    <w:multiLevelType w:val="hybridMultilevel"/>
    <w:tmpl w:val="92D44E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7B5434"/>
    <w:multiLevelType w:val="hybridMultilevel"/>
    <w:tmpl w:val="26FE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3309">
    <w:abstractNumId w:val="10"/>
  </w:num>
  <w:num w:numId="2" w16cid:durableId="1798139385">
    <w:abstractNumId w:val="0"/>
  </w:num>
  <w:num w:numId="3" w16cid:durableId="789710149">
    <w:abstractNumId w:val="9"/>
  </w:num>
  <w:num w:numId="4" w16cid:durableId="89006453">
    <w:abstractNumId w:val="1"/>
  </w:num>
  <w:num w:numId="5" w16cid:durableId="1035422605">
    <w:abstractNumId w:val="4"/>
  </w:num>
  <w:num w:numId="6" w16cid:durableId="1557085960">
    <w:abstractNumId w:val="15"/>
  </w:num>
  <w:num w:numId="7" w16cid:durableId="837886054">
    <w:abstractNumId w:val="12"/>
  </w:num>
  <w:num w:numId="8" w16cid:durableId="546068120">
    <w:abstractNumId w:val="3"/>
  </w:num>
  <w:num w:numId="9" w16cid:durableId="948661787">
    <w:abstractNumId w:val="2"/>
  </w:num>
  <w:num w:numId="10" w16cid:durableId="1076439436">
    <w:abstractNumId w:val="14"/>
  </w:num>
  <w:num w:numId="11" w16cid:durableId="842087846">
    <w:abstractNumId w:val="13"/>
  </w:num>
  <w:num w:numId="12" w16cid:durableId="1983195818">
    <w:abstractNumId w:val="8"/>
  </w:num>
  <w:num w:numId="13" w16cid:durableId="1262376624">
    <w:abstractNumId w:val="7"/>
  </w:num>
  <w:num w:numId="14" w16cid:durableId="1289438498">
    <w:abstractNumId w:val="6"/>
  </w:num>
  <w:num w:numId="15" w16cid:durableId="25569909">
    <w:abstractNumId w:val="11"/>
  </w:num>
  <w:num w:numId="16" w16cid:durableId="86266737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7E"/>
    <w:rsid w:val="00000B2E"/>
    <w:rsid w:val="00003CC8"/>
    <w:rsid w:val="00005184"/>
    <w:rsid w:val="00012963"/>
    <w:rsid w:val="00013D7D"/>
    <w:rsid w:val="000234E0"/>
    <w:rsid w:val="00024061"/>
    <w:rsid w:val="00025505"/>
    <w:rsid w:val="00027EFB"/>
    <w:rsid w:val="000311A6"/>
    <w:rsid w:val="00031803"/>
    <w:rsid w:val="00042391"/>
    <w:rsid w:val="0004760A"/>
    <w:rsid w:val="00051549"/>
    <w:rsid w:val="00056EEA"/>
    <w:rsid w:val="0006171E"/>
    <w:rsid w:val="000632C9"/>
    <w:rsid w:val="000638F3"/>
    <w:rsid w:val="000653A8"/>
    <w:rsid w:val="000711F7"/>
    <w:rsid w:val="00080967"/>
    <w:rsid w:val="00083946"/>
    <w:rsid w:val="00096EA4"/>
    <w:rsid w:val="000974C3"/>
    <w:rsid w:val="000A141C"/>
    <w:rsid w:val="000A4C18"/>
    <w:rsid w:val="000B23DF"/>
    <w:rsid w:val="000B299E"/>
    <w:rsid w:val="000B2D11"/>
    <w:rsid w:val="000B4F8C"/>
    <w:rsid w:val="000C046D"/>
    <w:rsid w:val="000C1766"/>
    <w:rsid w:val="000C792A"/>
    <w:rsid w:val="000D710D"/>
    <w:rsid w:val="000E716F"/>
    <w:rsid w:val="000F1070"/>
    <w:rsid w:val="000F3D85"/>
    <w:rsid w:val="000F3E4D"/>
    <w:rsid w:val="000F5462"/>
    <w:rsid w:val="00102428"/>
    <w:rsid w:val="001120C4"/>
    <w:rsid w:val="00115141"/>
    <w:rsid w:val="00121188"/>
    <w:rsid w:val="00126185"/>
    <w:rsid w:val="0013101C"/>
    <w:rsid w:val="0013115C"/>
    <w:rsid w:val="00133614"/>
    <w:rsid w:val="001342FA"/>
    <w:rsid w:val="00136737"/>
    <w:rsid w:val="00140FD0"/>
    <w:rsid w:val="001509AD"/>
    <w:rsid w:val="00156B63"/>
    <w:rsid w:val="00162549"/>
    <w:rsid w:val="00166CA9"/>
    <w:rsid w:val="00167E79"/>
    <w:rsid w:val="00185193"/>
    <w:rsid w:val="001905F6"/>
    <w:rsid w:val="001A2D25"/>
    <w:rsid w:val="001B1E85"/>
    <w:rsid w:val="001B2258"/>
    <w:rsid w:val="001B5DBB"/>
    <w:rsid w:val="001C3DB6"/>
    <w:rsid w:val="001C603E"/>
    <w:rsid w:val="001C780F"/>
    <w:rsid w:val="001C7F5B"/>
    <w:rsid w:val="001D52BF"/>
    <w:rsid w:val="001E0C52"/>
    <w:rsid w:val="001F3B18"/>
    <w:rsid w:val="0021206C"/>
    <w:rsid w:val="00213253"/>
    <w:rsid w:val="00216464"/>
    <w:rsid w:val="002208F9"/>
    <w:rsid w:val="00221569"/>
    <w:rsid w:val="00223050"/>
    <w:rsid w:val="00224840"/>
    <w:rsid w:val="00226802"/>
    <w:rsid w:val="00230A55"/>
    <w:rsid w:val="00235CD2"/>
    <w:rsid w:val="0024075E"/>
    <w:rsid w:val="00252794"/>
    <w:rsid w:val="00252AB8"/>
    <w:rsid w:val="002541A3"/>
    <w:rsid w:val="00257FDE"/>
    <w:rsid w:val="002608B8"/>
    <w:rsid w:val="00266B13"/>
    <w:rsid w:val="00267DE3"/>
    <w:rsid w:val="00273B3D"/>
    <w:rsid w:val="0028571B"/>
    <w:rsid w:val="00286A20"/>
    <w:rsid w:val="002873A4"/>
    <w:rsid w:val="0028746B"/>
    <w:rsid w:val="00292A69"/>
    <w:rsid w:val="00292B72"/>
    <w:rsid w:val="002962FA"/>
    <w:rsid w:val="002A051F"/>
    <w:rsid w:val="002A61C6"/>
    <w:rsid w:val="002B0131"/>
    <w:rsid w:val="003114DB"/>
    <w:rsid w:val="003154F5"/>
    <w:rsid w:val="00321D0F"/>
    <w:rsid w:val="0032598D"/>
    <w:rsid w:val="003320EB"/>
    <w:rsid w:val="00345D65"/>
    <w:rsid w:val="003463AA"/>
    <w:rsid w:val="00357FC1"/>
    <w:rsid w:val="003603F9"/>
    <w:rsid w:val="00361387"/>
    <w:rsid w:val="00361981"/>
    <w:rsid w:val="0036290E"/>
    <w:rsid w:val="00366430"/>
    <w:rsid w:val="00370CC8"/>
    <w:rsid w:val="00370EBB"/>
    <w:rsid w:val="003877CB"/>
    <w:rsid w:val="00390861"/>
    <w:rsid w:val="003956DD"/>
    <w:rsid w:val="003A2503"/>
    <w:rsid w:val="003B3C44"/>
    <w:rsid w:val="003B3E67"/>
    <w:rsid w:val="003B68DB"/>
    <w:rsid w:val="003B79BC"/>
    <w:rsid w:val="003C5D87"/>
    <w:rsid w:val="003D1B8B"/>
    <w:rsid w:val="003D5475"/>
    <w:rsid w:val="003E3849"/>
    <w:rsid w:val="003E55A6"/>
    <w:rsid w:val="004013FD"/>
    <w:rsid w:val="0040232B"/>
    <w:rsid w:val="004131DB"/>
    <w:rsid w:val="00423BCF"/>
    <w:rsid w:val="004247B2"/>
    <w:rsid w:val="00424A71"/>
    <w:rsid w:val="00426F23"/>
    <w:rsid w:val="004379D0"/>
    <w:rsid w:val="0044072C"/>
    <w:rsid w:val="004427CE"/>
    <w:rsid w:val="004438F8"/>
    <w:rsid w:val="00455E80"/>
    <w:rsid w:val="004628C5"/>
    <w:rsid w:val="00464278"/>
    <w:rsid w:val="00467F84"/>
    <w:rsid w:val="004730A7"/>
    <w:rsid w:val="004762AB"/>
    <w:rsid w:val="00481603"/>
    <w:rsid w:val="00481FAB"/>
    <w:rsid w:val="00484547"/>
    <w:rsid w:val="00486FF7"/>
    <w:rsid w:val="00491A2B"/>
    <w:rsid w:val="004A5D25"/>
    <w:rsid w:val="004A5D55"/>
    <w:rsid w:val="004A5E89"/>
    <w:rsid w:val="004A69C6"/>
    <w:rsid w:val="004B2CE1"/>
    <w:rsid w:val="004B3222"/>
    <w:rsid w:val="004B6AE6"/>
    <w:rsid w:val="004C1E8E"/>
    <w:rsid w:val="004E21D7"/>
    <w:rsid w:val="004E5B7C"/>
    <w:rsid w:val="004F041C"/>
    <w:rsid w:val="004F3033"/>
    <w:rsid w:val="005025AF"/>
    <w:rsid w:val="00503788"/>
    <w:rsid w:val="005063E5"/>
    <w:rsid w:val="00510E4E"/>
    <w:rsid w:val="00512D55"/>
    <w:rsid w:val="00514E00"/>
    <w:rsid w:val="005371C4"/>
    <w:rsid w:val="005460F3"/>
    <w:rsid w:val="00547551"/>
    <w:rsid w:val="0055182A"/>
    <w:rsid w:val="00553575"/>
    <w:rsid w:val="005553EA"/>
    <w:rsid w:val="00555694"/>
    <w:rsid w:val="00561DA6"/>
    <w:rsid w:val="00565958"/>
    <w:rsid w:val="00573852"/>
    <w:rsid w:val="00574468"/>
    <w:rsid w:val="005748D9"/>
    <w:rsid w:val="005803E7"/>
    <w:rsid w:val="00590973"/>
    <w:rsid w:val="00595309"/>
    <w:rsid w:val="005955A1"/>
    <w:rsid w:val="005E64C3"/>
    <w:rsid w:val="005F5E1B"/>
    <w:rsid w:val="00606D54"/>
    <w:rsid w:val="00616005"/>
    <w:rsid w:val="00616D38"/>
    <w:rsid w:val="00626037"/>
    <w:rsid w:val="00626CFD"/>
    <w:rsid w:val="00632905"/>
    <w:rsid w:val="006350F4"/>
    <w:rsid w:val="00635401"/>
    <w:rsid w:val="00646D4F"/>
    <w:rsid w:val="006546BE"/>
    <w:rsid w:val="00654F2B"/>
    <w:rsid w:val="0065623E"/>
    <w:rsid w:val="00661AB8"/>
    <w:rsid w:val="00663C1C"/>
    <w:rsid w:val="00666D49"/>
    <w:rsid w:val="00671576"/>
    <w:rsid w:val="006748A4"/>
    <w:rsid w:val="006757CE"/>
    <w:rsid w:val="006774A4"/>
    <w:rsid w:val="0068074D"/>
    <w:rsid w:val="00680FF7"/>
    <w:rsid w:val="00685253"/>
    <w:rsid w:val="00685D85"/>
    <w:rsid w:val="006A4F07"/>
    <w:rsid w:val="006A5B81"/>
    <w:rsid w:val="006B0E31"/>
    <w:rsid w:val="006B5AA2"/>
    <w:rsid w:val="006C0515"/>
    <w:rsid w:val="006C11BB"/>
    <w:rsid w:val="006D453D"/>
    <w:rsid w:val="006F0999"/>
    <w:rsid w:val="006F3233"/>
    <w:rsid w:val="006F3F77"/>
    <w:rsid w:val="006F6450"/>
    <w:rsid w:val="007003DE"/>
    <w:rsid w:val="00721F24"/>
    <w:rsid w:val="0072479D"/>
    <w:rsid w:val="007262BD"/>
    <w:rsid w:val="007353FE"/>
    <w:rsid w:val="00743D8E"/>
    <w:rsid w:val="00751558"/>
    <w:rsid w:val="00753D58"/>
    <w:rsid w:val="0076482A"/>
    <w:rsid w:val="0077259F"/>
    <w:rsid w:val="007741D3"/>
    <w:rsid w:val="00781F69"/>
    <w:rsid w:val="00783E1B"/>
    <w:rsid w:val="00785854"/>
    <w:rsid w:val="00790B87"/>
    <w:rsid w:val="00792EF5"/>
    <w:rsid w:val="00793CAF"/>
    <w:rsid w:val="007950AF"/>
    <w:rsid w:val="00795651"/>
    <w:rsid w:val="007A25C4"/>
    <w:rsid w:val="007A6D07"/>
    <w:rsid w:val="007B0118"/>
    <w:rsid w:val="007B3344"/>
    <w:rsid w:val="007C12FC"/>
    <w:rsid w:val="007C74F4"/>
    <w:rsid w:val="007C7B2E"/>
    <w:rsid w:val="007D1F1E"/>
    <w:rsid w:val="007D3F66"/>
    <w:rsid w:val="007D4400"/>
    <w:rsid w:val="007E452E"/>
    <w:rsid w:val="007F4EA5"/>
    <w:rsid w:val="008066CB"/>
    <w:rsid w:val="00807841"/>
    <w:rsid w:val="0081249A"/>
    <w:rsid w:val="00813CA6"/>
    <w:rsid w:val="00814022"/>
    <w:rsid w:val="00821EFD"/>
    <w:rsid w:val="00835B7A"/>
    <w:rsid w:val="00841627"/>
    <w:rsid w:val="0084171C"/>
    <w:rsid w:val="00844806"/>
    <w:rsid w:val="008454D0"/>
    <w:rsid w:val="008461A1"/>
    <w:rsid w:val="008570C6"/>
    <w:rsid w:val="00874F0E"/>
    <w:rsid w:val="008778BE"/>
    <w:rsid w:val="00887A22"/>
    <w:rsid w:val="0089112E"/>
    <w:rsid w:val="00891667"/>
    <w:rsid w:val="008924DB"/>
    <w:rsid w:val="00894B1D"/>
    <w:rsid w:val="0089577D"/>
    <w:rsid w:val="008A2208"/>
    <w:rsid w:val="008A720E"/>
    <w:rsid w:val="008B0E7E"/>
    <w:rsid w:val="008B1B37"/>
    <w:rsid w:val="008C47F9"/>
    <w:rsid w:val="008C62B1"/>
    <w:rsid w:val="008C6CA0"/>
    <w:rsid w:val="008D08AB"/>
    <w:rsid w:val="008D3280"/>
    <w:rsid w:val="008D6AD0"/>
    <w:rsid w:val="008E01CD"/>
    <w:rsid w:val="008E2825"/>
    <w:rsid w:val="008E3EC3"/>
    <w:rsid w:val="00905F38"/>
    <w:rsid w:val="00906ACD"/>
    <w:rsid w:val="009204C9"/>
    <w:rsid w:val="00921672"/>
    <w:rsid w:val="00934A6C"/>
    <w:rsid w:val="00937007"/>
    <w:rsid w:val="00951E11"/>
    <w:rsid w:val="00953945"/>
    <w:rsid w:val="00983C47"/>
    <w:rsid w:val="00984CB3"/>
    <w:rsid w:val="00987437"/>
    <w:rsid w:val="00987462"/>
    <w:rsid w:val="009B03E4"/>
    <w:rsid w:val="009B0CA8"/>
    <w:rsid w:val="009B1FAE"/>
    <w:rsid w:val="009B76C5"/>
    <w:rsid w:val="009C5B11"/>
    <w:rsid w:val="009D656E"/>
    <w:rsid w:val="009D685B"/>
    <w:rsid w:val="009E22F3"/>
    <w:rsid w:val="009E3977"/>
    <w:rsid w:val="009E75D2"/>
    <w:rsid w:val="009F3034"/>
    <w:rsid w:val="009F4649"/>
    <w:rsid w:val="00A01A2A"/>
    <w:rsid w:val="00A01C7F"/>
    <w:rsid w:val="00A068B4"/>
    <w:rsid w:val="00A133B4"/>
    <w:rsid w:val="00A20841"/>
    <w:rsid w:val="00A35BDD"/>
    <w:rsid w:val="00A40CE3"/>
    <w:rsid w:val="00A45AE7"/>
    <w:rsid w:val="00A45F71"/>
    <w:rsid w:val="00A46822"/>
    <w:rsid w:val="00A46ABA"/>
    <w:rsid w:val="00A5409D"/>
    <w:rsid w:val="00A60A08"/>
    <w:rsid w:val="00A64D7E"/>
    <w:rsid w:val="00A65995"/>
    <w:rsid w:val="00A6763E"/>
    <w:rsid w:val="00A72A00"/>
    <w:rsid w:val="00A76E6A"/>
    <w:rsid w:val="00A82BE9"/>
    <w:rsid w:val="00A854DB"/>
    <w:rsid w:val="00A90962"/>
    <w:rsid w:val="00A930EA"/>
    <w:rsid w:val="00A94C7F"/>
    <w:rsid w:val="00AA145C"/>
    <w:rsid w:val="00AA3689"/>
    <w:rsid w:val="00AA67A8"/>
    <w:rsid w:val="00AA7988"/>
    <w:rsid w:val="00AB1292"/>
    <w:rsid w:val="00AB256E"/>
    <w:rsid w:val="00AB38C4"/>
    <w:rsid w:val="00AB47C6"/>
    <w:rsid w:val="00AB626F"/>
    <w:rsid w:val="00AC0079"/>
    <w:rsid w:val="00AC13B2"/>
    <w:rsid w:val="00AE6C32"/>
    <w:rsid w:val="00AE7E15"/>
    <w:rsid w:val="00B016A4"/>
    <w:rsid w:val="00B03E0B"/>
    <w:rsid w:val="00B06ECC"/>
    <w:rsid w:val="00B075CA"/>
    <w:rsid w:val="00B115E6"/>
    <w:rsid w:val="00B131E4"/>
    <w:rsid w:val="00B14EE8"/>
    <w:rsid w:val="00B1569F"/>
    <w:rsid w:val="00B171DF"/>
    <w:rsid w:val="00B26E85"/>
    <w:rsid w:val="00B2761B"/>
    <w:rsid w:val="00B31B0B"/>
    <w:rsid w:val="00B32FA4"/>
    <w:rsid w:val="00B34158"/>
    <w:rsid w:val="00B41453"/>
    <w:rsid w:val="00B4268E"/>
    <w:rsid w:val="00B43DBB"/>
    <w:rsid w:val="00B52E64"/>
    <w:rsid w:val="00B5598B"/>
    <w:rsid w:val="00B577FA"/>
    <w:rsid w:val="00B65DEE"/>
    <w:rsid w:val="00B67E81"/>
    <w:rsid w:val="00B75B1B"/>
    <w:rsid w:val="00B77852"/>
    <w:rsid w:val="00B84518"/>
    <w:rsid w:val="00B90889"/>
    <w:rsid w:val="00B93A4A"/>
    <w:rsid w:val="00B93EE0"/>
    <w:rsid w:val="00B95DCF"/>
    <w:rsid w:val="00B96DD6"/>
    <w:rsid w:val="00BB675B"/>
    <w:rsid w:val="00BC00F4"/>
    <w:rsid w:val="00BD3789"/>
    <w:rsid w:val="00BD47DA"/>
    <w:rsid w:val="00BD49A7"/>
    <w:rsid w:val="00BE0AC3"/>
    <w:rsid w:val="00BE4290"/>
    <w:rsid w:val="00BE47F6"/>
    <w:rsid w:val="00BF38D9"/>
    <w:rsid w:val="00BF5A67"/>
    <w:rsid w:val="00C01629"/>
    <w:rsid w:val="00C024A3"/>
    <w:rsid w:val="00C02D58"/>
    <w:rsid w:val="00C03470"/>
    <w:rsid w:val="00C144DF"/>
    <w:rsid w:val="00C24AC5"/>
    <w:rsid w:val="00C263F5"/>
    <w:rsid w:val="00C317CB"/>
    <w:rsid w:val="00C33568"/>
    <w:rsid w:val="00C34D26"/>
    <w:rsid w:val="00C35FAB"/>
    <w:rsid w:val="00C507AB"/>
    <w:rsid w:val="00C56E5F"/>
    <w:rsid w:val="00C57CEF"/>
    <w:rsid w:val="00C66050"/>
    <w:rsid w:val="00C67466"/>
    <w:rsid w:val="00C6794E"/>
    <w:rsid w:val="00C67C45"/>
    <w:rsid w:val="00C71594"/>
    <w:rsid w:val="00C727D8"/>
    <w:rsid w:val="00C72FED"/>
    <w:rsid w:val="00C81881"/>
    <w:rsid w:val="00C831B4"/>
    <w:rsid w:val="00C83269"/>
    <w:rsid w:val="00C93FF8"/>
    <w:rsid w:val="00CA190F"/>
    <w:rsid w:val="00CA27D7"/>
    <w:rsid w:val="00CA2E9E"/>
    <w:rsid w:val="00CC308C"/>
    <w:rsid w:val="00CD6E05"/>
    <w:rsid w:val="00CE1210"/>
    <w:rsid w:val="00CE2570"/>
    <w:rsid w:val="00CE4479"/>
    <w:rsid w:val="00CF1421"/>
    <w:rsid w:val="00CF77E6"/>
    <w:rsid w:val="00D0218A"/>
    <w:rsid w:val="00D022A5"/>
    <w:rsid w:val="00D027C5"/>
    <w:rsid w:val="00D034FB"/>
    <w:rsid w:val="00D059B1"/>
    <w:rsid w:val="00D07A15"/>
    <w:rsid w:val="00D215E0"/>
    <w:rsid w:val="00D260AB"/>
    <w:rsid w:val="00D35E03"/>
    <w:rsid w:val="00D51DD8"/>
    <w:rsid w:val="00D6028E"/>
    <w:rsid w:val="00D72B65"/>
    <w:rsid w:val="00D9065D"/>
    <w:rsid w:val="00D94AA9"/>
    <w:rsid w:val="00D96145"/>
    <w:rsid w:val="00DA20D3"/>
    <w:rsid w:val="00DA77AB"/>
    <w:rsid w:val="00DB3FEF"/>
    <w:rsid w:val="00DC0B07"/>
    <w:rsid w:val="00DC0F1E"/>
    <w:rsid w:val="00DD18CD"/>
    <w:rsid w:val="00DD3978"/>
    <w:rsid w:val="00DE5B27"/>
    <w:rsid w:val="00DE68D3"/>
    <w:rsid w:val="00DE7F5F"/>
    <w:rsid w:val="00DF085F"/>
    <w:rsid w:val="00E02B41"/>
    <w:rsid w:val="00E11343"/>
    <w:rsid w:val="00E11B38"/>
    <w:rsid w:val="00E16B77"/>
    <w:rsid w:val="00E2159C"/>
    <w:rsid w:val="00E25610"/>
    <w:rsid w:val="00E2674A"/>
    <w:rsid w:val="00E325B1"/>
    <w:rsid w:val="00E33F6B"/>
    <w:rsid w:val="00E4484B"/>
    <w:rsid w:val="00E519BB"/>
    <w:rsid w:val="00E51CF4"/>
    <w:rsid w:val="00E524BC"/>
    <w:rsid w:val="00E56964"/>
    <w:rsid w:val="00E57602"/>
    <w:rsid w:val="00E61D9E"/>
    <w:rsid w:val="00E6317F"/>
    <w:rsid w:val="00E63718"/>
    <w:rsid w:val="00E67F01"/>
    <w:rsid w:val="00E733ED"/>
    <w:rsid w:val="00E7418F"/>
    <w:rsid w:val="00E74533"/>
    <w:rsid w:val="00E74BB1"/>
    <w:rsid w:val="00E7608C"/>
    <w:rsid w:val="00E8186F"/>
    <w:rsid w:val="00E81BCD"/>
    <w:rsid w:val="00E82C62"/>
    <w:rsid w:val="00E92C11"/>
    <w:rsid w:val="00EA413D"/>
    <w:rsid w:val="00EA4403"/>
    <w:rsid w:val="00EB0BEB"/>
    <w:rsid w:val="00EB5C4E"/>
    <w:rsid w:val="00EC10DE"/>
    <w:rsid w:val="00EC62A2"/>
    <w:rsid w:val="00EE3592"/>
    <w:rsid w:val="00EE5BB8"/>
    <w:rsid w:val="00EE5D7F"/>
    <w:rsid w:val="00EF1A47"/>
    <w:rsid w:val="00F034C0"/>
    <w:rsid w:val="00F11A19"/>
    <w:rsid w:val="00F1535A"/>
    <w:rsid w:val="00F24423"/>
    <w:rsid w:val="00F2533A"/>
    <w:rsid w:val="00F303F0"/>
    <w:rsid w:val="00F37B6B"/>
    <w:rsid w:val="00F4060F"/>
    <w:rsid w:val="00F42813"/>
    <w:rsid w:val="00F43D55"/>
    <w:rsid w:val="00F60C82"/>
    <w:rsid w:val="00F61AD8"/>
    <w:rsid w:val="00F7417D"/>
    <w:rsid w:val="00F74EDF"/>
    <w:rsid w:val="00F74F9D"/>
    <w:rsid w:val="00F77C6E"/>
    <w:rsid w:val="00F822B3"/>
    <w:rsid w:val="00F82B29"/>
    <w:rsid w:val="00F96AD9"/>
    <w:rsid w:val="00FA08C0"/>
    <w:rsid w:val="00FB1968"/>
    <w:rsid w:val="00FD1219"/>
    <w:rsid w:val="00FD2C39"/>
    <w:rsid w:val="00FE359A"/>
    <w:rsid w:val="00FE52C6"/>
    <w:rsid w:val="00FE6E9C"/>
    <w:rsid w:val="00FF3768"/>
    <w:rsid w:val="1153AA66"/>
    <w:rsid w:val="24CAFA4C"/>
    <w:rsid w:val="2B173922"/>
    <w:rsid w:val="5134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8F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E7E"/>
    <w:rPr>
      <w:rFonts w:eastAsiaTheme="minorEastAsi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0E7E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C5B11"/>
    <w:pPr>
      <w:keepNext/>
      <w:keepLines/>
      <w:numPr>
        <w:ilvl w:val="1"/>
        <w:numId w:val="5"/>
      </w:numPr>
      <w:spacing w:before="40" w:after="0"/>
      <w:ind w:left="792"/>
      <w:outlineLvl w:val="1"/>
    </w:pPr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B0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B0E7E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B0E7E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B0E7E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B0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B0E7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B0E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E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C5B11"/>
    <w:rPr>
      <w:rFonts w:asciiTheme="majorHAnsi" w:eastAsiaTheme="majorEastAsia" w:hAnsiTheme="majorHAnsi" w:cstheme="majorBidi"/>
      <w:color w:val="0070C0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B0E7E"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8B0E7E"/>
    <w:rPr>
      <w:rFonts w:eastAsiaTheme="minorEastAsia"/>
      <w:i/>
      <w:iCs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8B0E7E"/>
    <w:rPr>
      <w:rFonts w:eastAsiaTheme="minorEastAsia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8B0E7E"/>
    <w:rPr>
      <w:rFonts w:eastAsiaTheme="minorEastAsia"/>
      <w:color w:val="1F3864" w:themeColor="accent1" w:themeShade="80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8B0E7E"/>
    <w:rPr>
      <w:rFonts w:asciiTheme="majorHAnsi" w:eastAsiaTheme="majorEastAsia" w:hAnsiTheme="majorHAnsi" w:cstheme="majorBidi"/>
      <w:i/>
      <w:iCs/>
      <w:color w:val="1F3864" w:themeColor="accent1" w:themeShade="80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8B0E7E"/>
    <w:rPr>
      <w:rFonts w:eastAsiaTheme="minorEastAsia"/>
      <w:color w:val="262626" w:themeColor="text1" w:themeTint="D9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8B0E7E"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  <w14:ligatures w14:val="non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B0E7E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8B0E7E"/>
    <w:rPr>
      <w:rFonts w:eastAsiaTheme="minorEastAsia"/>
      <w:kern w:val="0"/>
      <w14:ligatures w14:val="none"/>
    </w:rPr>
  </w:style>
  <w:style w:type="paragraph" w:styleId="Bezmezer">
    <w:name w:val="No Spacing"/>
    <w:link w:val="BezmezerChar"/>
    <w:uiPriority w:val="1"/>
    <w:qFormat/>
    <w:rsid w:val="008B0E7E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BezmezerChar">
    <w:name w:val="Bez mezer Char"/>
    <w:link w:val="Bezmezer"/>
    <w:uiPriority w:val="1"/>
    <w:locked/>
    <w:rsid w:val="008B0E7E"/>
    <w:rPr>
      <w:rFonts w:eastAsiaTheme="minorEastAsia"/>
      <w:kern w:val="0"/>
      <w14:ligatures w14:val="none"/>
    </w:rPr>
  </w:style>
  <w:style w:type="table" w:styleId="Tabulkaseznamu3">
    <w:name w:val="List Table 3"/>
    <w:basedOn w:val="Normlntabulka"/>
    <w:uiPriority w:val="48"/>
    <w:rsid w:val="008B0E7E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arkedcontent">
    <w:name w:val="markedcontent"/>
    <w:basedOn w:val="Standardnpsmoodstavce"/>
    <w:rsid w:val="008B0E7E"/>
  </w:style>
  <w:style w:type="character" w:styleId="Odkaznakoment">
    <w:name w:val="annotation reference"/>
    <w:basedOn w:val="Standardnpsmoodstavce"/>
    <w:uiPriority w:val="99"/>
    <w:semiHidden/>
    <w:unhideWhenUsed/>
    <w:rsid w:val="008B0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0E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0E7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E7E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Zmnka1">
    <w:name w:val="Zmínka1"/>
    <w:basedOn w:val="Standardnpsmoodstavce"/>
    <w:uiPriority w:val="99"/>
    <w:unhideWhenUsed/>
    <w:rsid w:val="008B0E7E"/>
    <w:rPr>
      <w:color w:val="2B579A"/>
      <w:shd w:val="clear" w:color="auto" w:fill="E1DFDD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B0E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B0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E7E"/>
    <w:rPr>
      <w:rFonts w:asciiTheme="majorHAnsi" w:eastAsiaTheme="majorEastAsia" w:hAnsiTheme="majorHAnsi" w:cstheme="majorBidi"/>
      <w:spacing w:val="-10"/>
      <w:kern w:val="0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E7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B0E7E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8B0E7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8B0E7E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8B0E7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E7E"/>
    <w:rPr>
      <w:rFonts w:eastAsiaTheme="minorEastAsia"/>
      <w:i/>
      <w:iCs/>
      <w:color w:val="404040" w:themeColor="text1" w:themeTint="BF"/>
      <w:kern w:val="0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E7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E7E"/>
    <w:rPr>
      <w:rFonts w:eastAsiaTheme="minorEastAsia"/>
      <w:i/>
      <w:iCs/>
      <w:color w:val="4472C4" w:themeColor="accent1"/>
      <w:kern w:val="0"/>
      <w14:ligatures w14:val="none"/>
    </w:rPr>
  </w:style>
  <w:style w:type="character" w:styleId="Zdraznnjemn">
    <w:name w:val="Subtle Emphasis"/>
    <w:basedOn w:val="Standardnpsmoodstavce"/>
    <w:uiPriority w:val="19"/>
    <w:qFormat/>
    <w:rsid w:val="008B0E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B0E7E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8B0E7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B0E7E"/>
    <w:rPr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8B0E7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0E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8B0E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0E7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E7E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ui-provider">
    <w:name w:val="ui-provider"/>
    <w:basedOn w:val="Standardnpsmoodstavce"/>
    <w:rsid w:val="008B0E7E"/>
  </w:style>
  <w:style w:type="paragraph" w:customStyle="1" w:styleId="Default">
    <w:name w:val="Default"/>
    <w:rsid w:val="008B0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8B0E7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8B0E7E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8B0E7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6A5B8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0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ECC"/>
    <w:rPr>
      <w:rFonts w:eastAsiaTheme="minorEastAsia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0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ECC"/>
    <w:rPr>
      <w:rFonts w:eastAsiaTheme="minorEastAsia"/>
      <w:kern w:val="0"/>
      <w14:ligatures w14:val="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F464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E6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tibilityguide.broadco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ort.hpe.com/hpesc/public/docDisplay?docId=sd00006551en_us&amp;page=GUID-EA7C0803-E66B-4B17-B994-30D4025A258F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4B18-42F4-4642-B873-E0F0B384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4183</Characters>
  <Application>Microsoft Office Word</Application>
  <DocSecurity>0</DocSecurity>
  <Lines>87</Lines>
  <Paragraphs>34</Paragraphs>
  <ScaleCrop>false</ScaleCrop>
  <Manager/>
  <Company/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2026-01-21T10:53:00Z</dcterms:created>
  <dcterms:modified xsi:type="dcterms:W3CDTF">2026-01-25T19:41:00Z</dcterms:modified>
  <cp:category/>
</cp:coreProperties>
</file>