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36C3" w14:textId="3F312AFB" w:rsidR="007019A9" w:rsidRPr="00FA366B" w:rsidRDefault="00AA4A1F" w:rsidP="007019A9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FA366B">
        <w:rPr>
          <w:rFonts w:asciiTheme="majorHAnsi" w:hAnsiTheme="majorHAnsi" w:cs="Times New Roman"/>
          <w:b/>
          <w:sz w:val="32"/>
          <w:szCs w:val="32"/>
        </w:rPr>
        <w:t>PODMÍNKY DNSH</w:t>
      </w:r>
    </w:p>
    <w:p w14:paraId="36F2DE91" w14:textId="69C23FDF" w:rsidR="00AA4A1F" w:rsidRPr="00AA4A1F" w:rsidRDefault="00AA4A1F" w:rsidP="007019A9">
      <w:pPr>
        <w:jc w:val="center"/>
      </w:pPr>
      <w:r w:rsidRPr="0076308D">
        <w:rPr>
          <w:rFonts w:asciiTheme="majorHAnsi" w:hAnsiTheme="majorHAnsi" w:cs="Times New Roman"/>
          <w:b/>
        </w:rPr>
        <w:t>(zásada „významně nepoškozovat“)</w:t>
      </w:r>
    </w:p>
    <w:p w14:paraId="2D3EABA0" w14:textId="77777777" w:rsidR="00AA4A1F" w:rsidRDefault="00AA4A1F" w:rsidP="00AA4A1F">
      <w:pPr>
        <w:spacing w:before="120"/>
        <w:rPr>
          <w:rFonts w:asciiTheme="majorHAnsi" w:hAnsiTheme="majorHAnsi" w:cs="Times New Roman"/>
          <w:b/>
          <w:lang w:eastAsia="cs-CZ"/>
        </w:rPr>
      </w:pPr>
    </w:p>
    <w:p w14:paraId="137E3B6A" w14:textId="72C38049" w:rsidR="00AA4A1F" w:rsidRPr="00CA4B1F" w:rsidRDefault="00AA4A1F" w:rsidP="00CA4B1F">
      <w:pPr>
        <w:spacing w:before="120"/>
        <w:jc w:val="both"/>
        <w:rPr>
          <w:rFonts w:ascii="Palatino Linotype" w:hAnsi="Palatino Linotype" w:cs="Times New Roman"/>
          <w:b/>
          <w:lang w:eastAsia="cs-CZ"/>
        </w:rPr>
      </w:pPr>
      <w:r w:rsidRPr="00CA4B1F">
        <w:rPr>
          <w:rFonts w:ascii="Palatino Linotype" w:hAnsi="Palatino Linotype" w:cs="Times New Roman"/>
          <w:b/>
          <w:lang w:eastAsia="cs-CZ"/>
        </w:rPr>
        <w:t>I. Udržitelné využívání a ochrana vodních zdrojů:</w:t>
      </w:r>
    </w:p>
    <w:p w14:paraId="6CBA1218" w14:textId="77777777" w:rsidR="00AA4A1F" w:rsidRPr="00CA4B1F" w:rsidRDefault="00AA4A1F" w:rsidP="00CA4B1F">
      <w:pPr>
        <w:spacing w:after="60" w:line="276" w:lineRule="auto"/>
        <w:jc w:val="both"/>
        <w:rPr>
          <w:rFonts w:ascii="Palatino Linotype" w:hAnsi="Palatino Linotype"/>
        </w:rPr>
      </w:pPr>
      <w:r w:rsidRPr="00CA4B1F">
        <w:rPr>
          <w:rFonts w:ascii="Palatino Linotype" w:hAnsi="Palatino Linotype"/>
        </w:rPr>
        <w:t>Jsou-li instalována tato zařízení k využívání vody, je pro ně uvedená spotřeba vody doložena technickými listy výrobku, stavební certifikací nebo stávajícím štítkem výrobku v EU:</w:t>
      </w:r>
    </w:p>
    <w:p w14:paraId="39551296" w14:textId="77777777" w:rsidR="00AA4A1F" w:rsidRPr="00CA4B1F" w:rsidRDefault="00AA4A1F" w:rsidP="00CA4B1F">
      <w:pPr>
        <w:spacing w:after="60" w:line="276" w:lineRule="auto"/>
        <w:ind w:left="708"/>
        <w:jc w:val="both"/>
        <w:rPr>
          <w:rFonts w:ascii="Palatino Linotype" w:hAnsi="Palatino Linotype"/>
        </w:rPr>
      </w:pPr>
      <w:r w:rsidRPr="00CA4B1F">
        <w:rPr>
          <w:rFonts w:ascii="Palatino Linotype" w:hAnsi="Palatino Linotype"/>
        </w:rPr>
        <w:t>a) umyvadlové baterie a kuchyňské baterie mají maximální průtok vody 6 litrů/min;</w:t>
      </w:r>
    </w:p>
    <w:p w14:paraId="0FB6E5AD" w14:textId="77777777" w:rsidR="00AA4A1F" w:rsidRPr="00CA4B1F" w:rsidRDefault="00AA4A1F" w:rsidP="00CA4B1F">
      <w:pPr>
        <w:spacing w:after="60" w:line="276" w:lineRule="auto"/>
        <w:ind w:left="708"/>
        <w:jc w:val="both"/>
        <w:rPr>
          <w:rFonts w:ascii="Palatino Linotype" w:hAnsi="Palatino Linotype"/>
        </w:rPr>
      </w:pPr>
      <w:r w:rsidRPr="00CA4B1F">
        <w:rPr>
          <w:rFonts w:ascii="Palatino Linotype" w:hAnsi="Palatino Linotype"/>
        </w:rPr>
        <w:t>b) sprchy mají maximální průtok vody 8 litrů/min;</w:t>
      </w:r>
    </w:p>
    <w:p w14:paraId="7695E7E0" w14:textId="77777777" w:rsidR="00AA4A1F" w:rsidRPr="00CA4B1F" w:rsidRDefault="00AA4A1F" w:rsidP="00CA4B1F">
      <w:pPr>
        <w:spacing w:after="60" w:line="276" w:lineRule="auto"/>
        <w:ind w:left="708"/>
        <w:jc w:val="both"/>
        <w:rPr>
          <w:rFonts w:ascii="Palatino Linotype" w:hAnsi="Palatino Linotype"/>
        </w:rPr>
      </w:pPr>
      <w:r w:rsidRPr="00CA4B1F">
        <w:rPr>
          <w:rFonts w:ascii="Palatino Linotype" w:hAnsi="Palatino Linotype"/>
        </w:rPr>
        <w:t xml:space="preserve">c) WC, zahrnující soupravy, mísy a splachovací nádrže, mají úplný objem splachovací vody maximálně 6 litrů a maximální průměrný objem splachovací vody </w:t>
      </w:r>
      <w:bookmarkStart w:id="0" w:name="_Hlk171594169"/>
      <w:r w:rsidRPr="00CA4B1F">
        <w:rPr>
          <w:rFonts w:ascii="Palatino Linotype" w:hAnsi="Palatino Linotype"/>
        </w:rPr>
        <w:t xml:space="preserve">3,75 litru; (vypočteno dle vzorce </w:t>
      </w:r>
      <m:oMath>
        <m:r>
          <w:rPr>
            <w:rFonts w:ascii="Cambria Math" w:hAnsi="Cambria Math"/>
          </w:rPr>
          <m:t>Va</m:t>
        </m:r>
      </m:oMath>
      <w:r w:rsidRPr="00CA4B1F">
        <w:rPr>
          <w:rFonts w:ascii="Palatino Linotype" w:hAnsi="Palatino Linotype"/>
        </w:rPr>
        <w:t xml:space="preserve">  = (V</w:t>
      </w:r>
      <m:oMath>
        <m:r>
          <w:rPr>
            <w:rFonts w:ascii="Cambria Math" w:hAnsi="Cambria Math"/>
          </w:rPr>
          <m:t>f</m:t>
        </m:r>
      </m:oMath>
      <w:r w:rsidRPr="00CA4B1F">
        <w:rPr>
          <w:rFonts w:ascii="Palatino Linotype" w:hAnsi="Palatino Linotype"/>
        </w:rPr>
        <w:t xml:space="preserve">  + (3 × </w:t>
      </w:r>
      <m:oMath>
        <m:r>
          <w:rPr>
            <w:rFonts w:ascii="Cambria Math" w:hAnsi="Cambria Math"/>
          </w:rPr>
          <m:t>Vr</m:t>
        </m:r>
      </m:oMath>
      <w:r w:rsidRPr="00CA4B1F">
        <w:rPr>
          <w:rFonts w:ascii="Palatino Linotype" w:hAnsi="Palatino Linotype"/>
        </w:rPr>
        <w:t>)) /4); (Va =průměrný objem; Vf = úplné (velké) spláchnutí, 6 l; Vr = redukované (malé) spláchnutí, 3 l)</w:t>
      </w:r>
      <w:bookmarkEnd w:id="0"/>
    </w:p>
    <w:p w14:paraId="6FED67E5" w14:textId="77777777" w:rsidR="00AA4A1F" w:rsidRPr="00CA4B1F" w:rsidRDefault="00AA4A1F" w:rsidP="00CA4B1F">
      <w:pPr>
        <w:pStyle w:val="Odstavecseseznamem"/>
        <w:spacing w:before="120"/>
        <w:ind w:left="756"/>
        <w:jc w:val="both"/>
        <w:rPr>
          <w:rFonts w:ascii="Palatino Linotype" w:eastAsia="Times New Roman" w:hAnsi="Palatino Linotype"/>
          <w:lang w:eastAsia="cs-CZ"/>
        </w:rPr>
      </w:pPr>
      <w:r w:rsidRPr="00CA4B1F">
        <w:rPr>
          <w:rFonts w:ascii="Palatino Linotype" w:eastAsia="Times New Roman" w:hAnsi="Palatino Linotype"/>
          <w:lang w:eastAsia="cs-CZ"/>
        </w:rPr>
        <w:t>d) pisoáry spotřebují maximálně 2 litry/mísu/hodinu. Splachovací pisoáry mají maximální úplný objem splachovací vody 1 litr.</w:t>
      </w:r>
    </w:p>
    <w:p w14:paraId="7EC95732" w14:textId="77777777" w:rsidR="00AA4A1F" w:rsidRPr="00CA4B1F" w:rsidRDefault="00AA4A1F" w:rsidP="00CA4B1F">
      <w:pPr>
        <w:spacing w:before="120"/>
        <w:jc w:val="both"/>
        <w:rPr>
          <w:rFonts w:ascii="Palatino Linotype" w:hAnsi="Palatino Linotype" w:cs="Arial"/>
          <w:i/>
          <w:iCs/>
          <w:color w:val="BF4E14" w:themeColor="accent2" w:themeShade="BF"/>
        </w:rPr>
      </w:pPr>
      <w:r w:rsidRPr="00CA4B1F">
        <w:rPr>
          <w:rFonts w:ascii="Palatino Linotype" w:hAnsi="Palatino Linotype" w:cs="Arial"/>
          <w:i/>
          <w:iCs/>
          <w:color w:val="BF4E14" w:themeColor="accent2" w:themeShade="BF"/>
        </w:rPr>
        <w:t xml:space="preserve">Jsou-li v rámci realizace zakázky realizovány položky uvedené výše (zařízení k využívání vody), účastník je v rámci realizace zakázky povinen dodržovat výše uvedené podmínky. </w:t>
      </w:r>
      <w:bookmarkStart w:id="1" w:name="_Hlk171594212"/>
      <w:r w:rsidRPr="00CA4B1F">
        <w:rPr>
          <w:rFonts w:ascii="Palatino Linotype" w:hAnsi="Palatino Linotype" w:cs="Arial"/>
          <w:i/>
          <w:iCs/>
          <w:color w:val="BF4E14" w:themeColor="accent2" w:themeShade="BF"/>
        </w:rPr>
        <w:t xml:space="preserve">Při předání předmětu plnění doloží dodavatel naplnění požadavků technickými listy výrobků, jejich certifikaci či štítek EU, který prokáže, že jsou naplněny podmínky k požadované spotřeby </w:t>
      </w:r>
      <w:bookmarkEnd w:id="1"/>
      <w:r w:rsidRPr="00CA4B1F">
        <w:rPr>
          <w:rFonts w:ascii="Palatino Linotype" w:hAnsi="Palatino Linotype" w:cs="Arial"/>
          <w:i/>
          <w:iCs/>
          <w:color w:val="BF4E14" w:themeColor="accent2" w:themeShade="BF"/>
        </w:rPr>
        <w:t>vody.</w:t>
      </w:r>
    </w:p>
    <w:p w14:paraId="0D231C4B" w14:textId="77777777" w:rsidR="00AA4A1F" w:rsidRPr="00CA4B1F" w:rsidRDefault="00AA4A1F" w:rsidP="00CA4B1F">
      <w:pPr>
        <w:spacing w:before="120"/>
        <w:jc w:val="both"/>
        <w:rPr>
          <w:rFonts w:ascii="Palatino Linotype" w:hAnsi="Palatino Linotype" w:cs="Times New Roman"/>
          <w:b/>
          <w:lang w:eastAsia="cs-CZ"/>
        </w:rPr>
      </w:pPr>
    </w:p>
    <w:p w14:paraId="17012EDB" w14:textId="77777777" w:rsidR="00AA4A1F" w:rsidRPr="00CA4B1F" w:rsidRDefault="00AA4A1F" w:rsidP="00CA4B1F">
      <w:pPr>
        <w:spacing w:before="120"/>
        <w:jc w:val="both"/>
        <w:rPr>
          <w:rFonts w:ascii="Palatino Linotype" w:hAnsi="Palatino Linotype" w:cs="Times New Roman"/>
          <w:b/>
          <w:lang w:eastAsia="cs-CZ"/>
        </w:rPr>
      </w:pPr>
      <w:r w:rsidRPr="00CA4B1F">
        <w:rPr>
          <w:rFonts w:ascii="Palatino Linotype" w:hAnsi="Palatino Linotype" w:cs="Times New Roman"/>
          <w:b/>
          <w:lang w:eastAsia="cs-CZ"/>
        </w:rPr>
        <w:t>Přechod na oběhové hospodářství:</w:t>
      </w:r>
    </w:p>
    <w:p w14:paraId="236F5796" w14:textId="77777777" w:rsidR="00AA4A1F" w:rsidRPr="00CA4B1F" w:rsidRDefault="00AA4A1F" w:rsidP="00CA4B1F">
      <w:pPr>
        <w:spacing w:before="120"/>
        <w:jc w:val="both"/>
        <w:rPr>
          <w:rFonts w:ascii="Palatino Linotype" w:hAnsi="Palatino Linotype" w:cs="Times New Roman"/>
          <w:lang w:eastAsia="cs-CZ"/>
        </w:rPr>
      </w:pPr>
      <w:r w:rsidRPr="00CA4B1F">
        <w:rPr>
          <w:rFonts w:ascii="Palatino Linotype" w:hAnsi="Palatino Linotype" w:cs="Times New Roman"/>
          <w:lang w:eastAsia="cs-CZ"/>
        </w:rPr>
        <w:t>Nejméně 70 % (hmotnostních) stavebního a demoličního odpadu neklasifikovaného jako nebezpečný (s výjimkou v přírodě se vyskytujících materiálů uvedených v kategorii 17 05 04 v Evropském seznamu odpadů stanoveném rozhodnutím 2000/532/ES) vzniklého na staveništi musí být připraveno k opětovnému použití, recyklaci a k jiným druhům materiálového využití, včetně zásypů, při nichž jsou jiné materiály nahrazeny odpadem, v souladu s hierarchií způsobů nakládání s odpady a protokolem EU pro nakládání se stavebním a demoličním odpadem.</w:t>
      </w:r>
    </w:p>
    <w:p w14:paraId="1E422449" w14:textId="331112DB" w:rsidR="00AA4A1F" w:rsidRPr="00CA4B1F" w:rsidRDefault="00AA4A1F" w:rsidP="00CA4B1F">
      <w:pPr>
        <w:spacing w:before="120"/>
        <w:jc w:val="both"/>
        <w:rPr>
          <w:rFonts w:ascii="Palatino Linotype" w:hAnsi="Palatino Linotype" w:cs="Arial"/>
          <w:b/>
          <w:bCs/>
          <w:i/>
          <w:iCs/>
          <w:color w:val="BF4E14" w:themeColor="accent2" w:themeShade="BF"/>
        </w:rPr>
      </w:pPr>
      <w:r w:rsidRPr="00CA4B1F">
        <w:rPr>
          <w:rFonts w:ascii="Palatino Linotype" w:hAnsi="Palatino Linotype" w:cs="Arial"/>
          <w:i/>
          <w:iCs/>
          <w:color w:val="BF4E14" w:themeColor="accent2" w:themeShade="BF"/>
        </w:rPr>
        <w:t>V rámci zadávací dokumentace je uveřejněna příloha</w:t>
      </w:r>
      <w:r w:rsidR="00CA4B1F">
        <w:rPr>
          <w:rFonts w:ascii="Palatino Linotype" w:hAnsi="Palatino Linotype" w:cs="Arial"/>
          <w:i/>
          <w:iCs/>
          <w:color w:val="BF4E14" w:themeColor="accent2" w:themeShade="BF"/>
        </w:rPr>
        <w:t xml:space="preserve"> č. 7A</w:t>
      </w:r>
      <w:r w:rsidRPr="00CA4B1F">
        <w:rPr>
          <w:rFonts w:ascii="Palatino Linotype" w:hAnsi="Palatino Linotype" w:cs="Arial"/>
          <w:i/>
          <w:iCs/>
          <w:color w:val="BF4E14" w:themeColor="accent2" w:themeShade="BF"/>
        </w:rPr>
        <w:t xml:space="preserve"> (vzor plánu nakládání s odpady), která tvoří </w:t>
      </w:r>
      <w:r w:rsidRPr="00CA4B1F">
        <w:rPr>
          <w:rFonts w:ascii="Palatino Linotype" w:hAnsi="Palatino Linotype" w:cs="Arial"/>
          <w:b/>
          <w:bCs/>
          <w:i/>
          <w:iCs/>
          <w:color w:val="BF4E14" w:themeColor="accent2" w:themeShade="BF"/>
        </w:rPr>
        <w:t>návod pro zpracování Plánu nakládání s odpady</w:t>
      </w:r>
    </w:p>
    <w:p w14:paraId="6A76C807" w14:textId="77777777" w:rsidR="00AA4A1F" w:rsidRPr="00CA4B1F" w:rsidRDefault="00AA4A1F" w:rsidP="00CA4B1F">
      <w:pPr>
        <w:pStyle w:val="Odstavecseseznamem"/>
        <w:numPr>
          <w:ilvl w:val="0"/>
          <w:numId w:val="1"/>
        </w:numPr>
        <w:spacing w:before="120" w:after="120" w:line="240" w:lineRule="auto"/>
        <w:jc w:val="both"/>
        <w:rPr>
          <w:rFonts w:ascii="Palatino Linotype" w:hAnsi="Palatino Linotype" w:cs="Arial"/>
          <w:b/>
          <w:bCs/>
          <w:i/>
          <w:iCs/>
          <w:color w:val="BF4E14" w:themeColor="accent2" w:themeShade="BF"/>
        </w:rPr>
      </w:pPr>
      <w:r w:rsidRPr="00CA4B1F">
        <w:rPr>
          <w:rFonts w:ascii="Palatino Linotype" w:hAnsi="Palatino Linotype" w:cs="Arial"/>
          <w:b/>
          <w:bCs/>
          <w:i/>
          <w:iCs/>
          <w:color w:val="BF4E14" w:themeColor="accent2" w:themeShade="BF"/>
        </w:rPr>
        <w:t xml:space="preserve"> který bude před dokončením díla aktualizován dle skutečně vzniklých odpadů a jeho využití/uložení. </w:t>
      </w:r>
    </w:p>
    <w:p w14:paraId="69E4B322" w14:textId="77777777" w:rsidR="00AA4A1F" w:rsidRPr="00CA4B1F" w:rsidRDefault="00AA4A1F" w:rsidP="00CA4B1F">
      <w:pPr>
        <w:spacing w:before="120"/>
        <w:jc w:val="both"/>
        <w:rPr>
          <w:rFonts w:ascii="Palatino Linotype" w:hAnsi="Palatino Linotype" w:cs="Arial"/>
          <w:i/>
          <w:iCs/>
          <w:color w:val="BF4E14" w:themeColor="accent2" w:themeShade="BF"/>
        </w:rPr>
      </w:pPr>
      <w:r w:rsidRPr="00CA4B1F">
        <w:rPr>
          <w:rFonts w:ascii="Palatino Linotype" w:hAnsi="Palatino Linotype" w:cs="Arial"/>
          <w:i/>
          <w:iCs/>
          <w:color w:val="BF4E14" w:themeColor="accent2" w:themeShade="BF"/>
        </w:rPr>
        <w:t xml:space="preserve">V rámci realizace předmětu zakázky je účastník povinen evidovat pod relevantními kategoriemi veškerý vzniklý odpad v rámci realizace předmětu zakázky, který je povinen min. ze 70 % hmotnostního </w:t>
      </w:r>
      <w:r w:rsidRPr="00CA4B1F">
        <w:rPr>
          <w:rFonts w:ascii="Palatino Linotype" w:hAnsi="Palatino Linotype" w:cs="Arial"/>
          <w:i/>
          <w:iCs/>
          <w:color w:val="BF4E14" w:themeColor="accent2" w:themeShade="BF"/>
        </w:rPr>
        <w:lastRenderedPageBreak/>
        <w:t>stavebního a demoličního odpadu dle definice výše opětovně využít na staveništi, nebo předat k recyklaci na relevantní skládky oprávněné k těmto úkonům, což doloží při předání stavby (díla) aktualizovaným Plánem nakládání s odpady obsahující soupis a jeho zatřídění pod relevantní druhy a kategorie veškerého odpadu vzniklého odpadu na staveništi a způsob jeho opětovného využití. V případě předání odpadu na odpovídající skládku předloží kopii smlouvy o zajištění předání produkovaných stavebních a demoličních odpadů do zařízení určeného pro nakládání s daným druhem a kategorií odpadu dle § 15 odst. 2 písm. c) zákona č. 541/2020 Sb., o odpadech; nebo dokladem o převzetí odpadů od provozovatele zařízení dle § 17 odst. 1 písm. c) zákona č. 541/2020 Sb., o odpadech či vážní lístky. Dále je povinen předložit další dokumenty prokazující předání odpadu na skládku, která je oprávněna k recyklaci daného druhu odpadu (např. provozní řád apod.).</w:t>
      </w:r>
    </w:p>
    <w:p w14:paraId="74FFA7EF" w14:textId="77777777" w:rsidR="00CA4B1F" w:rsidRDefault="00CA4B1F" w:rsidP="00CA4B1F">
      <w:pPr>
        <w:spacing w:before="120"/>
        <w:jc w:val="both"/>
        <w:rPr>
          <w:rFonts w:ascii="Palatino Linotype" w:hAnsi="Palatino Linotype" w:cs="Times New Roman"/>
          <w:b/>
          <w:lang w:eastAsia="cs-CZ"/>
        </w:rPr>
      </w:pPr>
    </w:p>
    <w:p w14:paraId="05B907CE" w14:textId="02B5014D" w:rsidR="00AA4A1F" w:rsidRPr="00CA4B1F" w:rsidRDefault="00AA4A1F" w:rsidP="00CA4B1F">
      <w:pPr>
        <w:spacing w:before="120"/>
        <w:jc w:val="both"/>
        <w:rPr>
          <w:rFonts w:ascii="Palatino Linotype" w:hAnsi="Palatino Linotype" w:cs="Times New Roman"/>
          <w:b/>
          <w:lang w:eastAsia="cs-CZ"/>
        </w:rPr>
      </w:pPr>
      <w:r w:rsidRPr="00CA4B1F">
        <w:rPr>
          <w:rFonts w:ascii="Palatino Linotype" w:hAnsi="Palatino Linotype" w:cs="Times New Roman"/>
          <w:b/>
          <w:lang w:eastAsia="cs-CZ"/>
        </w:rPr>
        <w:t>Prevence a omezování znečištění:</w:t>
      </w:r>
    </w:p>
    <w:p w14:paraId="266D2542" w14:textId="77777777" w:rsidR="00AA4A1F" w:rsidRPr="00CA4B1F" w:rsidRDefault="00AA4A1F" w:rsidP="00CA4B1F">
      <w:pPr>
        <w:spacing w:before="120"/>
        <w:jc w:val="both"/>
        <w:rPr>
          <w:rFonts w:ascii="Palatino Linotype" w:hAnsi="Palatino Linotype" w:cs="Times New Roman"/>
          <w:lang w:eastAsia="cs-CZ"/>
        </w:rPr>
      </w:pPr>
      <w:r w:rsidRPr="00CA4B1F">
        <w:rPr>
          <w:rFonts w:ascii="Palatino Linotype" w:hAnsi="Palatino Linotype" w:cs="Times New Roman"/>
          <w:lang w:eastAsia="cs-CZ"/>
        </w:rPr>
        <w:t xml:space="preserve">Ze stavebních prvků a materiálů použitých při stavbě, které mohou přijít do styku s uživateli, se při zkouškách v souladu s podmínkami uvedenými v příloze XVII nařízení Evropského parlamentu a Rady (ES) č. 1907/2006 uvolňuje méně než 0,06 mg formaldehydu na m³ materiálu nebo prvku a při zkouškách podle normy CEN/EN 16516 a ISO 16000-3:2011 nebo jiných srovnatelných standardizovaných zkušebních podmínek a metod stanovení méně než 0,001 mg jiných karcinogenních těkavých organických sloučenin kategorie 1A a 1B na m³ materiálu nebo prvku. </w:t>
      </w:r>
    </w:p>
    <w:p w14:paraId="443B0A07" w14:textId="77777777" w:rsidR="00AA4A1F" w:rsidRPr="00CA4B1F" w:rsidRDefault="00AA4A1F" w:rsidP="00CA4B1F">
      <w:pPr>
        <w:spacing w:before="120"/>
        <w:jc w:val="both"/>
        <w:rPr>
          <w:rFonts w:ascii="Palatino Linotype" w:hAnsi="Palatino Linotype" w:cs="Times New Roman"/>
          <w:i/>
          <w:iCs/>
          <w:color w:val="BF4E14" w:themeColor="accent2" w:themeShade="BF"/>
          <w:lang w:eastAsia="cs-CZ"/>
        </w:rPr>
      </w:pPr>
      <w:r w:rsidRPr="00CA4B1F">
        <w:rPr>
          <w:rFonts w:ascii="Palatino Linotype" w:hAnsi="Palatino Linotype" w:cs="Times New Roman"/>
          <w:i/>
          <w:iCs/>
          <w:color w:val="BF4E14" w:themeColor="accent2" w:themeShade="BF"/>
          <w:lang w:eastAsia="cs-CZ"/>
        </w:rPr>
        <w:t>Účastník je povinen v případě realizace zakázky respektovat a dodržovat výše uvedenou podmínku.</w:t>
      </w:r>
    </w:p>
    <w:p w14:paraId="27FC7919" w14:textId="77777777" w:rsidR="00AA4A1F" w:rsidRPr="00CA4B1F" w:rsidRDefault="00AA4A1F" w:rsidP="00CA4B1F">
      <w:pPr>
        <w:spacing w:after="60" w:line="276" w:lineRule="auto"/>
        <w:jc w:val="both"/>
        <w:rPr>
          <w:rFonts w:ascii="Palatino Linotype" w:hAnsi="Palatino Linotype"/>
        </w:rPr>
      </w:pPr>
      <w:r w:rsidRPr="00CA4B1F">
        <w:rPr>
          <w:rFonts w:ascii="Palatino Linotype" w:hAnsi="Palatino Linotype"/>
        </w:rPr>
        <w:t>Přijímají se opatření ke snížení hluku, prachu a emisí znečišťujících látek při stavebních nebo údržbářských pracích.</w:t>
      </w:r>
    </w:p>
    <w:p w14:paraId="44413429" w14:textId="76CD9A1F" w:rsidR="00AA4A1F" w:rsidRPr="00CA4B1F" w:rsidRDefault="00AA4A1F" w:rsidP="00CA4B1F">
      <w:pPr>
        <w:jc w:val="both"/>
        <w:rPr>
          <w:rFonts w:ascii="Palatino Linotype" w:hAnsi="Palatino Linotype"/>
        </w:rPr>
      </w:pPr>
      <w:r w:rsidRPr="00CA4B1F">
        <w:rPr>
          <w:rFonts w:ascii="Palatino Linotype" w:hAnsi="Palatino Linotype" w:cs="Times New Roman"/>
          <w:i/>
          <w:iCs/>
          <w:color w:val="BF4E14" w:themeColor="accent2" w:themeShade="BF"/>
          <w:lang w:eastAsia="cs-CZ"/>
        </w:rPr>
        <w:t>Účastník je povinen v případě realizace zakázky realizovat opatření ke snížení hluku, prachu a emisí znečišťujících látek při stavebních/údržbářských pracích v souladu s relevantními normami a nařízeními.</w:t>
      </w:r>
    </w:p>
    <w:sectPr w:rsidR="00AA4A1F" w:rsidRPr="00CA4B1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0882" w14:textId="77777777" w:rsidR="00B21AD3" w:rsidRDefault="00B21AD3" w:rsidP="007019A9">
      <w:pPr>
        <w:spacing w:after="0" w:line="240" w:lineRule="auto"/>
      </w:pPr>
      <w:r>
        <w:separator/>
      </w:r>
    </w:p>
  </w:endnote>
  <w:endnote w:type="continuationSeparator" w:id="0">
    <w:p w14:paraId="0052C402" w14:textId="77777777" w:rsidR="00B21AD3" w:rsidRDefault="00B21AD3" w:rsidP="00701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E6F2" w14:textId="77777777" w:rsidR="00B21AD3" w:rsidRDefault="00B21AD3" w:rsidP="007019A9">
      <w:pPr>
        <w:spacing w:after="0" w:line="240" w:lineRule="auto"/>
      </w:pPr>
      <w:r>
        <w:separator/>
      </w:r>
    </w:p>
  </w:footnote>
  <w:footnote w:type="continuationSeparator" w:id="0">
    <w:p w14:paraId="19389652" w14:textId="77777777" w:rsidR="00B21AD3" w:rsidRDefault="00B21AD3" w:rsidP="00701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F5E4" w14:textId="763F1F36" w:rsidR="007019A9" w:rsidRDefault="00AC4E40" w:rsidP="00AC4E40">
    <w:pPr>
      <w:pStyle w:val="Zhlavvlevo"/>
      <w:jc w:val="center"/>
    </w:pPr>
    <w:r>
      <w:fldChar w:fldCharType="begin"/>
    </w:r>
    <w:r>
      <w:instrText xml:space="preserve"> INCLUDEPICTURE  "https://irop.gov.cz/getmedia/9997386a-f76a-414c-b41b-815c2f304206/EU-MMR-Barevne-RGB.jpg.aspx"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"https://irop.gov.cz/getmedia/9997386a-f76a-414c-b41b-815c2f304206/EU-MMR-Barevne-RGB.jpg.aspx" \* MERGEFORMATINET </w:instrText>
    </w:r>
    <w:r w:rsidR="00000000">
      <w:fldChar w:fldCharType="separate"/>
    </w:r>
    <w:r w:rsidR="00FA366B">
      <w:pict w14:anchorId="151B8C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EU-MMR-Barevne-RGB.jpg.aspx (2752×332)" style="width:303pt;height:37.5pt">
          <v:imagedata r:id="rId1" r:href="rId2"/>
        </v:shape>
      </w:pict>
    </w:r>
    <w:r w:rsidR="00000000">
      <w:fldChar w:fldCharType="end"/>
    </w:r>
    <w:r>
      <w:fldChar w:fldCharType="end"/>
    </w:r>
  </w:p>
  <w:p w14:paraId="166483CA" w14:textId="43250EB4" w:rsidR="007019A9" w:rsidRDefault="007019A9" w:rsidP="007019A9">
    <w:pPr>
      <w:pStyle w:val="Zhlavvlevo"/>
      <w:jc w:val="center"/>
    </w:pPr>
    <w:r>
      <w:tab/>
    </w:r>
  </w:p>
  <w:tbl>
    <w:tblPr>
      <w:tblW w:w="9328" w:type="dxa"/>
      <w:tblInd w:w="-95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left w:w="28" w:type="dxa"/>
      </w:tblCellMar>
      <w:tblLook w:val="04A0" w:firstRow="1" w:lastRow="0" w:firstColumn="1" w:lastColumn="0" w:noHBand="0" w:noVBand="1"/>
    </w:tblPr>
    <w:tblGrid>
      <w:gridCol w:w="9328"/>
    </w:tblGrid>
    <w:tr w:rsidR="007019A9" w14:paraId="6097E3F7" w14:textId="77777777" w:rsidTr="00C879D2">
      <w:trPr>
        <w:trHeight w:val="460"/>
      </w:trPr>
      <w:tc>
        <w:tcPr>
          <w:tcW w:w="9328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tcMar>
            <w:left w:w="28" w:type="dxa"/>
          </w:tcMar>
          <w:vAlign w:val="center"/>
        </w:tcPr>
        <w:p w14:paraId="29208B97" w14:textId="16B4A312" w:rsidR="007019A9" w:rsidRPr="00CA223D" w:rsidRDefault="007019A9" w:rsidP="007019A9">
          <w:pPr>
            <w:rPr>
              <w:rFonts w:ascii="Palatino Linotype" w:hAnsi="Palatino Linotype"/>
              <w:bCs/>
              <w:sz w:val="18"/>
              <w:szCs w:val="18"/>
            </w:rPr>
          </w:pPr>
          <w:r w:rsidRPr="00CA223D">
            <w:rPr>
              <w:rFonts w:ascii="Palatino Linotype" w:hAnsi="Palatino Linotype" w:cs="Arial"/>
              <w:bCs/>
              <w:sz w:val="18"/>
              <w:szCs w:val="18"/>
              <w:shd w:val="clear" w:color="auto" w:fill="FFFFFF"/>
            </w:rPr>
            <w:t xml:space="preserve">Příloha č. </w:t>
          </w:r>
          <w:r w:rsidR="0073119A">
            <w:rPr>
              <w:rFonts w:ascii="Palatino Linotype" w:hAnsi="Palatino Linotype" w:cs="Arial"/>
              <w:bCs/>
              <w:sz w:val="18"/>
              <w:szCs w:val="18"/>
              <w:shd w:val="clear" w:color="auto" w:fill="FFFFFF"/>
            </w:rPr>
            <w:t>4</w:t>
          </w:r>
          <w:r w:rsidRPr="00CA223D">
            <w:rPr>
              <w:rFonts w:ascii="Palatino Linotype" w:hAnsi="Palatino Linotype" w:cs="Arial"/>
              <w:bCs/>
              <w:sz w:val="18"/>
              <w:szCs w:val="18"/>
              <w:shd w:val="clear" w:color="auto" w:fill="FFFFFF"/>
            </w:rPr>
            <w:t xml:space="preserve"> ZD veřejné </w:t>
          </w:r>
          <w:r w:rsidRPr="00CA223D">
            <w:rPr>
              <w:rFonts w:ascii="Palatino Linotype" w:hAnsi="Palatino Linotype" w:cs="Tahoma"/>
              <w:bCs/>
              <w:sz w:val="18"/>
              <w:szCs w:val="18"/>
              <w:shd w:val="clear" w:color="auto" w:fill="FFFFFF"/>
            </w:rPr>
            <w:t>zakázky</w:t>
          </w:r>
          <w:r w:rsidR="0073119A">
            <w:rPr>
              <w:rFonts w:ascii="Palatino Linotype" w:hAnsi="Palatino Linotype" w:cs="Tahoma"/>
              <w:bCs/>
              <w:sz w:val="18"/>
              <w:szCs w:val="18"/>
              <w:shd w:val="clear" w:color="auto" w:fill="FFFFFF"/>
            </w:rPr>
            <w:t xml:space="preserve"> MR</w:t>
          </w:r>
          <w:r w:rsidRPr="00CA223D">
            <w:rPr>
              <w:rFonts w:ascii="Palatino Linotype" w:hAnsi="Palatino Linotype" w:cs="Tahoma"/>
              <w:bCs/>
              <w:sz w:val="18"/>
              <w:szCs w:val="18"/>
              <w:shd w:val="clear" w:color="auto" w:fill="FFFFFF"/>
            </w:rPr>
            <w:t xml:space="preserve"> </w:t>
          </w:r>
          <w:r w:rsidRPr="00CA223D">
            <w:rPr>
              <w:rFonts w:ascii="Palatino Linotype" w:hAnsi="Palatino Linotype" w:cs="Tahoma"/>
              <w:bCs/>
              <w:sz w:val="18"/>
              <w:szCs w:val="18"/>
            </w:rPr>
            <w:t>„</w:t>
          </w:r>
          <w:r w:rsidR="001D17CB" w:rsidRPr="00EF4FBC">
            <w:rPr>
              <w:rFonts w:ascii="Tahoma" w:hAnsi="Tahoma" w:cs="Tahoma"/>
              <w:b/>
              <w:bCs/>
              <w:sz w:val="18"/>
              <w:szCs w:val="18"/>
            </w:rPr>
            <w:t>Zázemí pro ŠPP, rozšíření ŠJ a ŠD, odborná učebna – vnitřní vybavení</w:t>
          </w:r>
          <w:r w:rsidRPr="00CA223D">
            <w:rPr>
              <w:rFonts w:ascii="Palatino Linotype" w:eastAsia="Courier New" w:hAnsi="Palatino Linotype" w:cs="Tahoma"/>
              <w:bCs/>
              <w:sz w:val="18"/>
              <w:szCs w:val="18"/>
            </w:rPr>
            <w:t>“</w:t>
          </w:r>
        </w:p>
      </w:tc>
    </w:tr>
  </w:tbl>
  <w:p w14:paraId="3F2FDB0C" w14:textId="3E1158D7" w:rsidR="007019A9" w:rsidRDefault="007019A9" w:rsidP="007019A9">
    <w:pPr>
      <w:pStyle w:val="Zhlav"/>
      <w:tabs>
        <w:tab w:val="left" w:pos="81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7539B"/>
    <w:multiLevelType w:val="hybridMultilevel"/>
    <w:tmpl w:val="4BA2F5E6"/>
    <w:lvl w:ilvl="0" w:tplc="D3C48178">
      <w:start w:val="7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072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1F"/>
    <w:rsid w:val="000B5C96"/>
    <w:rsid w:val="00151DC7"/>
    <w:rsid w:val="001D17CB"/>
    <w:rsid w:val="00213519"/>
    <w:rsid w:val="00435AC1"/>
    <w:rsid w:val="00527B31"/>
    <w:rsid w:val="005B26A6"/>
    <w:rsid w:val="007019A9"/>
    <w:rsid w:val="0073119A"/>
    <w:rsid w:val="008C2D76"/>
    <w:rsid w:val="008D35E4"/>
    <w:rsid w:val="00AA4A1F"/>
    <w:rsid w:val="00AC4E40"/>
    <w:rsid w:val="00AF637F"/>
    <w:rsid w:val="00B21AD3"/>
    <w:rsid w:val="00B900FC"/>
    <w:rsid w:val="00C36E70"/>
    <w:rsid w:val="00CA4B1F"/>
    <w:rsid w:val="00D500FB"/>
    <w:rsid w:val="00D67666"/>
    <w:rsid w:val="00DA1D22"/>
    <w:rsid w:val="00DD75C5"/>
    <w:rsid w:val="00F16CF5"/>
    <w:rsid w:val="00FA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41A6A"/>
  <w15:chartTrackingRefBased/>
  <w15:docId w15:val="{99E96FAF-E055-4064-9CFF-CD14D9E6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4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4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4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4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4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4A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4A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4A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4A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4A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4A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4A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AA4A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4A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4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4A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4A1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AA4A1F"/>
    <w:pPr>
      <w:spacing w:after="0" w:line="240" w:lineRule="auto"/>
    </w:pPr>
    <w:rPr>
      <w:rFonts w:ascii="Arial" w:hAnsi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1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19A9"/>
  </w:style>
  <w:style w:type="paragraph" w:styleId="Zpat">
    <w:name w:val="footer"/>
    <w:basedOn w:val="Normln"/>
    <w:link w:val="ZpatChar"/>
    <w:uiPriority w:val="99"/>
    <w:unhideWhenUsed/>
    <w:rsid w:val="00701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19A9"/>
  </w:style>
  <w:style w:type="paragraph" w:customStyle="1" w:styleId="Zhlavvlevo">
    <w:name w:val="Záhlaví vlevo"/>
    <w:basedOn w:val="Normln"/>
    <w:rsid w:val="007019A9"/>
    <w:pPr>
      <w:suppressLineNumbers/>
      <w:tabs>
        <w:tab w:val="center" w:pos="4535"/>
        <w:tab w:val="right" w:pos="9070"/>
      </w:tabs>
      <w:suppressAutoHyphens/>
      <w:spacing w:after="0" w:line="240" w:lineRule="auto"/>
    </w:pPr>
    <w:rPr>
      <w:rFonts w:ascii="Arial" w:eastAsia="Calibri" w:hAnsi="Arial" w:cs="Arial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rop.gov.cz/getmedia/9997386a-f76a-414c-b41b-815c2f304206/EU-MMR-Barevne-RGB.jpg.aspx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8ACBAF370BF24B9E60078B884A656F" ma:contentTypeVersion="13" ma:contentTypeDescription="Vytvoří nový dokument" ma:contentTypeScope="" ma:versionID="0be41aed1e6b22d9ce841dde6ee157ce">
  <xsd:schema xmlns:xsd="http://www.w3.org/2001/XMLSchema" xmlns:xs="http://www.w3.org/2001/XMLSchema" xmlns:p="http://schemas.microsoft.com/office/2006/metadata/properties" xmlns:ns3="60a3c8ef-667d-4d66-86d8-0ec74a5b4c0f" targetNamespace="http://schemas.microsoft.com/office/2006/metadata/properties" ma:root="true" ma:fieldsID="537e09f227690b82f6c971b64d7a3c21" ns3:_="">
    <xsd:import namespace="60a3c8ef-667d-4d66-86d8-0ec74a5b4c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3c8ef-667d-4d66-86d8-0ec74a5b4c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a3c8ef-667d-4d66-86d8-0ec74a5b4c0f" xsi:nil="true"/>
  </documentManagement>
</p:properties>
</file>

<file path=customXml/itemProps1.xml><?xml version="1.0" encoding="utf-8"?>
<ds:datastoreItem xmlns:ds="http://schemas.openxmlformats.org/officeDocument/2006/customXml" ds:itemID="{F5EEEEB5-DE58-400F-84D8-9A67A9D5F1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6E255E-CF74-4CA6-ACDB-15644ECC5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a3c8ef-667d-4d66-86d8-0ec74a5b4c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9BE639-C44F-4FC4-A7EC-C3A72AF04D91}">
  <ds:schemaRefs>
    <ds:schemaRef ds:uri="http://schemas.microsoft.com/office/2006/metadata/properties"/>
    <ds:schemaRef ds:uri="http://schemas.microsoft.com/office/infopath/2007/PartnerControls"/>
    <ds:schemaRef ds:uri="60a3c8ef-667d-4d66-86d8-0ec74a5b4c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603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Fux Pavel</dc:creator>
  <cp:keywords/>
  <dc:description/>
  <cp:lastModifiedBy>michal.stekl@hotmail.com</cp:lastModifiedBy>
  <cp:revision>9</cp:revision>
  <dcterms:created xsi:type="dcterms:W3CDTF">2025-09-22T10:29:00Z</dcterms:created>
  <dcterms:modified xsi:type="dcterms:W3CDTF">2026-04-07T15:43:00Z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0x010100CB8ACBAF370BF24B9E60078B884A656F</vt:lpwstr>
  </property>
</Properties>
</file>