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07574CFA" w:rsidR="00A759C9" w:rsidRPr="00CA35AC" w:rsidRDefault="00A759C9" w:rsidP="00A759C9">
      <w:pPr>
        <w:spacing w:line="276" w:lineRule="auto"/>
      </w:pPr>
      <w:r w:rsidRPr="00CA35AC">
        <w:t>Číslo smlouvy objednatele:</w:t>
      </w:r>
      <w:r w:rsidR="00676DE5">
        <w:t xml:space="preserve"> </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1C8FC5C7" w:rsidR="00A759C9" w:rsidRPr="00CA35AC" w:rsidRDefault="00C815DD" w:rsidP="00A759C9">
      <w:pPr>
        <w:widowControl w:val="0"/>
        <w:shd w:val="clear" w:color="auto" w:fill="FFFFFF"/>
        <w:tabs>
          <w:tab w:val="left" w:pos="3538"/>
        </w:tabs>
        <w:suppressAutoHyphens/>
        <w:autoSpaceDE w:val="0"/>
        <w:spacing w:line="276" w:lineRule="auto"/>
        <w:ind w:right="72"/>
      </w:pPr>
      <w:r>
        <w:t>Čí</w:t>
      </w:r>
      <w:r w:rsidR="00A759C9" w:rsidRPr="00CA35AC">
        <w:t>slo účtu:</w:t>
      </w:r>
      <w:r w:rsidR="00A759C9" w:rsidRPr="00CA35AC">
        <w:tab/>
      </w:r>
      <w:r>
        <w:t>725191</w:t>
      </w:r>
      <w:r w:rsidR="007E3C5F" w:rsidRPr="007E3C5F">
        <w:t>/0100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419D8804"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r w:rsidR="00205DAE">
        <w:t xml:space="preserve"> města</w:t>
      </w:r>
    </w:p>
    <w:p w14:paraId="5FBC9C59" w14:textId="5FB45758"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 xml:space="preserve">Ing. Ivanem Zajíčkem, vedoucím </w:t>
      </w:r>
      <w:r w:rsidR="00205DAE">
        <w:t>O</w:t>
      </w:r>
      <w:r w:rsidRPr="00CA35AC">
        <w:t xml:space="preserve">dboru </w:t>
      </w:r>
      <w:r w:rsidR="00205DAE">
        <w:t>investic</w:t>
      </w:r>
      <w:r w:rsidRPr="00CA35AC">
        <w:t xml:space="preserve"> a rozvoje města</w:t>
      </w:r>
    </w:p>
    <w:p w14:paraId="61C6EC6E" w14:textId="7716F81B" w:rsidR="00A759C9" w:rsidRPr="00CA35AC" w:rsidRDefault="00A759C9" w:rsidP="00321BD6">
      <w:pPr>
        <w:widowControl w:val="0"/>
        <w:shd w:val="clear" w:color="auto" w:fill="FFFFFF"/>
        <w:tabs>
          <w:tab w:val="left" w:pos="3533"/>
        </w:tabs>
        <w:suppressAutoHyphens/>
        <w:autoSpaceDE w:val="0"/>
        <w:spacing w:line="276" w:lineRule="auto"/>
        <w:ind w:right="-427"/>
      </w:pPr>
      <w:r w:rsidRPr="00CA35AC">
        <w:tab/>
      </w:r>
      <w:r w:rsidR="00321BD6">
        <w:t xml:space="preserve">Ing. </w:t>
      </w:r>
      <w:r w:rsidR="003C3058">
        <w:t>Janou Hudcovou</w:t>
      </w:r>
      <w:r w:rsidRPr="00CA35AC">
        <w:t>, referent</w:t>
      </w:r>
      <w:r w:rsidR="00321BD6">
        <w:t>kou</w:t>
      </w:r>
      <w:r w:rsidRPr="00CA35AC">
        <w:t xml:space="preserve"> </w:t>
      </w:r>
      <w:r w:rsidR="00205DAE">
        <w:t>O</w:t>
      </w:r>
      <w:r w:rsidRPr="00CA35AC">
        <w:t xml:space="preserve">dboru </w:t>
      </w:r>
      <w:r w:rsidR="00205DAE">
        <w:t>investic</w:t>
      </w:r>
      <w:r w:rsidRPr="00CA35AC">
        <w:t xml:space="preserve">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2C2D874D"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3B2819">
        <w:rPr>
          <w:b/>
        </w:rPr>
        <w:t>„</w:t>
      </w:r>
      <w:r w:rsidR="003C3058">
        <w:rPr>
          <w:b/>
          <w:bCs/>
          <w:szCs w:val="20"/>
        </w:rPr>
        <w:t>Oprava chodníku, parkoviště a oplocení u MŠ v ul. Za Školou</w:t>
      </w:r>
      <w:r w:rsidR="003C3058" w:rsidRPr="00092681">
        <w:rPr>
          <w:b/>
        </w:rPr>
        <w:t>, Poděbrady</w:t>
      </w:r>
      <w:r w:rsidR="003C3058">
        <w:rPr>
          <w:b/>
        </w:rPr>
        <w:t xml:space="preserve"> – Velké Zboží</w:t>
      </w:r>
      <w:r w:rsidRPr="003B2819">
        <w:rPr>
          <w:b/>
        </w:rPr>
        <w:t>“</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348818B6" w14:textId="23B2A6CF" w:rsidR="0059406C" w:rsidRPr="00CF389E" w:rsidRDefault="00A759C9" w:rsidP="0059406C">
      <w:pPr>
        <w:pStyle w:val="rove2-slovantext"/>
        <w:rPr>
          <w:rFonts w:ascii="Times New Roman" w:hAnsi="Times New Roman"/>
          <w:bCs/>
          <w:sz w:val="24"/>
        </w:rPr>
      </w:pPr>
      <w:r w:rsidRPr="00CF389E">
        <w:rPr>
          <w:rFonts w:ascii="Times New Roman" w:hAnsi="Times New Roman"/>
          <w:sz w:val="24"/>
        </w:rPr>
        <w:t xml:space="preserve">Účelem této smlouvy je provedení díla s názvem </w:t>
      </w:r>
      <w:r w:rsidRPr="00BC3A48">
        <w:rPr>
          <w:rFonts w:ascii="Times New Roman" w:hAnsi="Times New Roman"/>
          <w:sz w:val="24"/>
        </w:rPr>
        <w:t>„</w:t>
      </w:r>
      <w:r w:rsidR="00BC3A48" w:rsidRPr="00BC3A48">
        <w:rPr>
          <w:rFonts w:ascii="Times New Roman" w:hAnsi="Times New Roman"/>
          <w:sz w:val="24"/>
        </w:rPr>
        <w:t>Oprava chodníku, parkoviště a oplocení u MŠ v ul. Za Školou, Poděbrady – Velké Zboží</w:t>
      </w:r>
      <w:r w:rsidRPr="00BC3A48">
        <w:rPr>
          <w:rFonts w:ascii="Times New Roman" w:hAnsi="Times New Roman"/>
          <w:sz w:val="24"/>
        </w:rPr>
        <w:t>“</w:t>
      </w:r>
      <w:r w:rsidRPr="00CF389E">
        <w:rPr>
          <w:rFonts w:ascii="Times New Roman" w:hAnsi="Times New Roman"/>
          <w:b/>
          <w:sz w:val="24"/>
        </w:rPr>
        <w:t xml:space="preserve"> </w:t>
      </w:r>
      <w:r w:rsidRPr="00CF389E">
        <w:rPr>
          <w:rFonts w:ascii="Times New Roman" w:hAnsi="Times New Roman"/>
          <w:bCs/>
          <w:sz w:val="24"/>
        </w:rPr>
        <w:t>(dále také jen Stavba)</w:t>
      </w:r>
      <w:r w:rsidRPr="00CF389E">
        <w:rPr>
          <w:rFonts w:ascii="Times New Roman" w:hAnsi="Times New Roman"/>
          <w:b/>
          <w:sz w:val="24"/>
        </w:rPr>
        <w:t>.</w:t>
      </w:r>
      <w:r w:rsidR="00CF389E">
        <w:rPr>
          <w:rFonts w:ascii="Times New Roman" w:hAnsi="Times New Roman"/>
          <w:b/>
          <w:sz w:val="24"/>
        </w:rPr>
        <w:t xml:space="preserve"> </w:t>
      </w:r>
      <w:r w:rsidRPr="00CF389E">
        <w:rPr>
          <w:rFonts w:ascii="Times New Roman" w:hAnsi="Times New Roman"/>
          <w:bCs/>
          <w:sz w:val="24"/>
        </w:rPr>
        <w:t xml:space="preserve">Předmětem díla </w:t>
      </w:r>
      <w:r w:rsidR="00A47AC0" w:rsidRPr="00CF389E">
        <w:rPr>
          <w:rFonts w:ascii="Times New Roman" w:hAnsi="Times New Roman"/>
          <w:bCs/>
          <w:sz w:val="24"/>
        </w:rPr>
        <w:t xml:space="preserve">zakázky jsou stavební práce </w:t>
      </w:r>
      <w:r w:rsidR="00CF389E">
        <w:rPr>
          <w:rFonts w:ascii="Times New Roman" w:hAnsi="Times New Roman"/>
          <w:bCs/>
          <w:sz w:val="24"/>
        </w:rPr>
        <w:t xml:space="preserve">související </w:t>
      </w:r>
      <w:r w:rsidR="00A2106F" w:rsidRPr="00A2106F">
        <w:rPr>
          <w:rFonts w:ascii="Times New Roman" w:hAnsi="Times New Roman"/>
          <w:bCs/>
          <w:sz w:val="24"/>
        </w:rPr>
        <w:t>s </w:t>
      </w:r>
      <w:r w:rsidR="00B7433C" w:rsidRPr="00B7433C">
        <w:rPr>
          <w:rFonts w:ascii="Times New Roman" w:hAnsi="Times New Roman"/>
          <w:bCs/>
          <w:sz w:val="24"/>
        </w:rPr>
        <w:t>oprav</w:t>
      </w:r>
      <w:r w:rsidR="00B7433C">
        <w:rPr>
          <w:rFonts w:ascii="Times New Roman" w:hAnsi="Times New Roman"/>
          <w:bCs/>
          <w:sz w:val="24"/>
        </w:rPr>
        <w:t>ou</w:t>
      </w:r>
      <w:r w:rsidR="00B7433C" w:rsidRPr="00B7433C">
        <w:rPr>
          <w:rFonts w:ascii="Times New Roman" w:hAnsi="Times New Roman"/>
          <w:bCs/>
          <w:sz w:val="24"/>
        </w:rPr>
        <w:t xml:space="preserve"> chodník</w:t>
      </w:r>
      <w:r w:rsidR="00B7433C">
        <w:rPr>
          <w:rFonts w:ascii="Times New Roman" w:hAnsi="Times New Roman"/>
          <w:bCs/>
          <w:sz w:val="24"/>
        </w:rPr>
        <w:t>u</w:t>
      </w:r>
      <w:r w:rsidR="00B7433C" w:rsidRPr="00B7433C">
        <w:rPr>
          <w:rFonts w:ascii="Times New Roman" w:hAnsi="Times New Roman"/>
          <w:bCs/>
          <w:sz w:val="24"/>
        </w:rPr>
        <w:t xml:space="preserve"> v ul. Za Školou v délce 40 m, oprava oplocení a výstavba 8 parkovacích míst pro MŠ ve městě Poděbrady v části Velké Zboží, ve stávající zástavbě rodinných domů. Chodník bude opraven a přeložen vedle nového oplocení pro MŠ</w:t>
      </w:r>
      <w:r w:rsidR="00CF389E">
        <w:rPr>
          <w:rFonts w:ascii="Times New Roman" w:hAnsi="Times New Roman"/>
          <w:bCs/>
          <w:sz w:val="24"/>
        </w:rPr>
        <w:t>.</w:t>
      </w:r>
    </w:p>
    <w:p w14:paraId="76D1CB7A" w14:textId="05E10C0C" w:rsidR="00CF389E" w:rsidRPr="00CF389E" w:rsidRDefault="00CF389E" w:rsidP="00A759C9">
      <w:pPr>
        <w:pStyle w:val="rove2-slovantext"/>
        <w:rPr>
          <w:rFonts w:ascii="Times New Roman" w:hAnsi="Times New Roman"/>
          <w:bCs/>
          <w:sz w:val="24"/>
        </w:rPr>
      </w:pPr>
      <w:r w:rsidRPr="00B7433C">
        <w:rPr>
          <w:rFonts w:ascii="Times New Roman" w:hAnsi="Times New Roman"/>
          <w:bCs/>
          <w:sz w:val="24"/>
        </w:rPr>
        <w:t>Předmět díla bude realizován v souladu s </w:t>
      </w:r>
      <w:r w:rsidR="00B7433C">
        <w:rPr>
          <w:rFonts w:ascii="Times New Roman" w:hAnsi="Times New Roman"/>
          <w:bCs/>
          <w:sz w:val="24"/>
        </w:rPr>
        <w:t>R</w:t>
      </w:r>
      <w:r w:rsidRPr="00B7433C">
        <w:rPr>
          <w:rFonts w:ascii="Times New Roman" w:hAnsi="Times New Roman"/>
          <w:bCs/>
          <w:sz w:val="24"/>
        </w:rPr>
        <w:t xml:space="preserve">ozhodnutím </w:t>
      </w:r>
      <w:r w:rsidR="00B7433C" w:rsidRPr="00B7433C">
        <w:rPr>
          <w:rFonts w:ascii="Times New Roman" w:hAnsi="Times New Roman"/>
          <w:bCs/>
          <w:sz w:val="24"/>
        </w:rPr>
        <w:t>o povolení stavby ze dne 26. 8. 2025</w:t>
      </w:r>
      <w:r w:rsidR="00B7433C" w:rsidRPr="00B7433C">
        <w:rPr>
          <w:rFonts w:ascii="Times New Roman" w:hAnsi="Times New Roman"/>
          <w:bCs/>
          <w:sz w:val="24"/>
        </w:rPr>
        <w:t xml:space="preserve"> </w:t>
      </w:r>
      <w:r w:rsidR="00B7433C">
        <w:rPr>
          <w:rFonts w:ascii="Times New Roman" w:hAnsi="Times New Roman"/>
          <w:bCs/>
          <w:sz w:val="24"/>
        </w:rPr>
        <w:br/>
      </w:r>
      <w:r w:rsidR="00B7433C" w:rsidRPr="00B7433C">
        <w:rPr>
          <w:rFonts w:ascii="Times New Roman" w:hAnsi="Times New Roman"/>
          <w:bCs/>
          <w:sz w:val="24"/>
        </w:rPr>
        <w:t>(PM 26. 9. 2025)</w:t>
      </w:r>
      <w:r w:rsidR="00B7433C" w:rsidRPr="00B7433C">
        <w:rPr>
          <w:rFonts w:ascii="Times New Roman" w:hAnsi="Times New Roman"/>
          <w:bCs/>
          <w:sz w:val="24"/>
        </w:rPr>
        <w:t>, vydaným Městský</w:t>
      </w:r>
      <w:r w:rsidR="00B7433C" w:rsidRPr="00B7433C">
        <w:rPr>
          <w:rFonts w:ascii="Times New Roman" w:hAnsi="Times New Roman"/>
          <w:bCs/>
          <w:sz w:val="24"/>
        </w:rPr>
        <w:t>m</w:t>
      </w:r>
      <w:r w:rsidR="00B7433C" w:rsidRPr="00B7433C">
        <w:rPr>
          <w:rFonts w:ascii="Times New Roman" w:hAnsi="Times New Roman"/>
          <w:bCs/>
          <w:sz w:val="24"/>
        </w:rPr>
        <w:t xml:space="preserve"> úřadem Poděbrady</w:t>
      </w:r>
      <w:r w:rsidR="00B7433C" w:rsidRPr="00B7433C">
        <w:rPr>
          <w:rFonts w:ascii="Times New Roman" w:hAnsi="Times New Roman"/>
          <w:bCs/>
          <w:sz w:val="24"/>
        </w:rPr>
        <w:t xml:space="preserve">, </w:t>
      </w:r>
      <w:r w:rsidR="00B7433C" w:rsidRPr="00B7433C">
        <w:rPr>
          <w:rFonts w:ascii="Times New Roman" w:hAnsi="Times New Roman"/>
          <w:bCs/>
          <w:sz w:val="24"/>
        </w:rPr>
        <w:t xml:space="preserve">Odborem výstavby a územního plánování </w:t>
      </w:r>
      <w:proofErr w:type="gramStart"/>
      <w:r w:rsidR="00B7433C" w:rsidRPr="00B7433C">
        <w:rPr>
          <w:rFonts w:ascii="Times New Roman" w:hAnsi="Times New Roman"/>
          <w:bCs/>
          <w:sz w:val="24"/>
        </w:rPr>
        <w:t>č.j.</w:t>
      </w:r>
      <w:proofErr w:type="gramEnd"/>
      <w:r w:rsidR="00B7433C" w:rsidRPr="00B7433C">
        <w:rPr>
          <w:rFonts w:ascii="Times New Roman" w:hAnsi="Times New Roman"/>
          <w:bCs/>
          <w:sz w:val="24"/>
        </w:rPr>
        <w:t xml:space="preserve"> MEUPDY/0048621/VUP/2025/</w:t>
      </w:r>
      <w:proofErr w:type="spellStart"/>
      <w:r w:rsidR="00B7433C" w:rsidRPr="00B7433C">
        <w:rPr>
          <w:rFonts w:ascii="Times New Roman" w:hAnsi="Times New Roman"/>
          <w:bCs/>
          <w:sz w:val="24"/>
        </w:rPr>
        <w:t>KMo</w:t>
      </w:r>
      <w:proofErr w:type="spellEnd"/>
      <w:r w:rsidRPr="00F9141F">
        <w:rPr>
          <w:rFonts w:ascii="Times New Roman" w:hAnsi="Times New Roman"/>
          <w:sz w:val="22"/>
          <w:szCs w:val="22"/>
        </w:rPr>
        <w:t>.</w:t>
      </w:r>
    </w:p>
    <w:p w14:paraId="6285DC0D" w14:textId="592899C2" w:rsidR="00A759C9" w:rsidRPr="00ED64CE" w:rsidRDefault="00A759C9" w:rsidP="00A759C9">
      <w:pPr>
        <w:pStyle w:val="rove2-slovantext"/>
        <w:rPr>
          <w:rFonts w:ascii="Times New Roman" w:hAnsi="Times New Roman"/>
          <w:bCs/>
          <w:sz w:val="24"/>
        </w:rPr>
      </w:pPr>
      <w:r w:rsidRPr="00ED64CE">
        <w:rPr>
          <w:rFonts w:ascii="Times New Roman" w:hAnsi="Times New Roman"/>
          <w:bCs/>
          <w:sz w:val="24"/>
        </w:rPr>
        <w:t>Rozsah a způsob plnění je podrobně popsán</w:t>
      </w:r>
      <w:r w:rsidR="00A47AC0" w:rsidRPr="00ED64CE">
        <w:rPr>
          <w:rFonts w:ascii="Times New Roman" w:hAnsi="Times New Roman"/>
          <w:bCs/>
          <w:sz w:val="24"/>
        </w:rPr>
        <w:t xml:space="preserve"> v </w:t>
      </w:r>
      <w:r w:rsidR="00B7433C" w:rsidRPr="00B7433C">
        <w:rPr>
          <w:rFonts w:ascii="Times New Roman" w:hAnsi="Times New Roman"/>
          <w:bCs/>
          <w:sz w:val="24"/>
        </w:rPr>
        <w:t>Projektov</w:t>
      </w:r>
      <w:r w:rsidR="00B7433C">
        <w:rPr>
          <w:rFonts w:ascii="Times New Roman" w:hAnsi="Times New Roman"/>
          <w:bCs/>
          <w:sz w:val="24"/>
        </w:rPr>
        <w:t>é</w:t>
      </w:r>
      <w:r w:rsidR="00B7433C" w:rsidRPr="00B7433C">
        <w:rPr>
          <w:rFonts w:ascii="Times New Roman" w:hAnsi="Times New Roman"/>
          <w:bCs/>
          <w:sz w:val="24"/>
        </w:rPr>
        <w:t xml:space="preserve"> dokumentac</w:t>
      </w:r>
      <w:r w:rsidR="00B7433C">
        <w:rPr>
          <w:rFonts w:ascii="Times New Roman" w:hAnsi="Times New Roman"/>
          <w:bCs/>
          <w:sz w:val="24"/>
        </w:rPr>
        <w:t>i</w:t>
      </w:r>
      <w:r w:rsidR="00B7433C" w:rsidRPr="00B7433C">
        <w:rPr>
          <w:rFonts w:ascii="Times New Roman" w:hAnsi="Times New Roman"/>
          <w:bCs/>
          <w:sz w:val="24"/>
        </w:rPr>
        <w:t xml:space="preserve"> pro povolení záměru (DSP) z 12/2024 s názvem „OPRAVA CHODNÍKU, PARKOVIŠTĚ A OPLOCENÍ U MŠ V UL. ZA ŠKOLOU, MĚSTO PODĚBRADY-VELKÉ ZBOŽÍ“, vypracoval Aleš Jambor, K Labi 329, 290 01 Poděbrady - Velké Zboží, IČO 74429884.</w:t>
      </w:r>
    </w:p>
    <w:p w14:paraId="76F3BF97" w14:textId="77777777" w:rsidR="00A759C9" w:rsidRPr="00CA35AC" w:rsidRDefault="00A759C9" w:rsidP="00A759C9">
      <w:pPr>
        <w:pStyle w:val="rove2-slovantext"/>
        <w:rPr>
          <w:rFonts w:ascii="Times New Roman" w:hAnsi="Times New Roman"/>
          <w:sz w:val="24"/>
          <w:lang w:eastAsia="ar-SA"/>
        </w:rPr>
      </w:pPr>
      <w:r w:rsidRPr="00ED64CE">
        <w:rPr>
          <w:rFonts w:ascii="Times New Roman" w:hAnsi="Times New Roman"/>
          <w:bCs/>
          <w:sz w:val="24"/>
        </w:rPr>
        <w:t>Zhotovitel je povinen v rámci plnění předmětu díla zajistit veškeré níže uvedené další činnosti související s realizací stavebních prací, které jsou zahrnuty v</w:t>
      </w:r>
      <w:r w:rsidRPr="00CA35AC">
        <w:rPr>
          <w:rFonts w:ascii="Times New Roman" w:hAnsi="Times New Roman"/>
          <w:sz w:val="24"/>
          <w:lang w:eastAsia="ar-SA"/>
        </w:rPr>
        <w:t xml:space="preserve">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5868D8A3"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r w:rsidR="00FC4A61">
        <w:rPr>
          <w:rFonts w:ascii="Times New Roman" w:hAnsi="Times New Roman"/>
          <w:sz w:val="24"/>
          <w:szCs w:val="24"/>
        </w:rPr>
        <w:t>platného</w:t>
      </w:r>
      <w:r w:rsidRPr="00CA35AC">
        <w:rPr>
          <w:rFonts w:ascii="Times New Roman" w:hAnsi="Times New Roman"/>
          <w:sz w:val="24"/>
          <w:szCs w:val="24"/>
        </w:rPr>
        <w:t xml:space="preserve"> stavební</w:t>
      </w:r>
      <w:r w:rsidR="00FC4A61">
        <w:rPr>
          <w:rFonts w:ascii="Times New Roman" w:hAnsi="Times New Roman"/>
          <w:sz w:val="24"/>
          <w:szCs w:val="24"/>
        </w:rPr>
        <w:t>ho</w:t>
      </w:r>
      <w:r w:rsidRPr="00CA35AC">
        <w:rPr>
          <w:rFonts w:ascii="Times New Roman" w:hAnsi="Times New Roman"/>
          <w:sz w:val="24"/>
          <w:szCs w:val="24"/>
        </w:rPr>
        <w:t xml:space="preserve"> zákon</w:t>
      </w:r>
      <w:r w:rsidR="00FC4A61">
        <w:rPr>
          <w:rFonts w:ascii="Times New Roman" w:hAnsi="Times New Roman"/>
          <w:sz w:val="24"/>
          <w:szCs w:val="24"/>
        </w:rPr>
        <w:t>a</w:t>
      </w:r>
      <w:r w:rsidRPr="00CA35AC">
        <w:rPr>
          <w:rFonts w:ascii="Times New Roman" w:hAnsi="Times New Roman"/>
          <w:sz w:val="24"/>
          <w:szCs w:val="24"/>
        </w:rPr>
        <w:t>;</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0662D458"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případné přechodné dopravní značení d</w:t>
      </w:r>
      <w:r w:rsidR="001B6DD8">
        <w:rPr>
          <w:rFonts w:ascii="Times New Roman" w:hAnsi="Times New Roman"/>
          <w:sz w:val="24"/>
          <w:szCs w:val="24"/>
        </w:rPr>
        <w:t>le zvláštních právních předpisů;</w:t>
      </w:r>
      <w:r w:rsidRPr="00CA35AC">
        <w:rPr>
          <w:rFonts w:ascii="Times New Roman" w:hAnsi="Times New Roman"/>
          <w:sz w:val="24"/>
          <w:szCs w:val="24"/>
        </w:rPr>
        <w:t xml:space="preserve">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01DF8CEE"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w:t>
      </w:r>
      <w:r w:rsidR="001B6DD8">
        <w:rPr>
          <w:rFonts w:ascii="Times New Roman" w:hAnsi="Times New Roman"/>
          <w:sz w:val="24"/>
          <w:szCs w:val="24"/>
        </w:rPr>
        <w:t>dokončení díla dle této smlouvy;</w:t>
      </w:r>
    </w:p>
    <w:p w14:paraId="50115493" w14:textId="64DBB099"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r w:rsidR="001B6DD8">
        <w:rPr>
          <w:rFonts w:ascii="Times New Roman" w:hAnsi="Times New Roman"/>
          <w:sz w:val="24"/>
          <w:szCs w:val="24"/>
        </w:rPr>
        <w:t>;</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08C365A7" w:rsidR="002F509B" w:rsidRPr="00ED64CE" w:rsidRDefault="008F6D96" w:rsidP="001442A6">
      <w:pPr>
        <w:jc w:val="both"/>
        <w:rPr>
          <w:szCs w:val="22"/>
        </w:rPr>
      </w:pPr>
      <w:r w:rsidRPr="008F6D96">
        <w:rPr>
          <w:szCs w:val="22"/>
        </w:rPr>
        <w:t xml:space="preserve">Místem plnění </w:t>
      </w:r>
      <w:r w:rsidR="001B6DD8" w:rsidRPr="001B6DD8">
        <w:rPr>
          <w:szCs w:val="22"/>
        </w:rPr>
        <w:t xml:space="preserve">jsou pozemky </w:t>
      </w:r>
      <w:proofErr w:type="spellStart"/>
      <w:proofErr w:type="gramStart"/>
      <w:r w:rsidR="001B6DD8" w:rsidRPr="001B6DD8">
        <w:rPr>
          <w:szCs w:val="22"/>
        </w:rPr>
        <w:t>p.č</w:t>
      </w:r>
      <w:proofErr w:type="spellEnd"/>
      <w:r w:rsidR="001B6DD8" w:rsidRPr="001B6DD8">
        <w:rPr>
          <w:szCs w:val="22"/>
        </w:rPr>
        <w:t>.</w:t>
      </w:r>
      <w:proofErr w:type="gramEnd"/>
      <w:r w:rsidR="001B6DD8" w:rsidRPr="001B6DD8">
        <w:rPr>
          <w:szCs w:val="22"/>
        </w:rPr>
        <w:t xml:space="preserve"> 28/28, 39/11, 466/1 a st. 18 v</w:t>
      </w:r>
      <w:r w:rsidR="001B6DD8">
        <w:rPr>
          <w:szCs w:val="22"/>
        </w:rPr>
        <w:t> katastrálním území</w:t>
      </w:r>
      <w:r w:rsidR="001B6DD8" w:rsidRPr="001B6DD8">
        <w:rPr>
          <w:szCs w:val="22"/>
        </w:rPr>
        <w:t xml:space="preserve"> Velké Zboží</w:t>
      </w:r>
      <w:r w:rsidR="00C94688" w:rsidRPr="000B2BD6">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44C06B23" w:rsidR="00E021CC" w:rsidRDefault="00E021CC" w:rsidP="00E021CC">
      <w:pPr>
        <w:pStyle w:val="rove2-text"/>
        <w:rPr>
          <w:rFonts w:ascii="Times New Roman" w:hAnsi="Times New Roman"/>
          <w:sz w:val="24"/>
          <w:szCs w:val="24"/>
        </w:rPr>
      </w:pPr>
      <w:r w:rsidRPr="00CA35AC">
        <w:rPr>
          <w:rFonts w:ascii="Times New Roman" w:hAnsi="Times New Roman"/>
          <w:sz w:val="24"/>
          <w:szCs w:val="24"/>
        </w:rPr>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 xml:space="preserve">do </w:t>
      </w:r>
      <w:r w:rsidR="008E1F4F">
        <w:rPr>
          <w:rFonts w:ascii="Times New Roman" w:hAnsi="Times New Roman"/>
          <w:sz w:val="24"/>
          <w:szCs w:val="24"/>
        </w:rPr>
        <w:t>3</w:t>
      </w:r>
      <w:r w:rsidR="005E7579" w:rsidRPr="005E7579">
        <w:rPr>
          <w:rFonts w:ascii="Times New Roman" w:hAnsi="Times New Roman"/>
          <w:sz w:val="24"/>
          <w:szCs w:val="24"/>
        </w:rPr>
        <w:t xml:space="preserve"> pracovních dnů od předání staveniště</w:t>
      </w:r>
    </w:p>
    <w:p w14:paraId="650D42BC" w14:textId="42E6E22C"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8E1F4F">
        <w:rPr>
          <w:rFonts w:ascii="Times New Roman" w:hAnsi="Times New Roman"/>
          <w:sz w:val="24"/>
          <w:szCs w:val="24"/>
        </w:rPr>
        <w:t>4</w:t>
      </w:r>
      <w:r w:rsidR="002219DA" w:rsidRPr="00FF71DB">
        <w:rPr>
          <w:rFonts w:ascii="Times New Roman" w:hAnsi="Times New Roman"/>
          <w:sz w:val="24"/>
          <w:szCs w:val="24"/>
        </w:rPr>
        <w:t xml:space="preserve"> </w:t>
      </w:r>
      <w:r w:rsidR="00FF6BC7">
        <w:rPr>
          <w:rFonts w:ascii="Times New Roman" w:hAnsi="Times New Roman"/>
          <w:sz w:val="24"/>
          <w:szCs w:val="24"/>
        </w:rPr>
        <w:t>měsíců od zahájení stavebních prací</w:t>
      </w:r>
    </w:p>
    <w:p w14:paraId="48C6108C" w14:textId="524E9E9A"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 xml:space="preserve">do </w:t>
      </w:r>
      <w:r w:rsidR="008F6D96">
        <w:rPr>
          <w:rFonts w:ascii="Times New Roman" w:hAnsi="Times New Roman"/>
          <w:sz w:val="24"/>
          <w:szCs w:val="24"/>
        </w:rPr>
        <w:t>3</w:t>
      </w:r>
      <w:r w:rsidR="00A759C9" w:rsidRPr="00CA35AC">
        <w:rPr>
          <w:rFonts w:ascii="Times New Roman" w:hAnsi="Times New Roman"/>
          <w:sz w:val="24"/>
          <w:szCs w:val="24"/>
        </w:rPr>
        <w:t xml:space="preserve">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3CAC4258" w14:textId="77777777" w:rsidR="00890CAD" w:rsidRPr="00890CAD" w:rsidRDefault="00890CAD" w:rsidP="00890CAD">
      <w:pPr>
        <w:pStyle w:val="rove2-slovantext"/>
        <w:tabs>
          <w:tab w:val="left" w:pos="993"/>
        </w:tabs>
        <w:spacing w:line="276" w:lineRule="auto"/>
        <w:rPr>
          <w:rFonts w:ascii="Times New Roman" w:hAnsi="Times New Roman"/>
          <w:sz w:val="24"/>
        </w:rPr>
      </w:pPr>
      <w:r w:rsidRPr="00890CAD">
        <w:rPr>
          <w:rFonts w:ascii="Times New Roman" w:hAnsi="Times New Roman"/>
          <w:sz w:val="24"/>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p>
    <w:p w14:paraId="712FED37" w14:textId="69A88F39"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lastRenderedPageBreak/>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42FAE3D2"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4" w:name="_Ref374528434"/>
      <w:bookmarkEnd w:id="3"/>
    </w:p>
    <w:bookmarkEnd w:id="4"/>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5"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6"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lastRenderedPageBreak/>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2EE6DE22" w14:textId="77777777" w:rsidR="00FF71DB" w:rsidRPr="00E65905" w:rsidRDefault="00FF71DB"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6"/>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7" w:name="_Ref374531057"/>
      <w:r w:rsidRPr="00CA35AC">
        <w:rPr>
          <w:rFonts w:ascii="Times New Roman" w:hAnsi="Times New Roman"/>
          <w:sz w:val="24"/>
        </w:rPr>
        <w:lastRenderedPageBreak/>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7"/>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49B6A86F"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Na každé faktuře musí být uvedena identifikace veřejné zakázky</w:t>
      </w:r>
      <w:r w:rsidRPr="00B1595C">
        <w:rPr>
          <w:rFonts w:ascii="Times New Roman" w:hAnsi="Times New Roman"/>
          <w:sz w:val="24"/>
        </w:rPr>
        <w:t xml:space="preserve">: </w:t>
      </w:r>
      <w:r w:rsidR="00260C1A" w:rsidRPr="00260C1A">
        <w:rPr>
          <w:rFonts w:ascii="Times New Roman" w:hAnsi="Times New Roman"/>
          <w:b/>
          <w:sz w:val="24"/>
        </w:rPr>
        <w:t>„</w:t>
      </w:r>
      <w:r w:rsidR="00260C1A" w:rsidRPr="00260C1A">
        <w:rPr>
          <w:rFonts w:ascii="Times New Roman" w:hAnsi="Times New Roman"/>
          <w:b/>
          <w:bCs/>
          <w:sz w:val="24"/>
        </w:rPr>
        <w:t>Oprava chodníku, parkoviště a oplocení u MŠ v ul. Za Školou</w:t>
      </w:r>
      <w:r w:rsidR="00260C1A" w:rsidRPr="00260C1A">
        <w:rPr>
          <w:rFonts w:ascii="Times New Roman" w:hAnsi="Times New Roman"/>
          <w:b/>
          <w:sz w:val="24"/>
        </w:rPr>
        <w:t>, Poděbrady – Velké Zboží“</w:t>
      </w:r>
      <w:r w:rsidRPr="00CA35AC">
        <w:rPr>
          <w:rFonts w:ascii="Times New Roman" w:hAnsi="Times New Roman"/>
          <w:sz w:val="24"/>
        </w:rPr>
        <w:t xml:space="preserve"> </w:t>
      </w:r>
      <w:r w:rsidR="00260C1A">
        <w:rPr>
          <w:rFonts w:ascii="Times New Roman" w:hAnsi="Times New Roman"/>
          <w:b/>
          <w:sz w:val="24"/>
        </w:rPr>
        <w:t>a</w:t>
      </w:r>
      <w:r w:rsidRPr="00CA35AC">
        <w:rPr>
          <w:rFonts w:ascii="Times New Roman" w:hAnsi="Times New Roman"/>
          <w:sz w:val="24"/>
        </w:rPr>
        <w:t xml:space="preserve">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w:t>
      </w:r>
      <w:r w:rsidRPr="00CA35AC">
        <w:rPr>
          <w:rFonts w:ascii="Times New Roman" w:hAnsi="Times New Roman"/>
          <w:sz w:val="24"/>
        </w:rPr>
        <w:lastRenderedPageBreak/>
        <w:t>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7E8E632B"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r w:rsidR="005F04E7">
        <w:rPr>
          <w:bCs/>
        </w:rPr>
        <w:t xml:space="preserve"> pro </w:t>
      </w:r>
      <w:r w:rsidR="00260C1A">
        <w:rPr>
          <w:bCs/>
        </w:rPr>
        <w:t>povolení záměru</w:t>
      </w:r>
      <w:r w:rsidR="00B37672">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lastRenderedPageBreak/>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8" w:name="_Toc372551555"/>
      <w:bookmarkStart w:id="9" w:name="_Toc373753518"/>
      <w:r w:rsidRPr="00CA35AC">
        <w:rPr>
          <w:bCs/>
          <w:iCs/>
        </w:rPr>
        <w:t xml:space="preserve">Objednatel </w:t>
      </w:r>
      <w:bookmarkEnd w:id="8"/>
      <w:bookmarkEnd w:id="9"/>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0" w:name="_Toc372551557"/>
      <w:bookmarkStart w:id="11" w:name="_Toc373753520"/>
      <w:r w:rsidRPr="00CA35AC">
        <w:rPr>
          <w:bCs/>
          <w:iCs/>
        </w:rPr>
        <w:lastRenderedPageBreak/>
        <w:t xml:space="preserve">Zhotovitel </w:t>
      </w:r>
      <w:bookmarkEnd w:id="10"/>
      <w:bookmarkEnd w:id="11"/>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2" w:name="_Toc372551558"/>
      <w:bookmarkStart w:id="13" w:name="_Toc373753521"/>
      <w:r w:rsidRPr="00CA35AC">
        <w:rPr>
          <w:bCs/>
          <w:iCs/>
        </w:rPr>
        <w:t>Provozní</w:t>
      </w:r>
      <w:bookmarkEnd w:id="12"/>
      <w:bookmarkEnd w:id="13"/>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4"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4"/>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5" w:name="_Toc305060721"/>
      <w:bookmarkStart w:id="16" w:name="_Toc305061215"/>
      <w:bookmarkStart w:id="17" w:name="_Toc305060720"/>
      <w:bookmarkStart w:id="18"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5"/>
      <w:bookmarkEnd w:id="16"/>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7"/>
      <w:bookmarkEnd w:id="18"/>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lastRenderedPageBreak/>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FD242B0"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53C7B4BA" w:rsidR="00A759C9" w:rsidRDefault="00A759C9" w:rsidP="00A759C9">
      <w:pPr>
        <w:widowControl w:val="0"/>
        <w:tabs>
          <w:tab w:val="left" w:pos="993"/>
        </w:tabs>
        <w:autoSpaceDE w:val="0"/>
        <w:autoSpaceDN w:val="0"/>
        <w:adjustRightInd w:val="0"/>
        <w:spacing w:line="276" w:lineRule="auto"/>
        <w:jc w:val="both"/>
      </w:pPr>
    </w:p>
    <w:p w14:paraId="2F6D1A6A" w14:textId="77777777" w:rsidR="00205DAE" w:rsidRPr="00CA35AC" w:rsidRDefault="00205DAE"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lastRenderedPageBreak/>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19" w:name="_Ref372447812"/>
      <w:bookmarkStart w:id="20" w:name="_Toc372551542"/>
      <w:bookmarkStart w:id="21" w:name="_Toc373753559"/>
      <w:bookmarkStart w:id="22" w:name="_Toc376779523"/>
      <w:r w:rsidRPr="00CA35AC">
        <w:rPr>
          <w:b/>
          <w:bCs/>
        </w:rPr>
        <w:t>Nebezpečí škody a pojištění</w:t>
      </w:r>
      <w:bookmarkEnd w:id="19"/>
      <w:r w:rsidRPr="00CA35AC">
        <w:rPr>
          <w:b/>
          <w:bCs/>
        </w:rPr>
        <w:t xml:space="preserve"> zhotovitele a díla</w:t>
      </w:r>
      <w:bookmarkEnd w:id="20"/>
      <w:bookmarkEnd w:id="21"/>
      <w:bookmarkEnd w:id="22"/>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3" w:name="_Ref372445336"/>
      <w:bookmarkStart w:id="24" w:name="_Toc372551543"/>
      <w:bookmarkStart w:id="25" w:name="_Toc373753560"/>
      <w:bookmarkStart w:id="26" w:name="_Toc372551539"/>
      <w:bookmarkStart w:id="27" w:name="_Toc373753556"/>
      <w:r w:rsidRPr="00CA35AC">
        <w:rPr>
          <w:bCs/>
          <w:iCs/>
        </w:rPr>
        <w:t xml:space="preserve">Zhotovitel je povinen mít uzavřené platné pojištění na odpovědnost za škodu způsobenou třetím osobám. Pojištění </w:t>
      </w:r>
      <w:bookmarkStart w:id="28" w:name="_Ref372442314"/>
      <w:r w:rsidRPr="00CA35AC">
        <w:rPr>
          <w:bCs/>
          <w:iCs/>
        </w:rPr>
        <w:t>odpovědnosti za škodu z výkonu podnikatelské činnosti musí krýt škody na věcech a na zdraví aspoň v tomto rozsahu</w:t>
      </w:r>
      <w:bookmarkEnd w:id="28"/>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09F22AE3"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9B6F80">
        <w:rPr>
          <w:bCs/>
        </w:rPr>
        <w:t>5</w:t>
      </w:r>
      <w:r w:rsidRPr="00CA35AC">
        <w:rPr>
          <w:bCs/>
        </w:rPr>
        <w:t>.000.000,-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9" w:name="_Toc372551546"/>
      <w:bookmarkStart w:id="30" w:name="_Toc373753563"/>
      <w:bookmarkStart w:id="31" w:name="_Ref377116785"/>
      <w:r w:rsidRPr="00CA35AC">
        <w:rPr>
          <w:bCs/>
          <w:iCs/>
        </w:rPr>
        <w:t>Zhotovitel je dále povinen mít uzavřené platné stavebně montážní pojištění</w:t>
      </w:r>
      <w:bookmarkEnd w:id="29"/>
      <w:bookmarkEnd w:id="30"/>
      <w:bookmarkEnd w:id="31"/>
      <w:r w:rsidRPr="00CA35AC">
        <w:rPr>
          <w:bCs/>
          <w:iCs/>
        </w:rPr>
        <w:t xml:space="preserve">. </w:t>
      </w:r>
      <w:bookmarkStart w:id="32"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2"/>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w:t>
      </w:r>
      <w:r w:rsidRPr="00CA35AC">
        <w:rPr>
          <w:bCs/>
        </w:rPr>
        <w:lastRenderedPageBreak/>
        <w:t xml:space="preserve">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3"/>
    <w:bookmarkEnd w:id="24"/>
    <w:bookmarkEnd w:id="25"/>
    <w:bookmarkEnd w:id="26"/>
    <w:bookmarkEnd w:id="27"/>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3" w:name="_Toc373753584"/>
      <w:r w:rsidRPr="00CA35AC">
        <w:rPr>
          <w:bCs/>
          <w:iCs/>
        </w:rPr>
        <w:t xml:space="preserve">Zhotovitel </w:t>
      </w:r>
      <w:bookmarkEnd w:id="33"/>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4" w:name="_Toc373753586"/>
      <w:r w:rsidRPr="00CA35AC">
        <w:rPr>
          <w:bCs/>
          <w:iCs/>
        </w:rPr>
        <w:t xml:space="preserve">Před zahájením </w:t>
      </w:r>
      <w:bookmarkEnd w:id="34"/>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5" w:name="_Toc373753587"/>
      <w:r w:rsidRPr="00CA35AC">
        <w:rPr>
          <w:bCs/>
          <w:iCs/>
        </w:rPr>
        <w:t xml:space="preserve">O průběhu </w:t>
      </w:r>
      <w:bookmarkEnd w:id="35"/>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6" w:name="_Toc373753588"/>
      <w:r w:rsidRPr="00CA35AC">
        <w:rPr>
          <w:bCs/>
          <w:iCs/>
        </w:rPr>
        <w:t xml:space="preserve">Objednatel </w:t>
      </w:r>
      <w:bookmarkEnd w:id="36"/>
      <w:r w:rsidRPr="00CA35AC">
        <w:rPr>
          <w:bCs/>
          <w:iCs/>
        </w:rPr>
        <w:t xml:space="preserve">je oprávněn převzít i dílo, které vykazuje ojedinělé drobné vady a nedodělky, jež samy o sobě, ani ve spojení s jinými nebrání řádnému užívání díla. O odstranění vad a nedodělků, v průběhu </w:t>
      </w:r>
      <w:r w:rsidRPr="00CA35AC">
        <w:rPr>
          <w:bCs/>
          <w:iCs/>
        </w:rPr>
        <w:lastRenderedPageBreak/>
        <w:t>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 xml:space="preserve">Lhůtu pro odstranění reklamovaných vad díla sjednají obě smluvní strany podle povahy a rozsahu </w:t>
      </w:r>
      <w:r w:rsidRPr="00CA35AC">
        <w:rPr>
          <w:bCs/>
        </w:rPr>
        <w:lastRenderedPageBreak/>
        <w:t>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7" w:name="_Ref376708113"/>
      <w:r w:rsidRPr="00CA35AC">
        <w:rPr>
          <w:bCs/>
        </w:rPr>
        <w:t>pěti pracovních dnů od oznámení vady díla u vad bránících řádnému užívání díla,</w:t>
      </w:r>
      <w:bookmarkEnd w:id="37"/>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71"/>
      <w:r w:rsidRPr="00CA35AC">
        <w:rPr>
          <w:bCs/>
        </w:rPr>
        <w:t>deset pracovních dnů od oznámení vady díla u vad nebránících řádnému užívání díla,</w:t>
      </w:r>
      <w:bookmarkEnd w:id="38"/>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39" w:name="_Ref376708203"/>
      <w:r w:rsidRPr="00CA35AC">
        <w:rPr>
          <w:bCs/>
        </w:rPr>
        <w:t>patnáct pracovních dnů od oznámení vady díla u drobných vad díla.</w:t>
      </w:r>
      <w:bookmarkEnd w:id="39"/>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0" w:name="_Ref366500477"/>
      <w:bookmarkStart w:id="41" w:name="_Toc372551601"/>
      <w:bookmarkStart w:id="42" w:name="_Toc373753599"/>
      <w:bookmarkStart w:id="43" w:name="_Toc376779534"/>
      <w:r w:rsidRPr="00CA35AC">
        <w:rPr>
          <w:b/>
          <w:bCs/>
        </w:rPr>
        <w:t>Smluvní pokuty</w:t>
      </w:r>
      <w:bookmarkEnd w:id="40"/>
      <w:bookmarkEnd w:id="41"/>
      <w:bookmarkEnd w:id="42"/>
      <w:bookmarkEnd w:id="43"/>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4" w:name="_Toc305060955"/>
      <w:bookmarkStart w:id="45" w:name="_Toc305061449"/>
      <w:r w:rsidRPr="00CA35AC">
        <w:rPr>
          <w:bCs/>
        </w:rPr>
        <w:t xml:space="preserve">Zhotovitel neodstraní reklamovanou vadu v termínu, </w:t>
      </w:r>
      <w:bookmarkEnd w:id="44"/>
      <w:bookmarkEnd w:id="45"/>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lastRenderedPageBreak/>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6" w:name="_Toc372551612"/>
      <w:bookmarkStart w:id="47" w:name="_Toc373753615"/>
      <w:bookmarkStart w:id="48"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49" w:name="_Toc372551613"/>
      <w:bookmarkStart w:id="50" w:name="_Toc373753616"/>
      <w:bookmarkStart w:id="51" w:name="_Ref376457985"/>
      <w:bookmarkEnd w:id="46"/>
      <w:bookmarkEnd w:id="47"/>
      <w:bookmarkEnd w:id="48"/>
      <w:r w:rsidRPr="00CA35AC">
        <w:rPr>
          <w:bCs/>
          <w:iCs/>
        </w:rPr>
        <w:t xml:space="preserve">Jednání mezi </w:t>
      </w:r>
      <w:bookmarkEnd w:id="49"/>
      <w:bookmarkEnd w:id="50"/>
      <w:bookmarkEnd w:id="51"/>
      <w:r w:rsidRPr="00CA35AC">
        <w:rPr>
          <w:bCs/>
          <w:iCs/>
        </w:rPr>
        <w:t>smluvními stranami v rámci této smlouvy budou probíhat prostřednictvím níže uvedených oprávněných osob.</w:t>
      </w:r>
    </w:p>
    <w:p w14:paraId="7FF7F28A" w14:textId="1C40F890"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00205DAE">
        <w:rPr>
          <w:bCs/>
        </w:rPr>
        <w:t>investic</w:t>
      </w:r>
      <w:r w:rsidRPr="00CA35AC">
        <w:t xml:space="preserve"> a rozvoje města</w:t>
      </w:r>
    </w:p>
    <w:p w14:paraId="66208B98" w14:textId="752AF8D7" w:rsidR="00A759C9" w:rsidRPr="00CA35AC" w:rsidRDefault="00A759C9" w:rsidP="00067CE3">
      <w:pPr>
        <w:widowControl w:val="0"/>
        <w:tabs>
          <w:tab w:val="left" w:pos="3969"/>
        </w:tabs>
        <w:autoSpaceDE w:val="0"/>
        <w:autoSpaceDN w:val="0"/>
        <w:adjustRightInd w:val="0"/>
        <w:spacing w:line="276" w:lineRule="auto"/>
        <w:ind w:left="3969" w:right="-2" w:hanging="3260"/>
        <w:rPr>
          <w:bCs/>
        </w:rPr>
      </w:pPr>
      <w:r w:rsidRPr="00CA35AC">
        <w:rPr>
          <w:bCs/>
        </w:rPr>
        <w:tab/>
      </w:r>
      <w:r w:rsidR="00067CE3">
        <w:rPr>
          <w:bCs/>
        </w:rPr>
        <w:t xml:space="preserve">Ing. </w:t>
      </w:r>
      <w:r w:rsidR="00205DAE">
        <w:rPr>
          <w:bCs/>
        </w:rPr>
        <w:t>Jana Hudcová</w:t>
      </w:r>
      <w:r w:rsidRPr="00CA35AC">
        <w:rPr>
          <w:bCs/>
        </w:rPr>
        <w:t>, referent</w:t>
      </w:r>
      <w:r w:rsidR="00067CE3">
        <w:rPr>
          <w:bCs/>
        </w:rPr>
        <w:t>k</w:t>
      </w:r>
      <w:r w:rsidR="00205DAE">
        <w:rPr>
          <w:bCs/>
        </w:rPr>
        <w:t>a</w:t>
      </w:r>
      <w:r w:rsidRPr="00CA35AC">
        <w:rPr>
          <w:bCs/>
        </w:rPr>
        <w:t xml:space="preserve"> odboru </w:t>
      </w:r>
      <w:r w:rsidR="00205DAE">
        <w:rPr>
          <w:bCs/>
        </w:rPr>
        <w:t>investic</w:t>
      </w:r>
      <w:r w:rsidRPr="00CA35AC">
        <w:t xml:space="preserve">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2" w:name="_Toc376779537"/>
      <w:r w:rsidRPr="00CA35AC">
        <w:rPr>
          <w:b/>
          <w:bCs/>
        </w:rPr>
        <w:t>Ustanovení o vzniku a zániku smlouvy</w:t>
      </w:r>
      <w:bookmarkEnd w:id="52"/>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030BB00F"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dnem jejího podpisu oprávněnými zástupci obou Smluvních stran.</w:t>
      </w:r>
      <w:r w:rsidR="00205DAE">
        <w:rPr>
          <w:bCs/>
          <w:iCs/>
        </w:rPr>
        <w:t xml:space="preserve"> </w:t>
      </w:r>
      <w:r w:rsidR="00205DAE" w:rsidRPr="00205DAE">
        <w:rPr>
          <w:bCs/>
          <w:iCs/>
        </w:rPr>
        <w:t>Smlouva nabývá účinnosti dnem jejího uveřejnění v registru smluv v souladu se zákonem č. 340/2015 Sb., o registru smluv, v platném znění</w:t>
      </w:r>
      <w:r w:rsidR="00205DAE">
        <w:rPr>
          <w:bCs/>
          <w:iCs/>
        </w:rPr>
        <w:t>.</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 xml:space="preserve">Objednatel bude v prodlení s úhradou svých splatných peněžitých závazků vyplývajících </w:t>
      </w:r>
      <w:r w:rsidRPr="00CA35AC">
        <w:rPr>
          <w:bCs/>
        </w:rPr>
        <w:lastRenderedPageBreak/>
        <w:t>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3" w:name="_Toc372551619"/>
      <w:bookmarkStart w:id="54" w:name="_Toc373753607"/>
      <w:r w:rsidRPr="00CA35AC">
        <w:rPr>
          <w:bCs/>
          <w:iCs/>
        </w:rPr>
        <w:t xml:space="preserve">Odstoupení </w:t>
      </w:r>
      <w:bookmarkEnd w:id="53"/>
      <w:bookmarkEnd w:id="54"/>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5" w:name="_Toc372551620"/>
      <w:bookmarkStart w:id="56" w:name="_Toc373753608"/>
      <w:r w:rsidRPr="00CA35AC">
        <w:rPr>
          <w:bCs/>
        </w:rPr>
        <w:t xml:space="preserve">Smluvní strany </w:t>
      </w:r>
      <w:bookmarkEnd w:id="55"/>
      <w:bookmarkEnd w:id="56"/>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7" w:name="_Toc372551626"/>
      <w:bookmarkStart w:id="58" w:name="_Toc373753631"/>
      <w:r w:rsidRPr="00CA35AC">
        <w:rPr>
          <w:bCs/>
          <w:iCs/>
        </w:rPr>
        <w:t xml:space="preserve">Všechna </w:t>
      </w:r>
      <w:bookmarkEnd w:id="57"/>
      <w:bookmarkEnd w:id="58"/>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25869ECE"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w:t>
      </w:r>
      <w:r w:rsidR="00C94093">
        <w:rPr>
          <w:bCs/>
          <w:iCs/>
        </w:rPr>
        <w:t>5</w:t>
      </w:r>
      <w:r w:rsidRPr="00CA35AC">
        <w:rPr>
          <w:bCs/>
          <w:iCs/>
        </w:rPr>
        <w:t xml:space="preserve"> zákona č. 134/2016 Sb., o zadávání veřejných zakázek, uzavřena v písemné elektronické formě.</w:t>
      </w:r>
      <w:bookmarkStart w:id="59" w:name="_GoBack"/>
      <w:bookmarkEnd w:id="59"/>
      <w:r w:rsidRPr="00CA35AC">
        <w:rPr>
          <w:bCs/>
          <w:iCs/>
        </w:rPr>
        <w:t xml:space="preserve">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Zhotovitel souhlasí se zpracováním svých ve smlouvě uvedených osobních údajů, konkrétně s jejich zveřejněním v registru smluv ve smyslu zák. č. 340/2015 Sb., o zvláštních podmínkách účinnosti </w:t>
      </w:r>
      <w:r w:rsidRPr="00CA35AC">
        <w:rPr>
          <w:rFonts w:ascii="Times New Roman" w:hAnsi="Times New Roman" w:cs="Times New Roman"/>
        </w:rPr>
        <w:lastRenderedPageBreak/>
        <w:t>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1AF6C3D0"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č. </w:t>
      </w:r>
      <w:r w:rsidR="00DF6665" w:rsidRPr="00DF6665">
        <w:rPr>
          <w:highlight w:val="yellow"/>
          <w:lang w:eastAsia="ar-SA"/>
        </w:rPr>
        <w:t>………….</w:t>
      </w:r>
      <w:r w:rsidRPr="00CA35AC">
        <w:rPr>
          <w:lang w:eastAsia="ar-SA"/>
        </w:rPr>
        <w:t xml:space="preserve"> </w:t>
      </w:r>
      <w:proofErr w:type="gramStart"/>
      <w:r w:rsidRPr="00CA35AC">
        <w:rPr>
          <w:lang w:eastAsia="ar-SA"/>
        </w:rPr>
        <w:t>ze</w:t>
      </w:r>
      <w:proofErr w:type="gramEnd"/>
      <w:r w:rsidRPr="00CA35AC">
        <w:rPr>
          <w:lang w:eastAsia="ar-SA"/>
        </w:rPr>
        <w:t xml:space="preserve"> dne</w:t>
      </w:r>
      <w:r w:rsidR="00E779F3">
        <w:rPr>
          <w:lang w:eastAsia="ar-SA"/>
        </w:rPr>
        <w:t xml:space="preserve"> </w:t>
      </w:r>
      <w:r w:rsidR="00E779F3" w:rsidRPr="00E779F3">
        <w:rPr>
          <w:highlight w:val="yellow"/>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8"/>
      <w:footerReference w:type="default" r:id="rId9"/>
      <w:headerReference w:type="first" r:id="rId10"/>
      <w:footerReference w:type="first" r:id="rId11"/>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E31D" w14:textId="0BF40789"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C94093">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C94093">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F5C2" w14:textId="358532E1"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C94093">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C94093">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4205" w14:textId="77777777" w:rsidR="00BD1E39" w:rsidRDefault="00C94093">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61C0" w14:textId="28BB8D5F" w:rsidR="00BD1E39" w:rsidRDefault="00AF7807">
    <w:pPr>
      <w:pStyle w:val="Zhlav"/>
    </w:pPr>
    <w:r>
      <w:t>Příloha č. 4</w:t>
    </w:r>
    <w:r w:rsidR="00C6589B">
      <w:t xml:space="preserve"> Návrh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B760E"/>
    <w:multiLevelType w:val="multilevel"/>
    <w:tmpl w:val="3C90DCDC"/>
    <w:lvl w:ilvl="0">
      <w:start w:val="1"/>
      <w:numFmt w:val="decimal"/>
      <w:pStyle w:val="Nadpis1"/>
      <w:lvlText w:val="%1."/>
      <w:lvlJc w:val="left"/>
      <w:pPr>
        <w:tabs>
          <w:tab w:val="num" w:pos="357"/>
        </w:tabs>
        <w:ind w:left="357" w:hanging="357"/>
      </w:pPr>
      <w:rPr>
        <w:rFonts w:hint="default"/>
      </w:rPr>
    </w:lvl>
    <w:lvl w:ilvl="1">
      <w:start w:val="1"/>
      <w:numFmt w:val="decimal"/>
      <w:pStyle w:val="Nadpis2"/>
      <w:lvlText w:val="%1.%2."/>
      <w:lvlJc w:val="left"/>
      <w:pPr>
        <w:tabs>
          <w:tab w:val="num" w:pos="1855"/>
        </w:tabs>
        <w:ind w:left="1852" w:hanging="717"/>
      </w:pPr>
      <w:rPr>
        <w:rFonts w:ascii="Arial" w:hAnsi="Arial" w:cs="Arial" w:hint="default"/>
      </w:rPr>
    </w:lvl>
    <w:lvl w:ilvl="2">
      <w:start w:val="1"/>
      <w:numFmt w:val="decimal"/>
      <w:pStyle w:val="Nadpis3"/>
      <w:lvlText w:val="%1.%2.%3."/>
      <w:lvlJc w:val="left"/>
      <w:pPr>
        <w:tabs>
          <w:tab w:val="num" w:pos="1440"/>
        </w:tabs>
        <w:ind w:left="1440" w:hanging="720"/>
      </w:pPr>
      <w:rPr>
        <w:rFonts w:hint="default"/>
      </w:rPr>
    </w:lvl>
    <w:lvl w:ilvl="3">
      <w:start w:val="1"/>
      <w:numFmt w:val="decimal"/>
      <w:pStyle w:val="PFI-odstavec"/>
      <w:lvlText w:val="(%4)"/>
      <w:lvlJc w:val="left"/>
      <w:pPr>
        <w:tabs>
          <w:tab w:val="num" w:pos="680"/>
        </w:tabs>
        <w:ind w:left="0" w:firstLine="0"/>
      </w:pPr>
      <w:rPr>
        <w:rFonts w:ascii="Arial" w:hAnsi="Arial" w:cs="Arial" w:hint="default"/>
        <w:color w:val="auto"/>
      </w:rPr>
    </w:lvl>
    <w:lvl w:ilvl="4">
      <w:start w:val="1"/>
      <w:numFmt w:val="lowerLetter"/>
      <w:pStyle w:val="PFI-pismeno"/>
      <w:lvlText w:val="(%5)"/>
      <w:lvlJc w:val="left"/>
      <w:pPr>
        <w:tabs>
          <w:tab w:val="num" w:pos="1361"/>
        </w:tabs>
        <w:ind w:left="680" w:firstLine="0"/>
      </w:pPr>
      <w:rPr>
        <w:rFonts w:hint="default"/>
      </w:rPr>
    </w:lvl>
    <w:lvl w:ilvl="5">
      <w:start w:val="1"/>
      <w:numFmt w:val="lowerRoman"/>
      <w:pStyle w:val="PFI-msk"/>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4"/>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24"/>
    <w:lvlOverride w:ilvl="0">
      <w:startOverride w:val="1"/>
    </w:lvlOverride>
    <w:lvlOverride w:ilvl="1">
      <w:startOverride w:val="1"/>
    </w:lvlOverride>
  </w:num>
  <w:num w:numId="7">
    <w:abstractNumId w:val="8"/>
  </w:num>
  <w:num w:numId="8">
    <w:abstractNumId w:val="23"/>
  </w:num>
  <w:num w:numId="9">
    <w:abstractNumId w:val="14"/>
  </w:num>
  <w:num w:numId="10">
    <w:abstractNumId w:val="5"/>
  </w:num>
  <w:num w:numId="11">
    <w:abstractNumId w:val="2"/>
  </w:num>
  <w:num w:numId="12">
    <w:abstractNumId w:val="0"/>
  </w:num>
  <w:num w:numId="13">
    <w:abstractNumId w:val="11"/>
  </w:num>
  <w:num w:numId="14">
    <w:abstractNumId w:val="10"/>
  </w:num>
  <w:num w:numId="15">
    <w:abstractNumId w:val="22"/>
  </w:num>
  <w:num w:numId="16">
    <w:abstractNumId w:val="18"/>
  </w:num>
  <w:num w:numId="17">
    <w:abstractNumId w:val="15"/>
  </w:num>
  <w:num w:numId="18">
    <w:abstractNumId w:val="12"/>
  </w:num>
  <w:num w:numId="19">
    <w:abstractNumId w:val="13"/>
  </w:num>
  <w:num w:numId="20">
    <w:abstractNumId w:val="17"/>
  </w:num>
  <w:num w:numId="21">
    <w:abstractNumId w:val="1"/>
  </w:num>
  <w:num w:numId="22">
    <w:abstractNumId w:val="1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4"/>
  </w:num>
  <w:num w:numId="28">
    <w:abstractNumId w:val="24"/>
  </w:num>
  <w:num w:numId="29">
    <w:abstractNumId w:val="24"/>
  </w:num>
  <w:num w:numId="30">
    <w:abstractNumId w:val="24"/>
  </w:num>
  <w:num w:numId="31">
    <w:abstractNumId w:val="24"/>
  </w:num>
  <w:num w:numId="32">
    <w:abstractNumId w:val="9"/>
  </w:num>
  <w:num w:numId="33">
    <w:abstractNumId w:val="24"/>
  </w:num>
  <w:num w:numId="34">
    <w:abstractNumId w:val="24"/>
  </w:num>
  <w:num w:numId="35">
    <w:abstractNumId w:val="24"/>
  </w:num>
  <w:num w:numId="36">
    <w:abstractNumId w:val="24"/>
  </w:num>
  <w:num w:numId="37">
    <w:abstractNumId w:val="2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C9"/>
    <w:rsid w:val="00006E60"/>
    <w:rsid w:val="0001394D"/>
    <w:rsid w:val="00034205"/>
    <w:rsid w:val="00067CE3"/>
    <w:rsid w:val="00080A8B"/>
    <w:rsid w:val="000A256F"/>
    <w:rsid w:val="000A67EF"/>
    <w:rsid w:val="000C0686"/>
    <w:rsid w:val="000D5984"/>
    <w:rsid w:val="000E3143"/>
    <w:rsid w:val="000F48E3"/>
    <w:rsid w:val="001442A6"/>
    <w:rsid w:val="00162799"/>
    <w:rsid w:val="001832B3"/>
    <w:rsid w:val="001A7253"/>
    <w:rsid w:val="001B6DD8"/>
    <w:rsid w:val="001E1959"/>
    <w:rsid w:val="00205DAE"/>
    <w:rsid w:val="0021108C"/>
    <w:rsid w:val="002219DA"/>
    <w:rsid w:val="00225962"/>
    <w:rsid w:val="00251064"/>
    <w:rsid w:val="00260C1A"/>
    <w:rsid w:val="00276BA4"/>
    <w:rsid w:val="002B7831"/>
    <w:rsid w:val="002C5845"/>
    <w:rsid w:val="002D1207"/>
    <w:rsid w:val="002F1EB8"/>
    <w:rsid w:val="002F509B"/>
    <w:rsid w:val="002F6988"/>
    <w:rsid w:val="002F75A6"/>
    <w:rsid w:val="00321BD6"/>
    <w:rsid w:val="003319CC"/>
    <w:rsid w:val="0033356D"/>
    <w:rsid w:val="0037743F"/>
    <w:rsid w:val="003B2819"/>
    <w:rsid w:val="003C3058"/>
    <w:rsid w:val="003E0414"/>
    <w:rsid w:val="003F191F"/>
    <w:rsid w:val="00424D5B"/>
    <w:rsid w:val="00443C38"/>
    <w:rsid w:val="00496A9A"/>
    <w:rsid w:val="004A43DA"/>
    <w:rsid w:val="005150B2"/>
    <w:rsid w:val="00581235"/>
    <w:rsid w:val="0059406C"/>
    <w:rsid w:val="005A56E5"/>
    <w:rsid w:val="005B53F9"/>
    <w:rsid w:val="005E1988"/>
    <w:rsid w:val="005E7579"/>
    <w:rsid w:val="005F04E7"/>
    <w:rsid w:val="00601513"/>
    <w:rsid w:val="00601655"/>
    <w:rsid w:val="00610E36"/>
    <w:rsid w:val="00626569"/>
    <w:rsid w:val="00653ACE"/>
    <w:rsid w:val="00662AA2"/>
    <w:rsid w:val="00676DE5"/>
    <w:rsid w:val="00677FC6"/>
    <w:rsid w:val="006A7FC3"/>
    <w:rsid w:val="006B0641"/>
    <w:rsid w:val="0071198D"/>
    <w:rsid w:val="0071419D"/>
    <w:rsid w:val="00715B10"/>
    <w:rsid w:val="00743B73"/>
    <w:rsid w:val="007E3C5F"/>
    <w:rsid w:val="007E52EE"/>
    <w:rsid w:val="007E6769"/>
    <w:rsid w:val="00837D0F"/>
    <w:rsid w:val="00886E39"/>
    <w:rsid w:val="00890CAD"/>
    <w:rsid w:val="00891C56"/>
    <w:rsid w:val="00893AD5"/>
    <w:rsid w:val="008A1E17"/>
    <w:rsid w:val="008B665D"/>
    <w:rsid w:val="008E1F4F"/>
    <w:rsid w:val="008F6D96"/>
    <w:rsid w:val="00933474"/>
    <w:rsid w:val="009468C6"/>
    <w:rsid w:val="0099247C"/>
    <w:rsid w:val="009A76FC"/>
    <w:rsid w:val="009B39DF"/>
    <w:rsid w:val="009B6F80"/>
    <w:rsid w:val="009D2D76"/>
    <w:rsid w:val="009F67B0"/>
    <w:rsid w:val="00A2106F"/>
    <w:rsid w:val="00A2194E"/>
    <w:rsid w:val="00A354A1"/>
    <w:rsid w:val="00A47AC0"/>
    <w:rsid w:val="00A54FC7"/>
    <w:rsid w:val="00A675A2"/>
    <w:rsid w:val="00A74FDD"/>
    <w:rsid w:val="00A759C9"/>
    <w:rsid w:val="00A95DC1"/>
    <w:rsid w:val="00AB3E25"/>
    <w:rsid w:val="00AE7375"/>
    <w:rsid w:val="00AE793C"/>
    <w:rsid w:val="00AF7807"/>
    <w:rsid w:val="00B11F7A"/>
    <w:rsid w:val="00B1595C"/>
    <w:rsid w:val="00B37672"/>
    <w:rsid w:val="00B403DE"/>
    <w:rsid w:val="00B7433C"/>
    <w:rsid w:val="00BC3A48"/>
    <w:rsid w:val="00BE56C4"/>
    <w:rsid w:val="00BE573B"/>
    <w:rsid w:val="00C060AA"/>
    <w:rsid w:val="00C54ACA"/>
    <w:rsid w:val="00C6589B"/>
    <w:rsid w:val="00C7290A"/>
    <w:rsid w:val="00C815DD"/>
    <w:rsid w:val="00C867C3"/>
    <w:rsid w:val="00C94093"/>
    <w:rsid w:val="00C94688"/>
    <w:rsid w:val="00CC4E31"/>
    <w:rsid w:val="00CF389E"/>
    <w:rsid w:val="00D11375"/>
    <w:rsid w:val="00D2128D"/>
    <w:rsid w:val="00D30485"/>
    <w:rsid w:val="00D30C49"/>
    <w:rsid w:val="00D64141"/>
    <w:rsid w:val="00D700C0"/>
    <w:rsid w:val="00D70A0D"/>
    <w:rsid w:val="00DA3BC4"/>
    <w:rsid w:val="00DB5D2E"/>
    <w:rsid w:val="00DD0125"/>
    <w:rsid w:val="00DD21EC"/>
    <w:rsid w:val="00DE27F6"/>
    <w:rsid w:val="00DE5700"/>
    <w:rsid w:val="00DF6665"/>
    <w:rsid w:val="00E021CC"/>
    <w:rsid w:val="00E10F4C"/>
    <w:rsid w:val="00E1261E"/>
    <w:rsid w:val="00E21990"/>
    <w:rsid w:val="00E65905"/>
    <w:rsid w:val="00E65A20"/>
    <w:rsid w:val="00E779F3"/>
    <w:rsid w:val="00E77A2B"/>
    <w:rsid w:val="00EC63B5"/>
    <w:rsid w:val="00ED64CE"/>
    <w:rsid w:val="00F103A1"/>
    <w:rsid w:val="00F21C82"/>
    <w:rsid w:val="00F4524F"/>
    <w:rsid w:val="00F52694"/>
    <w:rsid w:val="00F6585E"/>
    <w:rsid w:val="00F71525"/>
    <w:rsid w:val="00FA4ED8"/>
    <w:rsid w:val="00FC4A61"/>
    <w:rsid w:val="00FE06A1"/>
    <w:rsid w:val="00FE204C"/>
    <w:rsid w:val="00FF6BC7"/>
    <w:rsid w:val="00FF7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PFI-odstavec"/>
    <w:link w:val="Nadpis1Char"/>
    <w:qFormat/>
    <w:rsid w:val="0059406C"/>
    <w:pPr>
      <w:keepNext/>
      <w:numPr>
        <w:numId w:val="32"/>
      </w:numPr>
      <w:pBdr>
        <w:bottom w:val="single" w:sz="4" w:space="1" w:color="auto"/>
      </w:pBdr>
      <w:shd w:val="clear" w:color="auto" w:fill="E0E0E0"/>
      <w:suppressAutoHyphens/>
      <w:spacing w:before="240" w:after="60"/>
      <w:outlineLvl w:val="0"/>
    </w:pPr>
    <w:rPr>
      <w:rFonts w:ascii="Palatino Linotype" w:hAnsi="Palatino Linotype" w:cs="Arial"/>
      <w:b/>
      <w:bCs/>
      <w:kern w:val="36"/>
      <w:sz w:val="36"/>
      <w:szCs w:val="32"/>
      <w:lang w:eastAsia="ar-SA"/>
    </w:rPr>
  </w:style>
  <w:style w:type="paragraph" w:styleId="Nadpis2">
    <w:name w:val="heading 2"/>
    <w:basedOn w:val="Normln"/>
    <w:next w:val="PFI-odstavec"/>
    <w:link w:val="Nadpis2Char"/>
    <w:qFormat/>
    <w:rsid w:val="0059406C"/>
    <w:pPr>
      <w:keepNext/>
      <w:numPr>
        <w:ilvl w:val="1"/>
        <w:numId w:val="32"/>
      </w:numPr>
      <w:suppressAutoHyphens/>
      <w:spacing w:before="240" w:after="60"/>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59406C"/>
    <w:pPr>
      <w:keepNext/>
      <w:numPr>
        <w:ilvl w:val="2"/>
        <w:numId w:val="32"/>
      </w:numPr>
      <w:suppressAutoHyphens/>
      <w:spacing w:after="120"/>
      <w:jc w:val="both"/>
      <w:outlineLvl w:val="2"/>
    </w:pPr>
    <w:rPr>
      <w:rFonts w:ascii="Palatino Linotype" w:hAnsi="Palatino Linotype"/>
      <w:b/>
      <w:sz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 w:type="character" w:customStyle="1" w:styleId="Nadpis1Char">
    <w:name w:val="Nadpis 1 Char"/>
    <w:basedOn w:val="Standardnpsmoodstavce"/>
    <w:link w:val="Nadpis1"/>
    <w:rsid w:val="0059406C"/>
    <w:rPr>
      <w:rFonts w:ascii="Palatino Linotype" w:eastAsia="Times New Roman" w:hAnsi="Palatino Linotype" w:cs="Arial"/>
      <w:b/>
      <w:bCs/>
      <w:kern w:val="36"/>
      <w:sz w:val="36"/>
      <w:szCs w:val="32"/>
      <w:shd w:val="clear" w:color="auto" w:fill="E0E0E0"/>
      <w:lang w:eastAsia="ar-SA"/>
    </w:rPr>
  </w:style>
  <w:style w:type="character" w:customStyle="1" w:styleId="Nadpis2Char">
    <w:name w:val="Nadpis 2 Char"/>
    <w:basedOn w:val="Standardnpsmoodstavce"/>
    <w:link w:val="Nadpis2"/>
    <w:rsid w:val="0059406C"/>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59406C"/>
    <w:rPr>
      <w:rFonts w:ascii="Palatino Linotype" w:eastAsia="Times New Roman" w:hAnsi="Palatino Linotype" w:cs="Times New Roman"/>
      <w:b/>
      <w:szCs w:val="24"/>
      <w:lang w:eastAsia="ar-SA"/>
    </w:rPr>
  </w:style>
  <w:style w:type="paragraph" w:customStyle="1" w:styleId="PFI-odstavec">
    <w:name w:val="PFI-odstavec"/>
    <w:basedOn w:val="Normln"/>
    <w:rsid w:val="0059406C"/>
    <w:pPr>
      <w:numPr>
        <w:ilvl w:val="3"/>
        <w:numId w:val="32"/>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59406C"/>
    <w:pPr>
      <w:numPr>
        <w:ilvl w:val="4"/>
      </w:numPr>
    </w:pPr>
  </w:style>
  <w:style w:type="paragraph" w:customStyle="1" w:styleId="PFI-msk">
    <w:name w:val="PFI-římské"/>
    <w:basedOn w:val="PFI-pismeno"/>
    <w:rsid w:val="0059406C"/>
    <w:pPr>
      <w:numPr>
        <w:ilvl w:val="5"/>
      </w:numPr>
    </w:pPr>
  </w:style>
  <w:style w:type="character" w:customStyle="1" w:styleId="WW-WW8Num5z01">
    <w:name w:val="WW-WW8Num5z01"/>
    <w:semiHidden/>
    <w:rsid w:val="00A675A2"/>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0FA0A-1887-479A-935B-D00CA617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6070</Words>
  <Characters>35815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Franeková Marie</cp:lastModifiedBy>
  <cp:revision>6</cp:revision>
  <dcterms:created xsi:type="dcterms:W3CDTF">2025-10-08T08:04:00Z</dcterms:created>
  <dcterms:modified xsi:type="dcterms:W3CDTF">2025-10-08T11:37:00Z</dcterms:modified>
</cp:coreProperties>
</file>