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4A2" w:rsidRDefault="00FD74A2" w:rsidP="002C480F">
      <w:pPr>
        <w:jc w:val="center"/>
        <w:rPr>
          <w:b/>
          <w:bCs/>
        </w:rPr>
      </w:pPr>
      <w:r w:rsidRPr="002F40A4">
        <w:rPr>
          <w:b/>
          <w:bCs/>
        </w:rPr>
        <w:t>Odůvodnění veřejné zakázky</w:t>
      </w:r>
    </w:p>
    <w:p w:rsidR="00FD74A2" w:rsidRDefault="00FD74A2" w:rsidP="00E827E5">
      <w:pPr>
        <w:rPr>
          <w:b/>
          <w:bCs/>
        </w:rPr>
      </w:pPr>
    </w:p>
    <w:p w:rsidR="00FD74A2" w:rsidRPr="00BB1DA7" w:rsidRDefault="00FD74A2" w:rsidP="00E827E5">
      <w:pPr>
        <w:jc w:val="center"/>
      </w:pPr>
      <w:r w:rsidRPr="00BB1DA7">
        <w:t>v souladu s § 156 odst. 1 zákona č. 137/2006 Sb., o veřejných zakázkách,</w:t>
      </w:r>
    </w:p>
    <w:p w:rsidR="00FD74A2" w:rsidRPr="00BB1DA7" w:rsidRDefault="00FD74A2" w:rsidP="00E827E5">
      <w:pPr>
        <w:jc w:val="center"/>
      </w:pPr>
      <w:r w:rsidRPr="00BB1DA7">
        <w:t>ve znění pozdějších předpisů (dále jen „zákon“)</w:t>
      </w:r>
    </w:p>
    <w:p w:rsidR="00FD74A2" w:rsidRPr="00BB1DA7" w:rsidRDefault="00FD74A2" w:rsidP="00E827E5">
      <w:pPr>
        <w:jc w:val="center"/>
      </w:pPr>
    </w:p>
    <w:p w:rsidR="00FD74A2" w:rsidRDefault="00FD74A2" w:rsidP="00E827E5">
      <w:pPr>
        <w:rPr>
          <w:b/>
          <w:bCs/>
        </w:rPr>
      </w:pPr>
    </w:p>
    <w:p w:rsidR="00FD74A2" w:rsidRPr="00475456" w:rsidRDefault="00FD74A2" w:rsidP="00E827E5">
      <w:pPr>
        <w:ind w:left="2832" w:hanging="2832"/>
        <w:rPr>
          <w:b/>
          <w:bCs/>
        </w:rPr>
      </w:pPr>
      <w:r>
        <w:rPr>
          <w:b/>
          <w:bCs/>
        </w:rPr>
        <w:t>Název veřejné zakázky:</w:t>
      </w:r>
      <w:r>
        <w:rPr>
          <w:b/>
          <w:bCs/>
        </w:rPr>
        <w:tab/>
      </w:r>
      <w:r w:rsidRPr="005673D4">
        <w:t xml:space="preserve">„Rozšíření </w:t>
      </w:r>
      <w:r>
        <w:t>a rozvoj systému</w:t>
      </w:r>
      <w:r w:rsidRPr="005673D4">
        <w:t xml:space="preserve">  GINIS“</w:t>
      </w:r>
    </w:p>
    <w:p w:rsidR="00FD74A2" w:rsidRDefault="00FD74A2" w:rsidP="00E827E5">
      <w:pPr>
        <w:jc w:val="both"/>
        <w:rPr>
          <w:b/>
          <w:bCs/>
        </w:rPr>
      </w:pPr>
      <w:r>
        <w:rPr>
          <w:b/>
          <w:bCs/>
        </w:rPr>
        <w:t>Typ veřejné zakázky:</w:t>
      </w:r>
      <w:r>
        <w:rPr>
          <w:b/>
          <w:bCs/>
        </w:rPr>
        <w:tab/>
      </w:r>
      <w:r>
        <w:t>nadlimitní</w:t>
      </w:r>
      <w:r w:rsidRPr="000D50BA">
        <w:t xml:space="preserve"> veřejná zakázka</w:t>
      </w:r>
      <w:r>
        <w:t xml:space="preserve"> na služby</w:t>
      </w:r>
    </w:p>
    <w:p w:rsidR="00FD74A2" w:rsidRDefault="00FD74A2" w:rsidP="00A8613C">
      <w:pPr>
        <w:ind w:left="3420" w:hanging="3600"/>
      </w:pPr>
      <w:r>
        <w:rPr>
          <w:b/>
          <w:bCs/>
        </w:rPr>
        <w:t xml:space="preserve">   Druh zadávacího řízení:      </w:t>
      </w:r>
      <w:r>
        <w:t>jednací řízení bez uveřejnění dle</w:t>
      </w:r>
      <w:r>
        <w:rPr>
          <w:b/>
          <w:bCs/>
        </w:rPr>
        <w:t xml:space="preserve"> </w:t>
      </w:r>
      <w:r>
        <w:t>§ 23 odst. 4 písm. a) zákona</w:t>
      </w:r>
    </w:p>
    <w:p w:rsidR="00FD74A2" w:rsidRPr="00F64DA7" w:rsidRDefault="00FD74A2" w:rsidP="00E827E5">
      <w:pPr>
        <w:jc w:val="both"/>
        <w:rPr>
          <w:b/>
          <w:bCs/>
        </w:rPr>
      </w:pPr>
    </w:p>
    <w:p w:rsidR="00FD74A2" w:rsidRPr="00F64DA7" w:rsidRDefault="00FD74A2" w:rsidP="00E827E5">
      <w:pPr>
        <w:ind w:left="3540" w:hanging="3540"/>
        <w:rPr>
          <w:b/>
          <w:bCs/>
        </w:rPr>
      </w:pPr>
      <w:r w:rsidRPr="00F64DA7">
        <w:rPr>
          <w:b/>
          <w:bCs/>
        </w:rPr>
        <w:t>Identifikační údaje veřejného zadavatele</w:t>
      </w:r>
      <w:r>
        <w:rPr>
          <w:b/>
          <w:bCs/>
        </w:rPr>
        <w:t xml:space="preserve"> (dále jen „</w:t>
      </w:r>
      <w:r w:rsidRPr="00F64DA7">
        <w:rPr>
          <w:b/>
          <w:bCs/>
        </w:rPr>
        <w:t>zadavatel</w:t>
      </w:r>
      <w:r w:rsidRPr="00B64C0A">
        <w:rPr>
          <w:b/>
          <w:bCs/>
        </w:rPr>
        <w:t>“)</w:t>
      </w:r>
      <w:r w:rsidRPr="00F64DA7">
        <w:rPr>
          <w:b/>
          <w:bCs/>
        </w:rPr>
        <w:t>:</w:t>
      </w:r>
    </w:p>
    <w:p w:rsidR="00FD74A2" w:rsidRPr="000D50BA" w:rsidRDefault="00FD74A2" w:rsidP="00E827E5">
      <w:pPr>
        <w:ind w:left="3540" w:hanging="3540"/>
        <w:rPr>
          <w:b/>
          <w:bCs/>
        </w:rPr>
      </w:pPr>
      <w:r w:rsidRPr="000D50BA">
        <w:rPr>
          <w:b/>
          <w:bCs/>
        </w:rPr>
        <w:t>Název zadavatele:</w:t>
      </w:r>
      <w:r>
        <w:t xml:space="preserve">                </w:t>
      </w:r>
      <w:r w:rsidR="00FE5ACA">
        <w:t xml:space="preserve"> </w:t>
      </w:r>
      <w:r>
        <w:t xml:space="preserve"> </w:t>
      </w:r>
      <w:r w:rsidR="00FE5ACA">
        <w:t>s</w:t>
      </w:r>
      <w:r>
        <w:t>tatutární město Brno</w:t>
      </w:r>
    </w:p>
    <w:p w:rsidR="00FD74A2" w:rsidRDefault="00FD74A2" w:rsidP="00E827E5">
      <w:pPr>
        <w:autoSpaceDE w:val="0"/>
        <w:jc w:val="both"/>
        <w:rPr>
          <w:b/>
          <w:bCs/>
        </w:rPr>
      </w:pPr>
      <w:r>
        <w:rPr>
          <w:b/>
          <w:bCs/>
        </w:rPr>
        <w:t>Sídlo zadavatele: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Pr="000D50BA">
        <w:t>Dominikánské náměstí 196/1</w:t>
      </w:r>
      <w:r>
        <w:t>, 601 69 Brno</w:t>
      </w:r>
    </w:p>
    <w:p w:rsidR="00FD74A2" w:rsidRPr="000D50BA" w:rsidRDefault="00FD74A2" w:rsidP="00E827E5">
      <w:pPr>
        <w:autoSpaceDE w:val="0"/>
        <w:jc w:val="both"/>
      </w:pPr>
      <w:r w:rsidRPr="000D50BA">
        <w:rPr>
          <w:b/>
          <w:bCs/>
        </w:rPr>
        <w:t>IČ zadavatele</w:t>
      </w:r>
      <w:r>
        <w:t>:</w:t>
      </w:r>
      <w:r>
        <w:tab/>
      </w:r>
      <w:r>
        <w:tab/>
        <w:t xml:space="preserve"> 44992785</w:t>
      </w:r>
    </w:p>
    <w:p w:rsidR="00FD74A2" w:rsidRDefault="00FD74A2" w:rsidP="00E827E5">
      <w:pPr>
        <w:autoSpaceDE w:val="0"/>
        <w:jc w:val="both"/>
      </w:pPr>
      <w:r w:rsidRPr="000D50BA">
        <w:rPr>
          <w:b/>
          <w:bCs/>
        </w:rPr>
        <w:t>DIČ zadavatele</w:t>
      </w:r>
      <w:r>
        <w:t>:</w:t>
      </w:r>
      <w:r>
        <w:tab/>
      </w:r>
      <w:r>
        <w:tab/>
        <w:t xml:space="preserve"> </w:t>
      </w:r>
      <w:r w:rsidRPr="000D50BA">
        <w:t>CZ</w:t>
      </w:r>
      <w:r>
        <w:t>44992785</w:t>
      </w:r>
    </w:p>
    <w:p w:rsidR="00FD74A2" w:rsidRDefault="00FD74A2" w:rsidP="00E827E5">
      <w:pPr>
        <w:autoSpaceDE w:val="0"/>
        <w:ind w:left="3540" w:hanging="3540"/>
        <w:jc w:val="both"/>
      </w:pPr>
      <w:r w:rsidRPr="00125C88">
        <w:rPr>
          <w:b/>
          <w:bCs/>
        </w:rPr>
        <w:t>Kontaktní osoba:</w:t>
      </w:r>
      <w:r w:rsidR="00C80BFA">
        <w:t xml:space="preserve">                </w:t>
      </w:r>
      <w:r w:rsidRPr="000525F1">
        <w:t>Mgr. Ladislav Zajíc, vedoucí Ekonomicko-právního od</w:t>
      </w:r>
      <w:r>
        <w:t xml:space="preserve">d. </w:t>
      </w:r>
    </w:p>
    <w:p w:rsidR="00FD74A2" w:rsidRPr="000D50BA" w:rsidRDefault="00FD74A2" w:rsidP="00E827E5">
      <w:pPr>
        <w:autoSpaceDE w:val="0"/>
        <w:jc w:val="both"/>
      </w:pPr>
      <w:r>
        <w:t xml:space="preserve">                 </w:t>
      </w:r>
      <w:r w:rsidR="00C80BFA">
        <w:t xml:space="preserve">                          </w:t>
      </w:r>
      <w:r>
        <w:t>OMI MMB</w:t>
      </w:r>
    </w:p>
    <w:p w:rsidR="00FD74A2" w:rsidRPr="00F15308" w:rsidRDefault="00FD74A2" w:rsidP="00E827E5">
      <w:pPr>
        <w:autoSpaceDE w:val="0"/>
        <w:jc w:val="both"/>
        <w:rPr>
          <w:b/>
          <w:bCs/>
        </w:rPr>
      </w:pPr>
      <w:r w:rsidRPr="000D50BA">
        <w:tab/>
      </w:r>
      <w:r w:rsidRPr="000D50BA">
        <w:tab/>
      </w:r>
      <w:r w:rsidRPr="000D50BA">
        <w:rPr>
          <w:b/>
          <w:bCs/>
        </w:rPr>
        <w:tab/>
      </w:r>
      <w:r w:rsidRPr="000D50BA">
        <w:rPr>
          <w:b/>
          <w:bCs/>
        </w:rPr>
        <w:tab/>
      </w:r>
      <w:r w:rsidRPr="000D50BA">
        <w:rPr>
          <w:b/>
          <w:bCs/>
        </w:rPr>
        <w:tab/>
      </w:r>
      <w:r w:rsidRPr="000D50BA">
        <w:rPr>
          <w:b/>
          <w:bCs/>
        </w:rPr>
        <w:tab/>
      </w:r>
      <w:r w:rsidRPr="000D50BA">
        <w:rPr>
          <w:b/>
          <w:bCs/>
        </w:rPr>
        <w:tab/>
      </w:r>
    </w:p>
    <w:p w:rsidR="00FD74A2" w:rsidRPr="00F64DA7" w:rsidRDefault="00FD74A2" w:rsidP="00E827E5">
      <w:pPr>
        <w:ind w:left="3540" w:hanging="3540"/>
        <w:jc w:val="both"/>
        <w:rPr>
          <w:b/>
          <w:bCs/>
        </w:rPr>
      </w:pPr>
      <w:r w:rsidRPr="00F64DA7">
        <w:rPr>
          <w:b/>
          <w:bCs/>
        </w:rPr>
        <w:t>Předmět veřejné zakázky:</w:t>
      </w:r>
    </w:p>
    <w:p w:rsidR="00FD74A2" w:rsidRDefault="00FD74A2" w:rsidP="00E827E5">
      <w:pPr>
        <w:tabs>
          <w:tab w:val="left" w:pos="284"/>
        </w:tabs>
        <w:jc w:val="both"/>
      </w:pPr>
    </w:p>
    <w:p w:rsidR="00FD74A2" w:rsidRPr="0028513E" w:rsidRDefault="00FD74A2" w:rsidP="0028513E">
      <w:pPr>
        <w:suppressAutoHyphens/>
        <w:autoSpaceDE w:val="0"/>
        <w:autoSpaceDN w:val="0"/>
        <w:adjustRightInd w:val="0"/>
        <w:spacing w:after="60"/>
        <w:jc w:val="both"/>
        <w:rPr>
          <w:rFonts w:eastAsia="SimSun"/>
          <w:lang w:eastAsia="zh-CN"/>
        </w:rPr>
      </w:pPr>
      <w:r w:rsidRPr="0028513E">
        <w:rPr>
          <w:rFonts w:eastAsia="SimSun"/>
          <w:lang w:eastAsia="zh-CN"/>
        </w:rPr>
        <w:t>Předmětem plnění veřejné zakázky jsou požadované služby a doplnění ekonomické části již implementovaného systému GINIS o další požadované moduly GINIS. Předmětem plnění je nasazení dalších modulů vybraných na základě potřeb zadavatele ve vazbě na vyhodnocení požadavk</w:t>
      </w:r>
      <w:r w:rsidR="00BF3A59">
        <w:rPr>
          <w:rFonts w:eastAsia="SimSun"/>
          <w:lang w:eastAsia="zh-CN"/>
        </w:rPr>
        <w:t>ů z provozu aplikací v roce 2014</w:t>
      </w:r>
      <w:r>
        <w:rPr>
          <w:rFonts w:eastAsia="SimSun"/>
          <w:lang w:eastAsia="zh-CN"/>
        </w:rPr>
        <w:t>,</w:t>
      </w:r>
      <w:r w:rsidRPr="0028513E">
        <w:rPr>
          <w:rFonts w:eastAsia="SimSun"/>
          <w:lang w:eastAsia="zh-CN"/>
        </w:rPr>
        <w:t xml:space="preserve"> včetně zajištění požadavků vyplývajících z legislativy.</w:t>
      </w:r>
    </w:p>
    <w:p w:rsidR="00FD74A2" w:rsidRDefault="00FD74A2" w:rsidP="00E827E5">
      <w:pPr>
        <w:suppressAutoHyphens/>
        <w:autoSpaceDE w:val="0"/>
        <w:autoSpaceDN w:val="0"/>
        <w:adjustRightInd w:val="0"/>
        <w:spacing w:after="60"/>
        <w:jc w:val="both"/>
        <w:rPr>
          <w:rFonts w:eastAsia="SimSun"/>
          <w:lang w:eastAsia="zh-CN"/>
        </w:rPr>
      </w:pPr>
    </w:p>
    <w:p w:rsidR="00FD74A2" w:rsidRDefault="00FD74A2" w:rsidP="00E827E5">
      <w:pPr>
        <w:tabs>
          <w:tab w:val="left" w:pos="284"/>
        </w:tabs>
        <w:jc w:val="both"/>
      </w:pPr>
      <w:r>
        <w:t>Veřejná zakázka je zadávána v jednací řízení bez uveřejnění dle</w:t>
      </w:r>
      <w:r>
        <w:rPr>
          <w:b/>
          <w:bCs/>
        </w:rPr>
        <w:t xml:space="preserve"> </w:t>
      </w:r>
      <w:r>
        <w:t>§ 23 odst. 4 písm. a) zákona.</w:t>
      </w:r>
    </w:p>
    <w:p w:rsidR="00FD74A2" w:rsidRDefault="00FD74A2" w:rsidP="00E827E5"/>
    <w:p w:rsidR="00FD74A2" w:rsidRPr="00770785" w:rsidRDefault="00FD74A2" w:rsidP="00E827E5">
      <w:pPr>
        <w:rPr>
          <w:b/>
          <w:bCs/>
        </w:rPr>
      </w:pPr>
      <w:r w:rsidRPr="00770785">
        <w:rPr>
          <w:b/>
          <w:bCs/>
        </w:rPr>
        <w:t>Toto odůvodnění obsahuje:</w:t>
      </w:r>
    </w:p>
    <w:p w:rsidR="00FD74A2" w:rsidRPr="00770785" w:rsidRDefault="00FD74A2" w:rsidP="00E827E5"/>
    <w:p w:rsidR="00FD74A2" w:rsidRPr="00770785" w:rsidRDefault="00FD74A2" w:rsidP="00E827E5">
      <w:r w:rsidRPr="00770785">
        <w:t>a)</w:t>
      </w:r>
      <w:r w:rsidRPr="00770785">
        <w:tab/>
        <w:t>odůvodnění účelnosti veřejné zakázky</w:t>
      </w:r>
    </w:p>
    <w:p w:rsidR="00FD74A2" w:rsidRPr="00770785" w:rsidRDefault="00FD74A2" w:rsidP="00E827E5"/>
    <w:p w:rsidR="00FD74A2" w:rsidRPr="00770785" w:rsidRDefault="00FD74A2" w:rsidP="00E827E5">
      <w:r w:rsidRPr="00770785">
        <w:t>b)</w:t>
      </w:r>
      <w:r w:rsidRPr="00770785">
        <w:tab/>
        <w:t>odůvodnění přiměřenosti požadavků na technické kvalifikační předpoklady</w:t>
      </w:r>
    </w:p>
    <w:p w:rsidR="00FD74A2" w:rsidRPr="00770785" w:rsidRDefault="00FD74A2" w:rsidP="00E827E5"/>
    <w:p w:rsidR="00FD74A2" w:rsidRPr="00770785" w:rsidRDefault="00FD74A2" w:rsidP="00E827E5">
      <w:pPr>
        <w:ind w:left="720" w:hanging="720"/>
      </w:pPr>
      <w:r w:rsidRPr="00770785">
        <w:t>c)</w:t>
      </w:r>
      <w:r w:rsidRPr="00770785">
        <w:tab/>
        <w:t>odůvodnění vymezení obchodních a technických podmínek veřejné zakázky ve vztahu k potřebám veřejného zadavatele</w:t>
      </w:r>
    </w:p>
    <w:p w:rsidR="00FD74A2" w:rsidRPr="00770785" w:rsidRDefault="00FD74A2" w:rsidP="00E827E5"/>
    <w:p w:rsidR="00FD74A2" w:rsidRPr="00770785" w:rsidRDefault="00FD74A2" w:rsidP="00E827E5">
      <w:pPr>
        <w:ind w:left="720" w:hanging="720"/>
      </w:pPr>
      <w:r w:rsidRPr="00770785">
        <w:t>d)</w:t>
      </w:r>
      <w:r w:rsidRPr="00770785">
        <w:tab/>
        <w:t>odůvodnění stanovení základních a dílčích hodnotících kritérií a způsobu hodnocení nabídek ve vztahu k potřebám veřejného zadavatele</w:t>
      </w:r>
    </w:p>
    <w:p w:rsidR="00FD74A2" w:rsidRPr="00770785" w:rsidRDefault="00FD74A2" w:rsidP="00E827E5"/>
    <w:p w:rsidR="00FD74A2" w:rsidRDefault="00FD74A2" w:rsidP="00E827E5">
      <w:r w:rsidRPr="00770785">
        <w:t>Odůvodnění je podrobně rozepsáno v přiložených tabulkách.</w:t>
      </w:r>
    </w:p>
    <w:p w:rsidR="00FD74A2" w:rsidRDefault="00FD74A2" w:rsidP="00E827E5"/>
    <w:p w:rsidR="00FD74A2" w:rsidRDefault="00FD74A2" w:rsidP="00E827E5"/>
    <w:p w:rsidR="00FD74A2" w:rsidRPr="00770785" w:rsidRDefault="00FD74A2" w:rsidP="00E827E5"/>
    <w:p w:rsidR="00FD74A2" w:rsidRPr="00770785" w:rsidRDefault="00714C12" w:rsidP="00E827E5">
      <w:r>
        <w:t>V Brně dne 16. 7</w:t>
      </w:r>
      <w:r w:rsidR="00BF3A59">
        <w:t>. 2015</w:t>
      </w:r>
    </w:p>
    <w:p w:rsidR="00FD74A2" w:rsidRPr="00770785" w:rsidRDefault="00FD74A2" w:rsidP="00E827E5"/>
    <w:p w:rsidR="00FD74A2" w:rsidRDefault="00FD74A2" w:rsidP="00E827E5">
      <w:pPr>
        <w:tabs>
          <w:tab w:val="center" w:pos="1701"/>
          <w:tab w:val="center" w:pos="6663"/>
        </w:tabs>
      </w:pPr>
      <w:r>
        <w:rPr>
          <w:i/>
          <w:iCs/>
        </w:rPr>
        <w:tab/>
      </w:r>
      <w:r>
        <w:rPr>
          <w:i/>
          <w:iCs/>
        </w:rPr>
        <w:tab/>
        <w:t>.........................................................</w:t>
      </w:r>
      <w:r>
        <w:rPr>
          <w:b/>
          <w:bCs/>
        </w:rPr>
        <w:tab/>
      </w:r>
      <w:r>
        <w:t xml:space="preserve"> </w:t>
      </w:r>
    </w:p>
    <w:p w:rsidR="00FD74A2" w:rsidRPr="00E43601" w:rsidRDefault="00FD74A2" w:rsidP="00E827E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3280">
        <w:t>Ing</w:t>
      </w:r>
      <w:r>
        <w:t>. Jaromír Emmer</w:t>
      </w:r>
    </w:p>
    <w:p w:rsidR="00FD74A2" w:rsidRDefault="00FD74A2" w:rsidP="00E827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v</w:t>
      </w:r>
      <w:r w:rsidRPr="00533280">
        <w:t>edoucí OMI MM</w:t>
      </w:r>
      <w:r>
        <w:t>B</w:t>
      </w:r>
    </w:p>
    <w:p w:rsidR="00FD74A2" w:rsidRPr="00770785" w:rsidRDefault="00FD74A2" w:rsidP="00E827E5"/>
    <w:p w:rsidR="00FD74A2" w:rsidRDefault="00FD74A2" w:rsidP="00E827E5"/>
    <w:p w:rsidR="00FD74A2" w:rsidRDefault="00FD74A2" w:rsidP="00E827E5"/>
    <w:p w:rsidR="00FD74A2" w:rsidRDefault="00FD74A2" w:rsidP="00E827E5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9"/>
        <w:gridCol w:w="5843"/>
      </w:tblGrid>
      <w:tr w:rsidR="00FD74A2" w:rsidRPr="009D5750">
        <w:tc>
          <w:tcPr>
            <w:tcW w:w="9212" w:type="dxa"/>
            <w:gridSpan w:val="2"/>
          </w:tcPr>
          <w:p w:rsidR="00FD74A2" w:rsidRPr="006B2879" w:rsidRDefault="00FD74A2" w:rsidP="00E31355">
            <w:pPr>
              <w:jc w:val="center"/>
              <w:rPr>
                <w:b/>
                <w:bCs/>
              </w:rPr>
            </w:pPr>
            <w:r w:rsidRPr="006B2879">
              <w:rPr>
                <w:b/>
                <w:bCs/>
              </w:rPr>
              <w:t>Odůvodnění účelnosti veřejné zakázky</w:t>
            </w:r>
          </w:p>
        </w:tc>
      </w:tr>
      <w:tr w:rsidR="00FD74A2" w:rsidRPr="009D5750">
        <w:tc>
          <w:tcPr>
            <w:tcW w:w="3369" w:type="dxa"/>
          </w:tcPr>
          <w:p w:rsidR="00FD74A2" w:rsidRPr="009D5750" w:rsidRDefault="00FD74A2" w:rsidP="00190A6A">
            <w:pPr>
              <w:pStyle w:val="Odstavecseseznamem"/>
              <w:ind w:left="0"/>
              <w:jc w:val="both"/>
            </w:pPr>
            <w:r w:rsidRPr="006B2879">
              <w:t>Plánovaný cíl veřejné zakázky</w:t>
            </w:r>
          </w:p>
        </w:tc>
        <w:tc>
          <w:tcPr>
            <w:tcW w:w="5843" w:type="dxa"/>
          </w:tcPr>
          <w:p w:rsidR="00FD74A2" w:rsidRDefault="00FD74A2" w:rsidP="00B65750">
            <w:pPr>
              <w:jc w:val="both"/>
            </w:pPr>
            <w:r>
              <w:t>Plánovaným cílem a p</w:t>
            </w:r>
            <w:r w:rsidRPr="00ED7048">
              <w:t>ředmětem p</w:t>
            </w:r>
            <w:r>
              <w:t>lnění této veřejné zakázky jsou</w:t>
            </w:r>
            <w:r w:rsidRPr="00ED7048">
              <w:t xml:space="preserve"> služby a doplnění již implementovaného systému GINIS o další moduly</w:t>
            </w:r>
            <w:r>
              <w:t xml:space="preserve"> vybrané na základě potřeb zadavatele </w:t>
            </w:r>
            <w:r w:rsidR="00AC0560">
              <w:t xml:space="preserve">(převážně ÚMČ) </w:t>
            </w:r>
            <w:r>
              <w:t>a vyhodnocení p</w:t>
            </w:r>
            <w:r w:rsidR="00AC0560">
              <w:t>rovozu aplikací v roce 2014</w:t>
            </w:r>
            <w:r>
              <w:t>,</w:t>
            </w:r>
            <w:r w:rsidRPr="00ED7048">
              <w:t xml:space="preserve"> včetně zajištění požadavků vyplývajících z legislativy.</w:t>
            </w:r>
          </w:p>
          <w:p w:rsidR="00FD74A2" w:rsidRDefault="00FD74A2" w:rsidP="00AC0560">
            <w:pPr>
              <w:jc w:val="both"/>
            </w:pPr>
            <w:r>
              <w:t>Dále uvedené rozvojové projekty budou realizovány po odsouhlasení objednatelem</w:t>
            </w:r>
            <w:r w:rsidDel="000D15D4">
              <w:t xml:space="preserve"> </w:t>
            </w:r>
            <w:r>
              <w:t>v souvislosti s aktuálními požadavky na funkcionality a podle aktuálního stavu platné legislativy.</w:t>
            </w:r>
            <w:r w:rsidR="00AC0560">
              <w:t xml:space="preserve"> Bude se jednat o tyto r</w:t>
            </w:r>
            <w:r w:rsidRPr="00ED7048">
              <w:t>ozvojové projekty:</w:t>
            </w:r>
          </w:p>
          <w:p w:rsidR="00AC0560" w:rsidRPr="00226320" w:rsidRDefault="00AC0560" w:rsidP="00AC0560"/>
          <w:p w:rsidR="00AC0560" w:rsidRPr="00226320" w:rsidRDefault="00AC0560" w:rsidP="00AC0560">
            <w:r>
              <w:t xml:space="preserve">1. </w:t>
            </w:r>
            <w:r w:rsidRPr="00226320">
              <w:t>Datový sklad</w:t>
            </w:r>
            <w:r>
              <w:t xml:space="preserve"> – rozvoj (vývoj + implementace)</w:t>
            </w:r>
          </w:p>
          <w:p w:rsidR="00AC0560" w:rsidRPr="00226320" w:rsidRDefault="00AC0560" w:rsidP="00AC0560">
            <w:r>
              <w:t>Rozšíření již implementovaného modulu Datový sklad dle požadavků ORF a jeho přizpůsobení pro využití ÚMČ včetně konsolidace dat.</w:t>
            </w:r>
          </w:p>
          <w:p w:rsidR="00AC0560" w:rsidRPr="00226320" w:rsidRDefault="00AC0560" w:rsidP="00AC0560"/>
          <w:p w:rsidR="00AC0560" w:rsidRDefault="00AC0560" w:rsidP="00AC0560">
            <w:r>
              <w:t>2. Přestupky - rozvoj (vývoj + implementace)</w:t>
            </w:r>
          </w:p>
          <w:p w:rsidR="00AC0560" w:rsidRDefault="00AC0560" w:rsidP="00AC0560">
            <w:r>
              <w:t>Rozvoj příkazního a správního řízení, podpora vymáhání pohledávek a integrace s modulem DAWAY.</w:t>
            </w:r>
          </w:p>
          <w:p w:rsidR="00AC0560" w:rsidRDefault="00AC0560" w:rsidP="00AC0560"/>
          <w:p w:rsidR="00AC0560" w:rsidRDefault="00AC0560" w:rsidP="00AC0560">
            <w:r>
              <w:t>3. Rozšíření a customizace příkazního řízení pro MČ (vývoj + implementace)</w:t>
            </w:r>
          </w:p>
          <w:p w:rsidR="00AC0560" w:rsidRPr="00226320" w:rsidRDefault="00AC0560" w:rsidP="00AC0560">
            <w:r>
              <w:t xml:space="preserve">Obecné řešení procesu přestupkového řízení, včetně uživatelských úprav včetně integrace na spisovou službu e-spis.  </w:t>
            </w:r>
          </w:p>
          <w:p w:rsidR="00AC0560" w:rsidRDefault="00AC0560" w:rsidP="00AC0560"/>
          <w:p w:rsidR="00AC0560" w:rsidRDefault="00AC0560" w:rsidP="00AC0560">
            <w:r>
              <w:t>4. Rozhraní GINIS (vývoj + implementace)</w:t>
            </w:r>
          </w:p>
          <w:p w:rsidR="00AC0560" w:rsidRDefault="00AC0560" w:rsidP="00AC0560">
            <w:r>
              <w:t>Vybudování rozhraní mezi systémem GINIS a Portálem otevřených dat v části Open Data Eko.</w:t>
            </w:r>
          </w:p>
          <w:p w:rsidR="00AC0560" w:rsidRDefault="00AC0560" w:rsidP="00AC0560"/>
          <w:p w:rsidR="00AC0560" w:rsidRDefault="00AC0560" w:rsidP="00AC0560">
            <w:r>
              <w:t>5. Řídící kontrola</w:t>
            </w:r>
          </w:p>
          <w:p w:rsidR="00AC0560" w:rsidRDefault="00AC0560" w:rsidP="00AC0560">
            <w:r>
              <w:t>Administrace systému GINIS a jeho nastavení pro potřebu plně automatizované řídící kontroly.</w:t>
            </w:r>
          </w:p>
          <w:p w:rsidR="00AC0560" w:rsidRDefault="00AC0560" w:rsidP="00AC0560"/>
          <w:p w:rsidR="00AC0560" w:rsidRDefault="00AC0560" w:rsidP="00AC0560">
            <w:r>
              <w:t>6. Interaktivní úřad</w:t>
            </w:r>
          </w:p>
          <w:p w:rsidR="00AC0560" w:rsidRDefault="00AC0560" w:rsidP="00AC0560">
            <w:r>
              <w:t>Zavedení základních komponent interaktivního úřadu pro MMB a MČ. (Evidence smluv, Hospodaření příspěvkových organizací)</w:t>
            </w:r>
          </w:p>
          <w:p w:rsidR="00AC0560" w:rsidRDefault="00AC0560" w:rsidP="00AC0560"/>
          <w:p w:rsidR="00AC0560" w:rsidRDefault="00AC0560" w:rsidP="00AC0560">
            <w:r>
              <w:t>7. Implementace dříve dodaných modulů GINIS dle požadavků Zadavatele (ÚMČ)</w:t>
            </w:r>
          </w:p>
          <w:p w:rsidR="00AC0560" w:rsidRDefault="00AC0560" w:rsidP="00AC0560">
            <w:r>
              <w:t xml:space="preserve">- evidence majetku; </w:t>
            </w:r>
          </w:p>
          <w:p w:rsidR="00AC0560" w:rsidRDefault="00AC0560" w:rsidP="00AC0560">
            <w:r>
              <w:t>- evidence psů;</w:t>
            </w:r>
          </w:p>
          <w:p w:rsidR="00AC0560" w:rsidRPr="00226320" w:rsidRDefault="00AC0560" w:rsidP="00AC0560">
            <w:r>
              <w:t xml:space="preserve">- evidence smluv; </w:t>
            </w:r>
          </w:p>
          <w:p w:rsidR="00AC0560" w:rsidRPr="00226320" w:rsidRDefault="00AC0560" w:rsidP="00AC0560">
            <w:pPr>
              <w:pStyle w:val="Odrky"/>
              <w:numPr>
                <w:ilvl w:val="0"/>
                <w:numId w:val="5"/>
              </w:numPr>
              <w:ind w:left="1068"/>
              <w:jc w:val="both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2632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provedení administrace nastavení a veškerých prací souvisejících s uvedením nově implementovaných modulů do rutinního </w:t>
            </w:r>
            <w:r w:rsidRPr="0022632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lastRenderedPageBreak/>
              <w:t>provozu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0560" w:rsidRDefault="00AC0560" w:rsidP="00AC0560">
            <w:pPr>
              <w:pStyle w:val="Odrky"/>
              <w:numPr>
                <w:ilvl w:val="1"/>
                <w:numId w:val="6"/>
              </w:numPr>
              <w:jc w:val="both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22632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legislativní update/upgrade všech u Zadavatele již implementovaných modulů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0560" w:rsidRPr="00AC0560" w:rsidRDefault="00AC0560" w:rsidP="00AC0560">
            <w:pPr>
              <w:pStyle w:val="Odrky"/>
              <w:numPr>
                <w:ilvl w:val="0"/>
                <w:numId w:val="0"/>
              </w:numPr>
              <w:jc w:val="both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C0560" w:rsidRPr="00AC0560" w:rsidRDefault="00AC0560" w:rsidP="00AC0560">
            <w:pPr>
              <w:pStyle w:val="Odrky"/>
              <w:numPr>
                <w:ilvl w:val="0"/>
                <w:numId w:val="0"/>
              </w:numPr>
              <w:jc w:val="both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0560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8. Analytické práce</w:t>
            </w:r>
          </w:p>
          <w:p w:rsidR="00AC0560" w:rsidRPr="00AC0560" w:rsidRDefault="00AC0560" w:rsidP="00AC0560">
            <w:pPr>
              <w:pStyle w:val="Odrky"/>
              <w:numPr>
                <w:ilvl w:val="0"/>
                <w:numId w:val="0"/>
              </w:numPr>
              <w:ind w:left="708"/>
              <w:jc w:val="both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0560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 xml:space="preserve">Provedení analytických prací pro činnosti dle bodů 1 – 7 této přílohy a dalších potřebných analýz. Práce budou objednávány a schvalovány Zadavatelem na konkrétní činnosti. </w:t>
            </w:r>
          </w:p>
          <w:p w:rsidR="00AC0560" w:rsidRPr="00AC0560" w:rsidRDefault="00AC0560" w:rsidP="00AC0560">
            <w:pPr>
              <w:pStyle w:val="Odrky"/>
              <w:numPr>
                <w:ilvl w:val="0"/>
                <w:numId w:val="0"/>
              </w:numPr>
              <w:jc w:val="both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C0560" w:rsidRPr="00AC0560" w:rsidRDefault="00AC0560" w:rsidP="00AC0560">
            <w:pPr>
              <w:pStyle w:val="Odrky"/>
              <w:numPr>
                <w:ilvl w:val="0"/>
                <w:numId w:val="0"/>
              </w:numPr>
              <w:jc w:val="both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0560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9. Řízení bezpečnosti</w:t>
            </w:r>
          </w:p>
          <w:p w:rsidR="00AC0560" w:rsidRPr="00AC0560" w:rsidRDefault="00AC0560" w:rsidP="00AC0560">
            <w:pPr>
              <w:pStyle w:val="Odrky"/>
              <w:numPr>
                <w:ilvl w:val="0"/>
                <w:numId w:val="0"/>
              </w:numPr>
              <w:ind w:left="708"/>
              <w:jc w:val="both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0560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Dodavatel přizpůsobí provoz systému GINIS požadavkům Zadavatele, které vyplývají ze zaváděného  ISMS, z normy ČSN ISO/IEC 27001 a platné legislativy.</w:t>
            </w:r>
          </w:p>
          <w:p w:rsidR="00AC0560" w:rsidRPr="00AC0560" w:rsidRDefault="00AC0560" w:rsidP="00AC0560">
            <w:pPr>
              <w:pStyle w:val="Odrky"/>
              <w:numPr>
                <w:ilvl w:val="0"/>
                <w:numId w:val="0"/>
              </w:numPr>
              <w:jc w:val="both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C0560" w:rsidRPr="00AC0560" w:rsidRDefault="00AC0560" w:rsidP="00AC0560">
            <w:pPr>
              <w:pStyle w:val="Odrky"/>
              <w:numPr>
                <w:ilvl w:val="0"/>
                <w:numId w:val="0"/>
              </w:numPr>
              <w:jc w:val="both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0560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10. Expertní podpora</w:t>
            </w:r>
          </w:p>
          <w:p w:rsidR="00AC0560" w:rsidRPr="00AC0560" w:rsidRDefault="00AC0560" w:rsidP="00AC0560">
            <w:pPr>
              <w:pStyle w:val="Odrky"/>
              <w:numPr>
                <w:ilvl w:val="0"/>
                <w:numId w:val="0"/>
              </w:numPr>
              <w:ind w:left="708"/>
              <w:jc w:val="both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0560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Dodavatel poskytne metodickou pomoc a expertní podporu při</w:t>
            </w:r>
          </w:p>
          <w:p w:rsidR="00AC0560" w:rsidRPr="00AC0560" w:rsidRDefault="00AC0560" w:rsidP="00AC0560">
            <w:pPr>
              <w:pStyle w:val="Odrky"/>
              <w:numPr>
                <w:ilvl w:val="0"/>
                <w:numId w:val="5"/>
              </w:numPr>
              <w:ind w:left="1068"/>
              <w:jc w:val="both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C056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navržení pracovních postupů uživatelů (pracovníků Zadavatele) podle nastavení systému  GINIS, tj. metodická pomoc Zadavateli zejména v oblastech workflow, integrace a administrace, vývoj a implementace legislativních změn do systému; provedení administrace nastavení a veškerých prací souvisejících s uvedením nově implementovaných modulů do rutinního provozu.</w:t>
            </w:r>
          </w:p>
          <w:p w:rsidR="00AC0560" w:rsidRPr="00AC0560" w:rsidRDefault="00AC0560" w:rsidP="00AC0560">
            <w:pPr>
              <w:pStyle w:val="Odrky"/>
              <w:numPr>
                <w:ilvl w:val="0"/>
                <w:numId w:val="0"/>
              </w:numPr>
              <w:ind w:left="708"/>
              <w:jc w:val="both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0560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 xml:space="preserve"> Práce budou objednávány a schvalovány Zadavatelem na konkrétní činnosti a požadavky prostřednictvím CA ServiceDesk. </w:t>
            </w:r>
          </w:p>
          <w:p w:rsidR="00AC0560" w:rsidRPr="00AC0560" w:rsidRDefault="00AC0560" w:rsidP="00AC0560">
            <w:pPr>
              <w:pStyle w:val="Odrky"/>
              <w:numPr>
                <w:ilvl w:val="0"/>
                <w:numId w:val="0"/>
              </w:numPr>
              <w:jc w:val="both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AC0560" w:rsidRPr="00AC0560" w:rsidRDefault="00AC0560" w:rsidP="00AC0560">
            <w:pPr>
              <w:pStyle w:val="Odrky"/>
              <w:numPr>
                <w:ilvl w:val="0"/>
                <w:numId w:val="0"/>
              </w:numPr>
              <w:jc w:val="both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C056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11. Školení</w:t>
            </w:r>
          </w:p>
          <w:p w:rsidR="00AC0560" w:rsidRPr="00AC0560" w:rsidRDefault="00AC0560" w:rsidP="00AC0560">
            <w:pPr>
              <w:pStyle w:val="Odrky"/>
              <w:numPr>
                <w:ilvl w:val="0"/>
                <w:numId w:val="0"/>
              </w:numPr>
              <w:ind w:left="708"/>
              <w:jc w:val="both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056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Školení budou poskytována pro nové uživatele v rámci fluktuace, při zavádění nových modulů nebo jako rozdílová školení při zavádění nových verzí systému nebo legislativních změn. </w:t>
            </w:r>
            <w:r w:rsidRPr="00AC0560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 xml:space="preserve">Práce budou objednávány a schvalovány Zadavatelem na konkrétní školení. </w:t>
            </w:r>
          </w:p>
          <w:p w:rsidR="00AC0560" w:rsidRPr="00AC0560" w:rsidRDefault="00AC0560" w:rsidP="00AC0560">
            <w:pPr>
              <w:pStyle w:val="Odrky"/>
              <w:numPr>
                <w:ilvl w:val="0"/>
                <w:numId w:val="0"/>
              </w:numPr>
              <w:jc w:val="both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  <w:p w:rsidR="00AC0560" w:rsidRPr="00AC0560" w:rsidRDefault="00AC0560" w:rsidP="00AC0560">
            <w:pPr>
              <w:pStyle w:val="Odrky"/>
              <w:numPr>
                <w:ilvl w:val="0"/>
                <w:numId w:val="0"/>
              </w:numPr>
              <w:jc w:val="both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AC056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12. Maintenance systému</w:t>
            </w:r>
          </w:p>
          <w:p w:rsidR="00AC0560" w:rsidRPr="00AC0560" w:rsidRDefault="00AC0560" w:rsidP="00AC0560">
            <w:pPr>
              <w:ind w:left="708"/>
            </w:pPr>
            <w:r w:rsidRPr="00AC0560">
              <w:t xml:space="preserve">V rámci maintenance systému požaduje Zadavatel průběžné a bezodkladné poskytování programových korekcí software (Service Pack, Update/Upgrade, Patch) a softwarové dokumentace v souladu s tím, jak nové verze programového vybavení s vylepšenými funkcemi dává k dispozici výrobce programového vybavení. Aktualizace programového vybavení musí zajistit jeho kompatibilitu s ostatními SW a HW </w:t>
            </w:r>
            <w:r w:rsidRPr="00AC0560">
              <w:lastRenderedPageBreak/>
              <w:t>komponentami systému.</w:t>
            </w:r>
          </w:p>
          <w:p w:rsidR="00AC0560" w:rsidRPr="00AC0560" w:rsidRDefault="00AC0560" w:rsidP="00AC0560"/>
          <w:p w:rsidR="00AC0560" w:rsidRPr="00AC0560" w:rsidRDefault="00AC0560" w:rsidP="00AC0560">
            <w:r w:rsidRPr="00AC0560">
              <w:t>13. Projektová dokumentace</w:t>
            </w:r>
          </w:p>
          <w:p w:rsidR="00AC0560" w:rsidRPr="00AC0560" w:rsidRDefault="00AC0560" w:rsidP="00AC0560">
            <w:r w:rsidRPr="00AC0560">
              <w:t xml:space="preserve">Uchazeč povede kompletní projektovou dokumentaci v průběhu realizace projektu (zakládací listinu projektu, zápisy z jednání, katalog požadavků, atd.)    </w:t>
            </w:r>
          </w:p>
          <w:p w:rsidR="005155EE" w:rsidRDefault="005155EE" w:rsidP="00190A6A">
            <w:pPr>
              <w:autoSpaceDE w:val="0"/>
              <w:autoSpaceDN w:val="0"/>
              <w:adjustRightInd w:val="0"/>
              <w:jc w:val="both"/>
            </w:pPr>
          </w:p>
          <w:p w:rsidR="00FD74A2" w:rsidRPr="007A7C65" w:rsidRDefault="00FD74A2" w:rsidP="00190A6A">
            <w:pPr>
              <w:autoSpaceDE w:val="0"/>
              <w:autoSpaceDN w:val="0"/>
              <w:adjustRightInd w:val="0"/>
              <w:jc w:val="both"/>
            </w:pPr>
            <w:r w:rsidRPr="007A7C65">
              <w:t>Předpokládaný termín realizace předmětu plněn</w:t>
            </w:r>
            <w:r>
              <w:t>í veřejné zak</w:t>
            </w:r>
            <w:r w:rsidR="00687157">
              <w:t>ázky je druhá polovina roku 2015 a první pololetí roku 2016</w:t>
            </w:r>
            <w:r w:rsidRPr="007A7C65">
              <w:t xml:space="preserve">. </w:t>
            </w:r>
            <w:r w:rsidRPr="00DA79A9">
              <w:t>P</w:t>
            </w:r>
            <w:r>
              <w:t xml:space="preserve">lánovaný termín dosažení </w:t>
            </w:r>
            <w:r w:rsidRPr="00DA79A9">
              <w:t>cíle plnění</w:t>
            </w:r>
            <w:r>
              <w:t xml:space="preserve"> předmětu </w:t>
            </w:r>
            <w:r w:rsidRPr="00DA79A9">
              <w:t>veřejné</w:t>
            </w:r>
            <w:r>
              <w:t xml:space="preserve"> zakázky spadá do období užívání produktů GINIS zadavatelem.</w:t>
            </w:r>
          </w:p>
        </w:tc>
      </w:tr>
      <w:tr w:rsidR="00FD74A2" w:rsidRPr="009D5750">
        <w:tc>
          <w:tcPr>
            <w:tcW w:w="3369" w:type="dxa"/>
          </w:tcPr>
          <w:p w:rsidR="00FD74A2" w:rsidRPr="009D5750" w:rsidRDefault="00FD74A2" w:rsidP="00190A6A">
            <w:pPr>
              <w:pStyle w:val="Odstavecseseznamem"/>
              <w:ind w:left="0"/>
              <w:jc w:val="both"/>
            </w:pPr>
            <w:r w:rsidRPr="006B2879">
              <w:lastRenderedPageBreak/>
              <w:t>Popis vzájemného vztahu mezi realizovanou veřejnou zakázkou a plánovaným cílem.</w:t>
            </w:r>
          </w:p>
        </w:tc>
        <w:tc>
          <w:tcPr>
            <w:tcW w:w="5843" w:type="dxa"/>
          </w:tcPr>
          <w:p w:rsidR="00FD74A2" w:rsidRPr="00A164FB" w:rsidRDefault="00FD74A2" w:rsidP="00A164FB">
            <w:pPr>
              <w:jc w:val="both"/>
            </w:pPr>
            <w:r>
              <w:t>Zadavatel zadává</w:t>
            </w:r>
            <w:r w:rsidRPr="0026076D">
              <w:t xml:space="preserve"> předmětnou veřejnou zakázku v jednacím řízení bez uveřejnění </w:t>
            </w:r>
            <w:r>
              <w:t xml:space="preserve">dle </w:t>
            </w:r>
            <w:r w:rsidRPr="0026076D">
              <w:t>ustanovení § 23 odst.</w:t>
            </w:r>
            <w:r>
              <w:t> 4 písm. a) zákona</w:t>
            </w:r>
            <w:r w:rsidRPr="00AF50FF">
              <w:t xml:space="preserve">, neboť vyzývaný zájemce, </w:t>
            </w:r>
            <w:r>
              <w:t xml:space="preserve">společnost </w:t>
            </w:r>
            <w:r w:rsidRPr="00A164FB">
              <w:t>GORDIC spol. s r.o.</w:t>
            </w:r>
            <w:r>
              <w:t xml:space="preserve">, Erbenova 4, </w:t>
            </w:r>
            <w:r w:rsidRPr="00477E8A">
              <w:t>586 01 Jihlava, IČ: 47903783</w:t>
            </w:r>
            <w:r>
              <w:t>,</w:t>
            </w:r>
            <w:r w:rsidRPr="00A164FB">
              <w:t xml:space="preserve"> je jedinou osobou oprávněnou k výkonu autorských práv k systému GINIS, který je již implementován u zadavatele, a jehož rozšíření a rozvoj je předmětem plnění této veřejné zakázky (viz příloha této výzvy – Zadávací dokumentace), a tudíž jedinou osobou, která může z důvodu zákonné ochrany autorských práv veřejnou zakázku splnit. </w:t>
            </w:r>
          </w:p>
          <w:p w:rsidR="00FD74A2" w:rsidRPr="00A164FB" w:rsidRDefault="00FD74A2" w:rsidP="00A164FB">
            <w:pPr>
              <w:pStyle w:val="Zkladntextodsazen2"/>
              <w:spacing w:before="120" w:after="0" w:line="288" w:lineRule="auto"/>
              <w:ind w:left="0"/>
              <w:jc w:val="both"/>
              <w:rPr>
                <w:sz w:val="24"/>
                <w:szCs w:val="24"/>
              </w:rPr>
            </w:pPr>
            <w:r w:rsidRPr="00A164FB">
              <w:rPr>
                <w:sz w:val="24"/>
                <w:szCs w:val="24"/>
              </w:rPr>
              <w:t>Skutečnost, že zájemce je jedinou osobou, která je oprávněna z důvodu ochrany autorských práv veřejnou zakázku plnit, vyplývá z toho, že</w:t>
            </w:r>
          </w:p>
          <w:p w:rsidR="00FD74A2" w:rsidRPr="00A164FB" w:rsidRDefault="00FD74A2" w:rsidP="00A164FB">
            <w:pPr>
              <w:pStyle w:val="Zkladntextodsazen2"/>
              <w:numPr>
                <w:ilvl w:val="0"/>
                <w:numId w:val="1"/>
              </w:numPr>
              <w:spacing w:before="120" w:after="0" w:line="288" w:lineRule="auto"/>
              <w:jc w:val="both"/>
              <w:rPr>
                <w:sz w:val="24"/>
                <w:szCs w:val="24"/>
              </w:rPr>
            </w:pPr>
            <w:r w:rsidRPr="00A164FB">
              <w:rPr>
                <w:sz w:val="24"/>
                <w:szCs w:val="24"/>
              </w:rPr>
              <w:t>zájemce je výhradním vykonavatelem majetkových práv k celému aplikačnímu systému GINIS i k veškeré dokumentaci k tomuto aplikačnímu systému, přičemž neposkytl dále licenci či jakoukoliv podlicenci pro možnost zásahu do aplikačního systému GINIS implementovaného u zadavatele,</w:t>
            </w:r>
          </w:p>
          <w:p w:rsidR="00FD74A2" w:rsidRPr="00A164FB" w:rsidRDefault="00FD74A2" w:rsidP="00A164FB">
            <w:pPr>
              <w:pStyle w:val="Zkladntextodsazen2"/>
              <w:numPr>
                <w:ilvl w:val="0"/>
                <w:numId w:val="1"/>
              </w:numPr>
              <w:spacing w:before="120" w:after="0" w:line="288" w:lineRule="auto"/>
              <w:jc w:val="both"/>
              <w:rPr>
                <w:sz w:val="24"/>
                <w:szCs w:val="24"/>
              </w:rPr>
            </w:pPr>
            <w:r w:rsidRPr="00A164FB">
              <w:rPr>
                <w:sz w:val="24"/>
                <w:szCs w:val="24"/>
              </w:rPr>
              <w:t>zájemce neposkytl žádnému jinému subjektu právo aplikační systém GINIS u zadavatele jakkoliv podporovat, upravovat, rozšiřovat, customizovat, poskytovat upgrade či nakládat s ním jinak než uživatelským způsobem,</w:t>
            </w:r>
          </w:p>
          <w:p w:rsidR="00FD74A2" w:rsidRPr="00A164FB" w:rsidRDefault="00FD74A2" w:rsidP="00A164FB">
            <w:pPr>
              <w:pStyle w:val="Zkladntextodsazen2"/>
              <w:numPr>
                <w:ilvl w:val="0"/>
                <w:numId w:val="1"/>
              </w:numPr>
              <w:spacing w:before="120" w:after="0" w:line="288" w:lineRule="auto"/>
              <w:jc w:val="both"/>
              <w:rPr>
                <w:sz w:val="24"/>
                <w:szCs w:val="24"/>
              </w:rPr>
            </w:pPr>
            <w:r w:rsidRPr="00A164FB">
              <w:rPr>
                <w:sz w:val="24"/>
                <w:szCs w:val="24"/>
              </w:rPr>
              <w:t>zájemce na základě Dodatku č. 1 ke smlouvě č.</w:t>
            </w:r>
            <w:r w:rsidR="00FE5ACA">
              <w:rPr>
                <w:sz w:val="24"/>
                <w:szCs w:val="24"/>
              </w:rPr>
              <w:t> </w:t>
            </w:r>
            <w:r w:rsidRPr="00A164FB">
              <w:rPr>
                <w:sz w:val="24"/>
                <w:szCs w:val="24"/>
              </w:rPr>
              <w:t xml:space="preserve">53089022 uzavřené dne 10. 6. 2008 se zadavatelem, udělil zadavateli multilicenci ke všem již dodaným a rovněž ke všem v budoucnu dodaným částem aplikačního systému GINIS.   </w:t>
            </w:r>
          </w:p>
          <w:p w:rsidR="00FD74A2" w:rsidRPr="00A164FB" w:rsidRDefault="00FD74A2" w:rsidP="00A164FB">
            <w:pPr>
              <w:pStyle w:val="Zkladntext"/>
            </w:pPr>
            <w:r w:rsidRPr="00A164FB">
              <w:t xml:space="preserve">Zájemce je proto osobou, která je jako jediná objektivně schopna poskytnout předmět plnění dle požadavků </w:t>
            </w:r>
            <w:r w:rsidRPr="00A164FB">
              <w:lastRenderedPageBreak/>
              <w:t xml:space="preserve">zadavatele s plnou garancí technické kvality a záruk bezpečnosti. </w:t>
            </w:r>
          </w:p>
          <w:p w:rsidR="00FD74A2" w:rsidRPr="00DA45A9" w:rsidRDefault="00FD74A2" w:rsidP="00190A6A">
            <w:pPr>
              <w:jc w:val="both"/>
            </w:pPr>
          </w:p>
        </w:tc>
      </w:tr>
      <w:tr w:rsidR="00FD74A2" w:rsidRPr="009D5750">
        <w:tc>
          <w:tcPr>
            <w:tcW w:w="3369" w:type="dxa"/>
          </w:tcPr>
          <w:p w:rsidR="00FD74A2" w:rsidRPr="006B2879" w:rsidRDefault="00FD74A2" w:rsidP="00190A6A">
            <w:pPr>
              <w:pStyle w:val="Odstavecseseznamem"/>
              <w:ind w:left="0"/>
              <w:jc w:val="both"/>
            </w:pPr>
            <w:r w:rsidRPr="006B2879">
              <w:lastRenderedPageBreak/>
              <w:t>Popis toho, do jaké míry ovlivní veřejná zakázka plnění plánovaného cíle.</w:t>
            </w:r>
          </w:p>
        </w:tc>
        <w:tc>
          <w:tcPr>
            <w:tcW w:w="5843" w:type="dxa"/>
          </w:tcPr>
          <w:p w:rsidR="00FD74A2" w:rsidRPr="00DA45A9" w:rsidRDefault="00FD74A2" w:rsidP="00190A6A">
            <w:pPr>
              <w:pStyle w:val="Odstavecseseznamem"/>
              <w:ind w:left="0"/>
              <w:jc w:val="both"/>
            </w:pPr>
            <w:r w:rsidRPr="00DA79A9">
              <w:t>Pouze</w:t>
            </w:r>
            <w:r>
              <w:t xml:space="preserve"> realizací této na</w:t>
            </w:r>
            <w:r w:rsidRPr="00DA79A9">
              <w:t>dlimitní veřejné zakázky v</w:t>
            </w:r>
            <w:r>
              <w:t> </w:t>
            </w:r>
            <w:r w:rsidRPr="0026076D">
              <w:t xml:space="preserve">jednacím řízení bez uveřejnění </w:t>
            </w:r>
            <w:r w:rsidRPr="00DA79A9">
              <w:t>bude zadavatelem dosaženo výše</w:t>
            </w:r>
            <w:r>
              <w:t xml:space="preserve"> </w:t>
            </w:r>
            <w:r w:rsidRPr="00DA79A9">
              <w:t>uvedeného plánovaného cíle.</w:t>
            </w:r>
          </w:p>
        </w:tc>
      </w:tr>
    </w:tbl>
    <w:p w:rsidR="00FD74A2" w:rsidRDefault="00FD74A2" w:rsidP="00190A6A">
      <w:pPr>
        <w:pStyle w:val="Odstavecseseznamem"/>
        <w:ind w:left="0"/>
        <w:jc w:val="both"/>
      </w:pPr>
    </w:p>
    <w:p w:rsidR="00FD74A2" w:rsidRPr="009D5750" w:rsidRDefault="00FD74A2" w:rsidP="00190A6A">
      <w:pPr>
        <w:pStyle w:val="Odstavecseseznamem"/>
        <w:ind w:left="0"/>
        <w:jc w:val="both"/>
      </w:pPr>
    </w:p>
    <w:p w:rsidR="00FD74A2" w:rsidRDefault="00FD74A2" w:rsidP="00190A6A">
      <w:pPr>
        <w:pStyle w:val="Odstavecseseznamem"/>
        <w:ind w:left="0"/>
        <w:jc w:val="both"/>
      </w:pPr>
    </w:p>
    <w:p w:rsidR="00FD74A2" w:rsidRDefault="00FD74A2" w:rsidP="00190A6A">
      <w:pPr>
        <w:pStyle w:val="Odstavecseseznamem"/>
        <w:ind w:left="0"/>
        <w:jc w:val="both"/>
      </w:pPr>
    </w:p>
    <w:p w:rsidR="00FD74A2" w:rsidRPr="006B2879" w:rsidRDefault="00FD74A2" w:rsidP="00190A6A">
      <w:pPr>
        <w:pStyle w:val="Odstavecseseznamem"/>
        <w:ind w:left="0"/>
        <w:jc w:val="both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9"/>
        <w:gridCol w:w="5843"/>
      </w:tblGrid>
      <w:tr w:rsidR="00FD74A2" w:rsidRPr="009D5750">
        <w:tc>
          <w:tcPr>
            <w:tcW w:w="9212" w:type="dxa"/>
            <w:gridSpan w:val="2"/>
          </w:tcPr>
          <w:p w:rsidR="00FD74A2" w:rsidRPr="009D5750" w:rsidRDefault="00FD74A2" w:rsidP="00190A6A">
            <w:pPr>
              <w:jc w:val="both"/>
              <w:rPr>
                <w:b/>
                <w:bCs/>
              </w:rPr>
            </w:pPr>
            <w:r w:rsidRPr="006B2879">
              <w:rPr>
                <w:b/>
                <w:bCs/>
              </w:rPr>
              <w:t>Odůvodnění přiměřenosti požadavků na technické kvalifikační předpoklady pro plnění veřejné zakázky na služby</w:t>
            </w:r>
          </w:p>
        </w:tc>
      </w:tr>
      <w:tr w:rsidR="00FD74A2" w:rsidRPr="009D5750">
        <w:tc>
          <w:tcPr>
            <w:tcW w:w="3369" w:type="dxa"/>
          </w:tcPr>
          <w:p w:rsidR="00FD74A2" w:rsidRPr="006B2879" w:rsidRDefault="00FD74A2" w:rsidP="00190A6A">
            <w:pPr>
              <w:pStyle w:val="Odstavecseseznamem"/>
              <w:ind w:left="0"/>
              <w:jc w:val="both"/>
            </w:pPr>
            <w:r w:rsidRPr="006B2879">
              <w:t>Odůvodnění přiměřenosti požadavků na seznam významných služeb.</w:t>
            </w:r>
          </w:p>
          <w:p w:rsidR="00FD74A2" w:rsidRPr="009D5750" w:rsidRDefault="00FD74A2" w:rsidP="00190A6A">
            <w:pPr>
              <w:pStyle w:val="Odstavecseseznamem"/>
              <w:ind w:left="0"/>
              <w:jc w:val="both"/>
            </w:pPr>
          </w:p>
        </w:tc>
        <w:tc>
          <w:tcPr>
            <w:tcW w:w="5843" w:type="dxa"/>
            <w:vAlign w:val="center"/>
          </w:tcPr>
          <w:p w:rsidR="00FD74A2" w:rsidRDefault="00FD74A2" w:rsidP="00190A6A">
            <w:pPr>
              <w:jc w:val="both"/>
            </w:pPr>
            <w:r w:rsidRPr="00DA79A9">
              <w:t xml:space="preserve">Zadavatel </w:t>
            </w:r>
            <w:r>
              <w:t>ne</w:t>
            </w:r>
            <w:r w:rsidRPr="00DA79A9">
              <w:t>požaduje předložení seznamu významných</w:t>
            </w:r>
            <w:r>
              <w:t xml:space="preserve"> </w:t>
            </w:r>
            <w:r w:rsidRPr="00DA79A9">
              <w:t>služeb, poskytnutých uchazečem</w:t>
            </w:r>
            <w:r>
              <w:t>.</w:t>
            </w:r>
          </w:p>
          <w:p w:rsidR="00FD74A2" w:rsidRPr="006B2879" w:rsidRDefault="00FD74A2" w:rsidP="00190A6A">
            <w:pPr>
              <w:jc w:val="both"/>
            </w:pPr>
            <w:r w:rsidRPr="00DA79A9">
              <w:t xml:space="preserve"> </w:t>
            </w:r>
          </w:p>
        </w:tc>
      </w:tr>
      <w:tr w:rsidR="00FD74A2" w:rsidRPr="009D5750">
        <w:tc>
          <w:tcPr>
            <w:tcW w:w="3369" w:type="dxa"/>
          </w:tcPr>
          <w:p w:rsidR="00FD74A2" w:rsidRPr="00C44EC2" w:rsidRDefault="00FD74A2" w:rsidP="00190A6A">
            <w:pPr>
              <w:pStyle w:val="Odstavecseseznamem"/>
              <w:ind w:left="0"/>
              <w:jc w:val="both"/>
            </w:pPr>
            <w:r w:rsidRPr="006B2879">
              <w:t>Odůvodnění přiměřenosti požadavku na předložení seznamu t</w:t>
            </w:r>
            <w:r>
              <w:t xml:space="preserve">echniků či technických útvarů. </w:t>
            </w:r>
          </w:p>
        </w:tc>
        <w:tc>
          <w:tcPr>
            <w:tcW w:w="5843" w:type="dxa"/>
            <w:vAlign w:val="center"/>
          </w:tcPr>
          <w:p w:rsidR="00FD74A2" w:rsidRPr="00DA79A9" w:rsidRDefault="00FD74A2" w:rsidP="00190A6A">
            <w:pPr>
              <w:jc w:val="both"/>
            </w:pPr>
            <w:r w:rsidRPr="00DA79A9">
              <w:t>Zadavatel nepožaduje předložení seznamu techniků či</w:t>
            </w:r>
          </w:p>
          <w:p w:rsidR="00FD74A2" w:rsidRPr="006B2879" w:rsidRDefault="00FD74A2" w:rsidP="00190A6A">
            <w:pPr>
              <w:jc w:val="both"/>
            </w:pPr>
            <w:r w:rsidRPr="00DA79A9">
              <w:t>technických útvarů.</w:t>
            </w:r>
          </w:p>
        </w:tc>
      </w:tr>
      <w:tr w:rsidR="00FD74A2" w:rsidRPr="009D5750">
        <w:tc>
          <w:tcPr>
            <w:tcW w:w="3369" w:type="dxa"/>
          </w:tcPr>
          <w:p w:rsidR="00FD74A2" w:rsidRPr="00C44EC2" w:rsidRDefault="00FD74A2" w:rsidP="00190A6A">
            <w:pPr>
              <w:pStyle w:val="Odstavecseseznamem"/>
              <w:ind w:left="0"/>
              <w:jc w:val="both"/>
            </w:pPr>
            <w:r w:rsidRPr="006B2879">
              <w:t>Odůvodnění přiměřenosti požadavku na předložení popisu technického vybavení a opatření používaných dodavatelem k zajištění jakosti a popis zařízení či vybavení dodavatel</w:t>
            </w:r>
            <w:r>
              <w:t>e určeného k provádění výzkumu.</w:t>
            </w:r>
          </w:p>
        </w:tc>
        <w:tc>
          <w:tcPr>
            <w:tcW w:w="5843" w:type="dxa"/>
            <w:vAlign w:val="center"/>
          </w:tcPr>
          <w:p w:rsidR="00FD74A2" w:rsidRPr="00DA79A9" w:rsidRDefault="00FD74A2" w:rsidP="00190A6A">
            <w:pPr>
              <w:jc w:val="both"/>
            </w:pPr>
            <w:r w:rsidRPr="00DA79A9">
              <w:t>Zadavatel nepožaduje předložení popisu technického vybavení</w:t>
            </w:r>
            <w:r>
              <w:t xml:space="preserve"> </w:t>
            </w:r>
            <w:r w:rsidRPr="00DA79A9">
              <w:t>a opatření používaných dodavatelem k zajištění jakosti a popis</w:t>
            </w:r>
            <w:r>
              <w:t xml:space="preserve"> </w:t>
            </w:r>
            <w:r w:rsidRPr="00DA79A9">
              <w:t>zařízení či vybavení dodavatele určeného k</w:t>
            </w:r>
            <w:r>
              <w:t> </w:t>
            </w:r>
            <w:r w:rsidRPr="00DA79A9">
              <w:t>provádění</w:t>
            </w:r>
            <w:r>
              <w:t xml:space="preserve"> </w:t>
            </w:r>
            <w:r w:rsidRPr="00DA79A9">
              <w:t>výzkumu.</w:t>
            </w:r>
          </w:p>
          <w:p w:rsidR="00FD74A2" w:rsidRPr="006B2879" w:rsidRDefault="00FD74A2" w:rsidP="00190A6A">
            <w:pPr>
              <w:pStyle w:val="Odstavecseseznamem"/>
              <w:ind w:left="0"/>
              <w:jc w:val="both"/>
            </w:pPr>
          </w:p>
        </w:tc>
      </w:tr>
      <w:tr w:rsidR="00FD74A2" w:rsidRPr="009D5750">
        <w:tc>
          <w:tcPr>
            <w:tcW w:w="3369" w:type="dxa"/>
          </w:tcPr>
          <w:p w:rsidR="00FD74A2" w:rsidRPr="006B2879" w:rsidRDefault="00FD74A2" w:rsidP="00190A6A">
            <w:pPr>
              <w:pStyle w:val="Odstavecseseznamem"/>
              <w:ind w:left="0"/>
              <w:jc w:val="both"/>
            </w:pPr>
            <w:r w:rsidRPr="006B2879">
              <w:t>Odůvodnění přiměřenosti požadavku na provedení kontroly technické kapacity veřejným zadavatelem nebo jinou osobou jeho jménem, případně provedení kontroly opatření týkajících se</w:t>
            </w:r>
            <w:r>
              <w:t xml:space="preserve"> zabezpečení jakosti a výzkumu.</w:t>
            </w:r>
          </w:p>
        </w:tc>
        <w:tc>
          <w:tcPr>
            <w:tcW w:w="5843" w:type="dxa"/>
            <w:vAlign w:val="center"/>
          </w:tcPr>
          <w:p w:rsidR="00FD74A2" w:rsidRPr="006B2879" w:rsidRDefault="00FD74A2" w:rsidP="00190A6A">
            <w:pPr>
              <w:pStyle w:val="Odstavecseseznamem"/>
              <w:ind w:left="0"/>
              <w:jc w:val="both"/>
            </w:pPr>
            <w:r w:rsidRPr="00C44EC2">
              <w:t>Zadavatel nepožaduje provedení kontroly technické kapacity</w:t>
            </w:r>
            <w:r>
              <w:t xml:space="preserve"> </w:t>
            </w:r>
            <w:r w:rsidRPr="00C44EC2">
              <w:t>veřejným zadavatelem nebo jinou osobou jeho jménem,</w:t>
            </w:r>
            <w:r>
              <w:t xml:space="preserve"> </w:t>
            </w:r>
            <w:r w:rsidRPr="00C44EC2">
              <w:t>případně provedení kontroly opatření týkajících se zabezpečení</w:t>
            </w:r>
            <w:r>
              <w:t xml:space="preserve"> </w:t>
            </w:r>
            <w:r w:rsidRPr="00C44EC2">
              <w:t>jakosti a výzkumu.</w:t>
            </w:r>
          </w:p>
        </w:tc>
      </w:tr>
      <w:tr w:rsidR="00FD74A2" w:rsidRPr="009D5750">
        <w:tc>
          <w:tcPr>
            <w:tcW w:w="3369" w:type="dxa"/>
          </w:tcPr>
          <w:p w:rsidR="00FD74A2" w:rsidRPr="006B2879" w:rsidRDefault="00FD74A2" w:rsidP="00190A6A">
            <w:pPr>
              <w:pStyle w:val="Odstavecseseznamem"/>
              <w:ind w:left="0"/>
              <w:jc w:val="both"/>
            </w:pPr>
            <w:r w:rsidRPr="006B2879">
              <w:t>Odůvodnění přiměřenosti požadavku na předložení osvědčení o vzdělání a odborné kvalifikaci dodavatele nebo vedoucích zaměstnanců dodavatele nebo osob v</w:t>
            </w:r>
            <w:r>
              <w:t> </w:t>
            </w:r>
            <w:r w:rsidRPr="006B2879">
              <w:t>obdobném postavení a osob odpovědných za poskytování pří</w:t>
            </w:r>
            <w:r>
              <w:t>slušných služeb.</w:t>
            </w:r>
          </w:p>
        </w:tc>
        <w:tc>
          <w:tcPr>
            <w:tcW w:w="5843" w:type="dxa"/>
          </w:tcPr>
          <w:p w:rsidR="00FD74A2" w:rsidRPr="006B2879" w:rsidRDefault="00FD74A2" w:rsidP="00190A6A">
            <w:pPr>
              <w:jc w:val="both"/>
            </w:pPr>
            <w:r w:rsidRPr="00DA79A9">
              <w:t xml:space="preserve">Zadavatel </w:t>
            </w:r>
            <w:r>
              <w:t>ne</w:t>
            </w:r>
            <w:r w:rsidRPr="00DA79A9">
              <w:t>požaduje předložení dokladu o oprávnění</w:t>
            </w:r>
            <w:r>
              <w:t xml:space="preserve"> k </w:t>
            </w:r>
            <w:r w:rsidRPr="00DA79A9">
              <w:t>podnikání podle zvláštních právních předpisů v</w:t>
            </w:r>
            <w:r>
              <w:t> </w:t>
            </w:r>
            <w:r w:rsidRPr="00DA79A9">
              <w:t>rozsahu</w:t>
            </w:r>
            <w:r>
              <w:t xml:space="preserve">  </w:t>
            </w:r>
            <w:r w:rsidRPr="00DA79A9">
              <w:t>odpovídajícím předmětu veřejné zakázky.</w:t>
            </w:r>
          </w:p>
        </w:tc>
      </w:tr>
      <w:tr w:rsidR="00FD74A2" w:rsidRPr="009D5750">
        <w:tc>
          <w:tcPr>
            <w:tcW w:w="3369" w:type="dxa"/>
          </w:tcPr>
          <w:p w:rsidR="00FD74A2" w:rsidRPr="006B2879" w:rsidRDefault="00FD74A2" w:rsidP="00190A6A">
            <w:pPr>
              <w:pStyle w:val="Odstavecseseznamem"/>
              <w:ind w:left="0"/>
              <w:jc w:val="both"/>
            </w:pPr>
            <w:r w:rsidRPr="006B2879">
              <w:t xml:space="preserve">Odůvodnění přiměřenosti požadavku na předložení přehledu průměrného ročního počtu zaměstnanců dodavatele či jiných osob podílejících se na plnění zakázek podobného </w:t>
            </w:r>
            <w:r w:rsidRPr="006B2879">
              <w:lastRenderedPageBreak/>
              <w:t>charakteru a počtu vedoucích zaměstnanců dodavatele nebo osob v obdobném postavení.</w:t>
            </w:r>
          </w:p>
        </w:tc>
        <w:tc>
          <w:tcPr>
            <w:tcW w:w="5843" w:type="dxa"/>
          </w:tcPr>
          <w:p w:rsidR="00FD74A2" w:rsidRPr="006B2879" w:rsidRDefault="00FD74A2" w:rsidP="00190A6A">
            <w:pPr>
              <w:jc w:val="both"/>
            </w:pPr>
            <w:r w:rsidRPr="00DA79A9">
              <w:lastRenderedPageBreak/>
              <w:t>Zadavatel nepožaduje předložení přehledu průměrného</w:t>
            </w:r>
            <w:r>
              <w:t xml:space="preserve"> </w:t>
            </w:r>
            <w:r w:rsidRPr="00DA79A9">
              <w:t>ročního počtu zaměstnanců dodavatele či jiných osob</w:t>
            </w:r>
            <w:r>
              <w:t xml:space="preserve"> </w:t>
            </w:r>
            <w:r w:rsidRPr="00DA79A9">
              <w:t>podílejících se na plnění zakázek podobného charakteru a</w:t>
            </w:r>
            <w:r>
              <w:t> </w:t>
            </w:r>
            <w:r w:rsidRPr="00DA79A9">
              <w:t>počtu vedoucích zaměstnanců dodavatele nebo osob v</w:t>
            </w:r>
            <w:r>
              <w:t> </w:t>
            </w:r>
            <w:r w:rsidRPr="00DA79A9">
              <w:t>obdobném postavení.</w:t>
            </w:r>
          </w:p>
        </w:tc>
      </w:tr>
      <w:tr w:rsidR="00FD74A2" w:rsidRPr="009D5750">
        <w:tc>
          <w:tcPr>
            <w:tcW w:w="3369" w:type="dxa"/>
          </w:tcPr>
          <w:p w:rsidR="00FD74A2" w:rsidRPr="006B2879" w:rsidRDefault="00FD74A2" w:rsidP="00190A6A">
            <w:pPr>
              <w:pStyle w:val="Odstavecseseznamem"/>
              <w:ind w:left="0"/>
              <w:jc w:val="both"/>
            </w:pPr>
            <w:r w:rsidRPr="006B2879">
              <w:lastRenderedPageBreak/>
              <w:t>Odůvodnění přiměřenosti požadavku na předložení přehledu nástrojů či pomůcek, provozních a technických zařízení, které bude mít dodavatel při plně</w:t>
            </w:r>
            <w:r>
              <w:t>ní veřejné zakázky k dispozici.</w:t>
            </w:r>
          </w:p>
        </w:tc>
        <w:tc>
          <w:tcPr>
            <w:tcW w:w="5843" w:type="dxa"/>
          </w:tcPr>
          <w:p w:rsidR="00FD74A2" w:rsidRPr="006B2879" w:rsidRDefault="00FD74A2" w:rsidP="00190A6A">
            <w:pPr>
              <w:jc w:val="both"/>
            </w:pPr>
            <w:r w:rsidRPr="00DA79A9">
              <w:t>Zadavatel nepožaduje předložení přehledu nástrojů či</w:t>
            </w:r>
            <w:r>
              <w:t xml:space="preserve"> </w:t>
            </w:r>
            <w:r w:rsidRPr="00DA79A9">
              <w:t>pomůcek, provozních a technických zařízení, které bude mít</w:t>
            </w:r>
            <w:r>
              <w:t xml:space="preserve"> </w:t>
            </w:r>
            <w:r w:rsidRPr="00DA79A9">
              <w:t>dodavatel při plnění veřejné zakázky k dispozici.</w:t>
            </w:r>
            <w:r>
              <w:t xml:space="preserve"> </w:t>
            </w:r>
          </w:p>
        </w:tc>
      </w:tr>
    </w:tbl>
    <w:p w:rsidR="00FD74A2" w:rsidRDefault="00FD74A2" w:rsidP="00190A6A">
      <w:pPr>
        <w:pStyle w:val="Odstavecseseznamem"/>
        <w:ind w:left="0"/>
        <w:jc w:val="both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9"/>
        <w:gridCol w:w="5919"/>
      </w:tblGrid>
      <w:tr w:rsidR="00FD74A2" w:rsidRPr="009D5750">
        <w:tc>
          <w:tcPr>
            <w:tcW w:w="9288" w:type="dxa"/>
            <w:gridSpan w:val="2"/>
          </w:tcPr>
          <w:p w:rsidR="00FD74A2" w:rsidRPr="006B2879" w:rsidRDefault="00FD74A2" w:rsidP="00190A6A">
            <w:pPr>
              <w:jc w:val="both"/>
              <w:rPr>
                <w:b/>
                <w:bCs/>
              </w:rPr>
            </w:pPr>
            <w:r w:rsidRPr="006B2879">
              <w:rPr>
                <w:b/>
                <w:bCs/>
              </w:rPr>
              <w:t>Odůvodnění vymezení obchodních podmínek veřejné zakázky na dodavky a veřejné zakázky na služby ve vztahu k potřebám veřejného zadavatele</w:t>
            </w:r>
          </w:p>
          <w:p w:rsidR="00FD74A2" w:rsidRPr="009D5750" w:rsidRDefault="00FD74A2" w:rsidP="00190A6A">
            <w:pPr>
              <w:jc w:val="both"/>
              <w:rPr>
                <w:b/>
                <w:bCs/>
              </w:rPr>
            </w:pPr>
          </w:p>
        </w:tc>
      </w:tr>
      <w:tr w:rsidR="00FD74A2" w:rsidRPr="009D5750">
        <w:tc>
          <w:tcPr>
            <w:tcW w:w="3369" w:type="dxa"/>
          </w:tcPr>
          <w:p w:rsidR="00FD74A2" w:rsidRPr="006B2879" w:rsidRDefault="00FD74A2" w:rsidP="00190A6A">
            <w:pPr>
              <w:pStyle w:val="Odstavecseseznamem"/>
              <w:ind w:left="0"/>
              <w:jc w:val="both"/>
            </w:pPr>
            <w:r w:rsidRPr="006B2879">
              <w:t>Odůvodnění vymezení obchodní podmínky stanovící splatnost faktur.</w:t>
            </w:r>
          </w:p>
          <w:p w:rsidR="00FD74A2" w:rsidRPr="006B2879" w:rsidRDefault="00FD74A2" w:rsidP="00190A6A">
            <w:pPr>
              <w:pStyle w:val="Odstavecseseznamem"/>
              <w:ind w:left="0"/>
              <w:jc w:val="both"/>
            </w:pPr>
          </w:p>
        </w:tc>
        <w:tc>
          <w:tcPr>
            <w:tcW w:w="5919" w:type="dxa"/>
          </w:tcPr>
          <w:p w:rsidR="00FD74A2" w:rsidRPr="009D5750" w:rsidRDefault="00FD74A2" w:rsidP="00190A6A">
            <w:pPr>
              <w:pStyle w:val="Odstavecseseznamem"/>
              <w:ind w:left="0"/>
              <w:jc w:val="both"/>
            </w:pPr>
            <w:r w:rsidRPr="00DA79A9">
              <w:t>Zadavatel stanovením splatnosti daňového dokladu na 30 dnů</w:t>
            </w:r>
            <w:r>
              <w:t xml:space="preserve"> </w:t>
            </w:r>
            <w:r w:rsidRPr="00DA79A9">
              <w:t>ode dne prokazatelného doručení se snaží předejít případným</w:t>
            </w:r>
            <w:r>
              <w:t xml:space="preserve"> </w:t>
            </w:r>
            <w:r w:rsidRPr="00DA79A9">
              <w:t>sporům, vzniklým následnou kontrolou bezvadného plnění</w:t>
            </w:r>
            <w:r>
              <w:t xml:space="preserve"> </w:t>
            </w:r>
            <w:r w:rsidRPr="00DA79A9">
              <w:t>po</w:t>
            </w:r>
            <w:r>
              <w:t xml:space="preserve">skytování služby a fakturace. Dalším důvodem je </w:t>
            </w:r>
            <w:r w:rsidRPr="00DA79A9">
              <w:t>vytvoření</w:t>
            </w:r>
            <w:r>
              <w:t xml:space="preserve"> </w:t>
            </w:r>
            <w:r w:rsidRPr="00DA79A9">
              <w:t>dostatečného časového prostoru pro</w:t>
            </w:r>
            <w:r>
              <w:t> </w:t>
            </w:r>
            <w:r w:rsidRPr="00DA79A9">
              <w:t>kontrolní mechanizmy.</w:t>
            </w:r>
          </w:p>
        </w:tc>
      </w:tr>
      <w:tr w:rsidR="00FD74A2" w:rsidRPr="009D5750">
        <w:tc>
          <w:tcPr>
            <w:tcW w:w="3369" w:type="dxa"/>
          </w:tcPr>
          <w:p w:rsidR="00FD74A2" w:rsidRPr="006B2879" w:rsidRDefault="00FD74A2" w:rsidP="00FE5ACA">
            <w:pPr>
              <w:pStyle w:val="Odstavecseseznamem"/>
              <w:ind w:left="0"/>
              <w:jc w:val="both"/>
            </w:pPr>
            <w:r w:rsidRPr="006B2879">
              <w:t>Odůvodnění vymezení obchodní podmínky stanovící požadavek na pojištění odpovědnosti</w:t>
            </w:r>
            <w:r>
              <w:t xml:space="preserve"> </w:t>
            </w:r>
            <w:r w:rsidRPr="006B2879">
              <w:t>za škodu způsobenou dodavatelem třetím</w:t>
            </w:r>
            <w:r>
              <w:t xml:space="preserve"> osobám</w:t>
            </w:r>
            <w:r w:rsidRPr="006B2879">
              <w:t>.</w:t>
            </w:r>
          </w:p>
        </w:tc>
        <w:tc>
          <w:tcPr>
            <w:tcW w:w="5919" w:type="dxa"/>
          </w:tcPr>
          <w:p w:rsidR="00FD74A2" w:rsidRPr="00DA79A9" w:rsidRDefault="00FD74A2" w:rsidP="00190A6A">
            <w:pPr>
              <w:jc w:val="both"/>
            </w:pPr>
            <w:r w:rsidRPr="00DA79A9">
              <w:t>Zadavatel nepožaduje</w:t>
            </w:r>
            <w:r>
              <w:t xml:space="preserve"> předložení pojistné smlouvy</w:t>
            </w:r>
            <w:r w:rsidRPr="00DA79A9">
              <w:t>.</w:t>
            </w:r>
          </w:p>
          <w:p w:rsidR="00FD74A2" w:rsidRPr="009D5750" w:rsidRDefault="00FD74A2" w:rsidP="00190A6A">
            <w:pPr>
              <w:jc w:val="both"/>
            </w:pPr>
          </w:p>
        </w:tc>
      </w:tr>
      <w:tr w:rsidR="00FD74A2" w:rsidRPr="009D5750">
        <w:tc>
          <w:tcPr>
            <w:tcW w:w="3369" w:type="dxa"/>
          </w:tcPr>
          <w:p w:rsidR="00FD74A2" w:rsidRPr="006B2879" w:rsidRDefault="00FD74A2" w:rsidP="00190A6A">
            <w:pPr>
              <w:pStyle w:val="Odstavecseseznamem"/>
              <w:ind w:left="0"/>
              <w:jc w:val="both"/>
            </w:pPr>
            <w:r w:rsidRPr="006B2879">
              <w:t>Odůvodnění vymezení obchodní podmínky stanovící požadavek bankovní záruky.</w:t>
            </w:r>
          </w:p>
        </w:tc>
        <w:tc>
          <w:tcPr>
            <w:tcW w:w="5919" w:type="dxa"/>
          </w:tcPr>
          <w:p w:rsidR="00FD74A2" w:rsidRPr="009D5750" w:rsidRDefault="00FD74A2" w:rsidP="00190A6A">
            <w:pPr>
              <w:jc w:val="both"/>
            </w:pPr>
            <w:r w:rsidRPr="00DA79A9">
              <w:t>Zadavatel bankovní záruku nepožaduje.</w:t>
            </w:r>
          </w:p>
        </w:tc>
      </w:tr>
      <w:tr w:rsidR="00FD74A2" w:rsidRPr="009D5750">
        <w:tc>
          <w:tcPr>
            <w:tcW w:w="3369" w:type="dxa"/>
          </w:tcPr>
          <w:p w:rsidR="00FD74A2" w:rsidRPr="006B2879" w:rsidRDefault="00FD74A2" w:rsidP="00190A6A">
            <w:pPr>
              <w:pStyle w:val="Odstavecseseznamem"/>
              <w:ind w:left="0"/>
              <w:jc w:val="both"/>
            </w:pPr>
            <w:r w:rsidRPr="006B2879">
              <w:t>Odůvodnění vymezení obchodní podmínky stanovící záruční lhůtu.</w:t>
            </w:r>
          </w:p>
        </w:tc>
        <w:tc>
          <w:tcPr>
            <w:tcW w:w="5919" w:type="dxa"/>
          </w:tcPr>
          <w:p w:rsidR="00FD74A2" w:rsidRPr="009D5750" w:rsidRDefault="00FD74A2" w:rsidP="00190A6A">
            <w:pPr>
              <w:jc w:val="both"/>
            </w:pPr>
            <w:r w:rsidRPr="00DA79A9">
              <w:t>Vzhledem k charakteru předmětné služby, zadavatel</w:t>
            </w:r>
            <w:r>
              <w:t xml:space="preserve"> </w:t>
            </w:r>
            <w:r w:rsidRPr="00DA79A9">
              <w:t>nepožaduje záruku.</w:t>
            </w:r>
          </w:p>
        </w:tc>
      </w:tr>
      <w:tr w:rsidR="00FD74A2" w:rsidRPr="009D5750">
        <w:tc>
          <w:tcPr>
            <w:tcW w:w="3369" w:type="dxa"/>
          </w:tcPr>
          <w:p w:rsidR="00FD74A2" w:rsidRPr="006B2879" w:rsidRDefault="00FD74A2" w:rsidP="00190A6A">
            <w:pPr>
              <w:pStyle w:val="Odstavecseseznamem"/>
              <w:ind w:left="0"/>
              <w:jc w:val="both"/>
            </w:pPr>
            <w:r w:rsidRPr="006B2879">
              <w:t>Odůvodnění vymezení obchodní podmínky stanovící smluvní pokutu za prodlení dodavatele.</w:t>
            </w:r>
          </w:p>
        </w:tc>
        <w:tc>
          <w:tcPr>
            <w:tcW w:w="5919" w:type="dxa"/>
          </w:tcPr>
          <w:p w:rsidR="00FD74A2" w:rsidRPr="009D5750" w:rsidRDefault="00FD74A2" w:rsidP="00190A6A">
            <w:pPr>
              <w:jc w:val="both"/>
            </w:pPr>
            <w:r w:rsidRPr="00F95B37">
              <w:t xml:space="preserve">Sjednaná </w:t>
            </w:r>
            <w:r>
              <w:t>smluvní pokuta má zadavateli zajistit požadovanou kvalitu a plynulost poskytování služeb.</w:t>
            </w:r>
          </w:p>
        </w:tc>
      </w:tr>
      <w:tr w:rsidR="00FD74A2" w:rsidRPr="009D5750">
        <w:tc>
          <w:tcPr>
            <w:tcW w:w="3369" w:type="dxa"/>
          </w:tcPr>
          <w:p w:rsidR="00FD74A2" w:rsidRPr="006B2879" w:rsidRDefault="00FD74A2" w:rsidP="00190A6A">
            <w:pPr>
              <w:pStyle w:val="Odstavecseseznamem"/>
              <w:ind w:left="0"/>
              <w:jc w:val="both"/>
            </w:pPr>
            <w:r w:rsidRPr="006B2879">
              <w:t>Odůvodnění vymezení obchodní podmínky stanovící smluvní pokutu za prodlení zadavatele s</w:t>
            </w:r>
            <w:r>
              <w:t> </w:t>
            </w:r>
            <w:r w:rsidRPr="006B2879">
              <w:t>úhradou faktur.</w:t>
            </w:r>
          </w:p>
        </w:tc>
        <w:tc>
          <w:tcPr>
            <w:tcW w:w="5919" w:type="dxa"/>
          </w:tcPr>
          <w:p w:rsidR="00FD74A2" w:rsidRPr="009D5750" w:rsidRDefault="00FD74A2" w:rsidP="00190A6A">
            <w:pPr>
              <w:pStyle w:val="Odstavecseseznamem"/>
              <w:ind w:left="0"/>
              <w:jc w:val="both"/>
            </w:pPr>
            <w:r w:rsidRPr="00F95B37">
              <w:t xml:space="preserve">Sjednaná </w:t>
            </w:r>
            <w:r>
              <w:t>smluvní pokuta má poskytovateli služeb zajistit zaplacení sjednané ceny v době splatnosti každé faktury.</w:t>
            </w:r>
          </w:p>
        </w:tc>
      </w:tr>
      <w:tr w:rsidR="00FD74A2" w:rsidRPr="009D5750">
        <w:tc>
          <w:tcPr>
            <w:tcW w:w="3369" w:type="dxa"/>
          </w:tcPr>
          <w:p w:rsidR="00FD74A2" w:rsidRPr="006B2879" w:rsidRDefault="00FD74A2" w:rsidP="00190A6A">
            <w:pPr>
              <w:pStyle w:val="Odstavecseseznamem"/>
              <w:ind w:left="0"/>
              <w:jc w:val="both"/>
            </w:pPr>
            <w:r w:rsidRPr="006B2879">
              <w:t>Odůvodnění vymezení dalších obchodních podmínek.</w:t>
            </w:r>
          </w:p>
        </w:tc>
        <w:tc>
          <w:tcPr>
            <w:tcW w:w="5919" w:type="dxa"/>
          </w:tcPr>
          <w:p w:rsidR="00FD74A2" w:rsidRPr="00DA79A9" w:rsidRDefault="00FD74A2" w:rsidP="00190A6A">
            <w:pPr>
              <w:jc w:val="both"/>
            </w:pPr>
            <w:r w:rsidRPr="00DA79A9">
              <w:t>Zadavatel nepožaduje.</w:t>
            </w:r>
          </w:p>
          <w:p w:rsidR="00FD74A2" w:rsidRPr="006B2879" w:rsidRDefault="00FD74A2" w:rsidP="00190A6A">
            <w:pPr>
              <w:pStyle w:val="Odstavecseseznamem"/>
              <w:ind w:left="0"/>
              <w:jc w:val="both"/>
            </w:pPr>
          </w:p>
        </w:tc>
      </w:tr>
    </w:tbl>
    <w:p w:rsidR="00FD74A2" w:rsidRPr="009D5750" w:rsidRDefault="00FD74A2" w:rsidP="00190A6A">
      <w:pPr>
        <w:jc w:val="both"/>
      </w:pPr>
    </w:p>
    <w:p w:rsidR="00FD74A2" w:rsidRPr="009D5750" w:rsidRDefault="00FD74A2" w:rsidP="00190A6A">
      <w:pPr>
        <w:jc w:val="both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9"/>
        <w:gridCol w:w="5843"/>
      </w:tblGrid>
      <w:tr w:rsidR="00FD74A2" w:rsidRPr="009D5750">
        <w:tc>
          <w:tcPr>
            <w:tcW w:w="9212" w:type="dxa"/>
            <w:gridSpan w:val="2"/>
          </w:tcPr>
          <w:p w:rsidR="00FD74A2" w:rsidRPr="006B2879" w:rsidRDefault="00FD74A2" w:rsidP="00190A6A">
            <w:pPr>
              <w:jc w:val="both"/>
              <w:rPr>
                <w:b/>
                <w:bCs/>
              </w:rPr>
            </w:pPr>
            <w:r w:rsidRPr="006B2879">
              <w:rPr>
                <w:b/>
                <w:bCs/>
              </w:rPr>
              <w:t>Odůvodnění vymezení technických podmínek veřejné zakázky ve vztahu k potřebám veřejného zadavatele</w:t>
            </w:r>
          </w:p>
          <w:p w:rsidR="00FD74A2" w:rsidRPr="009D5750" w:rsidRDefault="00FD74A2" w:rsidP="00190A6A">
            <w:pPr>
              <w:jc w:val="both"/>
              <w:rPr>
                <w:b/>
                <w:bCs/>
              </w:rPr>
            </w:pPr>
          </w:p>
        </w:tc>
      </w:tr>
      <w:tr w:rsidR="00FD74A2" w:rsidRPr="009D5750">
        <w:tc>
          <w:tcPr>
            <w:tcW w:w="3369" w:type="dxa"/>
          </w:tcPr>
          <w:p w:rsidR="00FD74A2" w:rsidRPr="006B2879" w:rsidRDefault="00FD74A2" w:rsidP="00190A6A">
            <w:pPr>
              <w:jc w:val="both"/>
              <w:rPr>
                <w:b/>
                <w:bCs/>
              </w:rPr>
            </w:pPr>
            <w:r w:rsidRPr="006B2879">
              <w:rPr>
                <w:b/>
                <w:bCs/>
              </w:rPr>
              <w:t>Technická podmínka</w:t>
            </w:r>
          </w:p>
        </w:tc>
        <w:tc>
          <w:tcPr>
            <w:tcW w:w="5843" w:type="dxa"/>
          </w:tcPr>
          <w:p w:rsidR="00FD74A2" w:rsidRPr="006B2879" w:rsidRDefault="00FD74A2" w:rsidP="00190A6A">
            <w:pPr>
              <w:jc w:val="both"/>
              <w:rPr>
                <w:b/>
                <w:bCs/>
              </w:rPr>
            </w:pPr>
            <w:r w:rsidRPr="006B2879">
              <w:rPr>
                <w:b/>
                <w:bCs/>
              </w:rPr>
              <w:t>Odůvodnění technické podmínky</w:t>
            </w:r>
          </w:p>
        </w:tc>
      </w:tr>
      <w:tr w:rsidR="00FD74A2" w:rsidRPr="009D5750">
        <w:tc>
          <w:tcPr>
            <w:tcW w:w="3369" w:type="dxa"/>
          </w:tcPr>
          <w:p w:rsidR="00FD74A2" w:rsidRPr="006B2879" w:rsidRDefault="00FD74A2" w:rsidP="00190A6A">
            <w:pPr>
              <w:pStyle w:val="Odstavecseseznamem"/>
              <w:ind w:left="0"/>
              <w:jc w:val="both"/>
            </w:pPr>
            <w:r w:rsidRPr="006F2ABA">
              <w:t xml:space="preserve">Blíže viz </w:t>
            </w:r>
            <w:r>
              <w:t xml:space="preserve">příloha č. 1 </w:t>
            </w:r>
            <w:r w:rsidRPr="006F2ABA">
              <w:t>zadávací dokumentace.</w:t>
            </w:r>
          </w:p>
          <w:p w:rsidR="00FD74A2" w:rsidRPr="006B2879" w:rsidRDefault="00FD74A2" w:rsidP="00190A6A">
            <w:pPr>
              <w:pStyle w:val="Odstavecseseznamem"/>
              <w:ind w:left="0"/>
              <w:jc w:val="both"/>
            </w:pPr>
          </w:p>
        </w:tc>
        <w:tc>
          <w:tcPr>
            <w:tcW w:w="5843" w:type="dxa"/>
          </w:tcPr>
          <w:p w:rsidR="00FD74A2" w:rsidRPr="006B2879" w:rsidRDefault="00FD74A2" w:rsidP="00190A6A">
            <w:pPr>
              <w:pStyle w:val="Odstavecseseznamem"/>
              <w:ind w:left="0"/>
              <w:jc w:val="both"/>
            </w:pPr>
            <w:r>
              <w:t xml:space="preserve">Rozsah technických podmínek a </w:t>
            </w:r>
            <w:r w:rsidRPr="009F7281">
              <w:t>závazné parametry</w:t>
            </w:r>
            <w:r w:rsidRPr="009F7281">
              <w:rPr>
                <w:b/>
                <w:bCs/>
              </w:rPr>
              <w:t xml:space="preserve"> </w:t>
            </w:r>
            <w:r w:rsidRPr="009F7281">
              <w:t>poskytovaných služeb</w:t>
            </w:r>
            <w:r>
              <w:t xml:space="preserve"> zadavatel stanovil s ohledem na aktuální potřeby a technickou úroveň služeb, které jsou předmětem veřejné zakázky. </w:t>
            </w:r>
            <w:r w:rsidRPr="00365204">
              <w:t xml:space="preserve">Poskytovatel musí zadavateli garantovat minimálně požadované technické parametry, </w:t>
            </w:r>
            <w:r w:rsidRPr="00365204">
              <w:lastRenderedPageBreak/>
              <w:t>může však nabídnout parametry kvalitativně vyšší.</w:t>
            </w:r>
          </w:p>
        </w:tc>
      </w:tr>
    </w:tbl>
    <w:p w:rsidR="00FD74A2" w:rsidRPr="009D5750" w:rsidRDefault="00FD74A2" w:rsidP="00190A6A">
      <w:pPr>
        <w:jc w:val="both"/>
      </w:pPr>
    </w:p>
    <w:p w:rsidR="00FD74A2" w:rsidRPr="009D5750" w:rsidRDefault="00FD74A2" w:rsidP="00190A6A">
      <w:pPr>
        <w:jc w:val="both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9"/>
        <w:gridCol w:w="5843"/>
      </w:tblGrid>
      <w:tr w:rsidR="00FD74A2" w:rsidRPr="009D5750">
        <w:tc>
          <w:tcPr>
            <w:tcW w:w="9212" w:type="dxa"/>
            <w:gridSpan w:val="2"/>
          </w:tcPr>
          <w:p w:rsidR="00FD74A2" w:rsidRPr="009D5750" w:rsidRDefault="00FD74A2" w:rsidP="00190A6A">
            <w:pPr>
              <w:jc w:val="both"/>
              <w:rPr>
                <w:b/>
                <w:bCs/>
              </w:rPr>
            </w:pPr>
            <w:r w:rsidRPr="006B2879">
              <w:rPr>
                <w:b/>
                <w:bCs/>
              </w:rPr>
              <w:t xml:space="preserve">Odůvodnění stanovení základních a dílčích hodnotících kritérií ve vztahu k potřebám veřejného zadavatele </w:t>
            </w:r>
          </w:p>
        </w:tc>
      </w:tr>
      <w:tr w:rsidR="00FD74A2" w:rsidRPr="009D5750">
        <w:tc>
          <w:tcPr>
            <w:tcW w:w="3369" w:type="dxa"/>
          </w:tcPr>
          <w:p w:rsidR="00FD74A2" w:rsidRPr="006B2879" w:rsidRDefault="00FD74A2" w:rsidP="00190A6A">
            <w:pPr>
              <w:jc w:val="both"/>
              <w:rPr>
                <w:b/>
                <w:bCs/>
              </w:rPr>
            </w:pPr>
            <w:r w:rsidRPr="006B2879">
              <w:rPr>
                <w:b/>
                <w:bCs/>
              </w:rPr>
              <w:t xml:space="preserve">Hodnotící kritérium </w:t>
            </w:r>
          </w:p>
        </w:tc>
        <w:tc>
          <w:tcPr>
            <w:tcW w:w="5843" w:type="dxa"/>
          </w:tcPr>
          <w:p w:rsidR="00FD74A2" w:rsidRPr="006B2879" w:rsidRDefault="00FD74A2" w:rsidP="00190A6A">
            <w:pPr>
              <w:jc w:val="both"/>
              <w:rPr>
                <w:b/>
                <w:bCs/>
              </w:rPr>
            </w:pPr>
            <w:r w:rsidRPr="006B2879">
              <w:rPr>
                <w:b/>
                <w:bCs/>
              </w:rPr>
              <w:t xml:space="preserve">Odůvodnění </w:t>
            </w:r>
          </w:p>
        </w:tc>
      </w:tr>
      <w:tr w:rsidR="00FD74A2" w:rsidRPr="009D5750">
        <w:tc>
          <w:tcPr>
            <w:tcW w:w="3369" w:type="dxa"/>
          </w:tcPr>
          <w:p w:rsidR="00FD74A2" w:rsidRPr="009D5750" w:rsidRDefault="00FD74A2" w:rsidP="00190A6A">
            <w:pPr>
              <w:pStyle w:val="Odstavecseseznamem"/>
              <w:ind w:left="0"/>
              <w:jc w:val="both"/>
            </w:pPr>
            <w:r w:rsidRPr="00DA79A9">
              <w:t>Nejnižší nabídková cena.</w:t>
            </w:r>
          </w:p>
        </w:tc>
        <w:tc>
          <w:tcPr>
            <w:tcW w:w="5843" w:type="dxa"/>
          </w:tcPr>
          <w:p w:rsidR="00FD74A2" w:rsidRPr="00F277FB" w:rsidRDefault="00FD74A2" w:rsidP="00190A6A">
            <w:pPr>
              <w:pStyle w:val="Odstavecseseznamem"/>
              <w:ind w:left="0"/>
              <w:jc w:val="both"/>
            </w:pPr>
            <w:r w:rsidRPr="00F277FB">
              <w:t>Hodnotící krité</w:t>
            </w:r>
            <w:r>
              <w:t xml:space="preserve">rium zadavatel stanovil s ohledem na snahu o úsporu finančních prostředků za </w:t>
            </w:r>
            <w:r w:rsidRPr="009469F4">
              <w:t>poskytování</w:t>
            </w:r>
            <w:r>
              <w:t xml:space="preserve"> služeb, které jsou předmětem veřejné zakázky.</w:t>
            </w:r>
          </w:p>
        </w:tc>
      </w:tr>
    </w:tbl>
    <w:p w:rsidR="00FD74A2" w:rsidRPr="006B2879" w:rsidRDefault="00FD74A2" w:rsidP="00190A6A">
      <w:pPr>
        <w:jc w:val="both"/>
      </w:pPr>
    </w:p>
    <w:p w:rsidR="00FD74A2" w:rsidRDefault="00FD74A2" w:rsidP="00190A6A">
      <w:pPr>
        <w:jc w:val="both"/>
        <w:rPr>
          <w:b/>
          <w:bCs/>
        </w:rPr>
      </w:pPr>
    </w:p>
    <w:sectPr w:rsidR="00FD74A2" w:rsidSect="00190A6A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522" w:rsidRDefault="00DB0522">
      <w:r>
        <w:separator/>
      </w:r>
    </w:p>
  </w:endnote>
  <w:endnote w:type="continuationSeparator" w:id="0">
    <w:p w:rsidR="00DB0522" w:rsidRDefault="00DB0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4A2" w:rsidRDefault="00A047B0" w:rsidP="00D85AE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D74A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14C12">
      <w:rPr>
        <w:rStyle w:val="slostrnky"/>
        <w:noProof/>
      </w:rPr>
      <w:t>5</w:t>
    </w:r>
    <w:r>
      <w:rPr>
        <w:rStyle w:val="slostrnky"/>
      </w:rPr>
      <w:fldChar w:fldCharType="end"/>
    </w:r>
  </w:p>
  <w:p w:rsidR="00FD74A2" w:rsidRDefault="00FD74A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522" w:rsidRDefault="00DB0522">
      <w:r>
        <w:separator/>
      </w:r>
    </w:p>
  </w:footnote>
  <w:footnote w:type="continuationSeparator" w:id="0">
    <w:p w:rsidR="00DB0522" w:rsidRDefault="00DB05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6C7"/>
    <w:multiLevelType w:val="hybridMultilevel"/>
    <w:tmpl w:val="81BCA0FC"/>
    <w:lvl w:ilvl="0" w:tplc="FFFFFFFF">
      <w:start w:val="1"/>
      <w:numFmt w:val="bullet"/>
      <w:pStyle w:val="Odrky"/>
      <w:lvlText w:val=""/>
      <w:lvlJc w:val="left"/>
      <w:pPr>
        <w:tabs>
          <w:tab w:val="num" w:pos="644"/>
        </w:tabs>
        <w:ind w:left="357" w:hanging="73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9BA5011"/>
    <w:multiLevelType w:val="hybridMultilevel"/>
    <w:tmpl w:val="B28ADC2A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072722"/>
    <w:multiLevelType w:val="hybridMultilevel"/>
    <w:tmpl w:val="23D4DF7E"/>
    <w:lvl w:ilvl="0" w:tplc="B75CC3F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>
    <w:nsid w:val="37852B1E"/>
    <w:multiLevelType w:val="hybridMultilevel"/>
    <w:tmpl w:val="C3B471D0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15612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49BB406C"/>
    <w:multiLevelType w:val="hybridMultilevel"/>
    <w:tmpl w:val="5C42C66E"/>
    <w:lvl w:ilvl="0" w:tplc="FFFFFFFF">
      <w:start w:val="2"/>
      <w:numFmt w:val="bullet"/>
      <w:lvlText w:val="-"/>
      <w:lvlJc w:val="left"/>
      <w:pPr>
        <w:tabs>
          <w:tab w:val="num" w:pos="1068"/>
        </w:tabs>
        <w:ind w:left="781" w:hanging="73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6">
    <w:nsid w:val="521528BA"/>
    <w:multiLevelType w:val="hybridMultilevel"/>
    <w:tmpl w:val="58926990"/>
    <w:lvl w:ilvl="0" w:tplc="67049E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59B8"/>
    <w:rsid w:val="00035EA2"/>
    <w:rsid w:val="000525F1"/>
    <w:rsid w:val="000B49ED"/>
    <w:rsid w:val="000C1CDF"/>
    <w:rsid w:val="000C1EB0"/>
    <w:rsid w:val="000D15D4"/>
    <w:rsid w:val="000D50BA"/>
    <w:rsid w:val="000E22B8"/>
    <w:rsid w:val="000E38C7"/>
    <w:rsid w:val="000F5B6A"/>
    <w:rsid w:val="00125C88"/>
    <w:rsid w:val="00190A6A"/>
    <w:rsid w:val="001A3AD6"/>
    <w:rsid w:val="00254729"/>
    <w:rsid w:val="0026076D"/>
    <w:rsid w:val="0028513E"/>
    <w:rsid w:val="002B442E"/>
    <w:rsid w:val="002C480F"/>
    <w:rsid w:val="002F02CA"/>
    <w:rsid w:val="002F1652"/>
    <w:rsid w:val="002F40A4"/>
    <w:rsid w:val="003333D2"/>
    <w:rsid w:val="0034152A"/>
    <w:rsid w:val="00351CD0"/>
    <w:rsid w:val="00365204"/>
    <w:rsid w:val="003D418C"/>
    <w:rsid w:val="003E3984"/>
    <w:rsid w:val="00427A1B"/>
    <w:rsid w:val="00475456"/>
    <w:rsid w:val="00477E8A"/>
    <w:rsid w:val="004A4C53"/>
    <w:rsid w:val="004D1D84"/>
    <w:rsid w:val="005155EE"/>
    <w:rsid w:val="00533280"/>
    <w:rsid w:val="00545F68"/>
    <w:rsid w:val="005673D4"/>
    <w:rsid w:val="0059148E"/>
    <w:rsid w:val="005A429A"/>
    <w:rsid w:val="005B1BFA"/>
    <w:rsid w:val="005B23B9"/>
    <w:rsid w:val="005F60C1"/>
    <w:rsid w:val="006321F4"/>
    <w:rsid w:val="006361D8"/>
    <w:rsid w:val="00665193"/>
    <w:rsid w:val="00687157"/>
    <w:rsid w:val="006A4086"/>
    <w:rsid w:val="006B2879"/>
    <w:rsid w:val="006D5201"/>
    <w:rsid w:val="006F2ABA"/>
    <w:rsid w:val="00714C12"/>
    <w:rsid w:val="00770785"/>
    <w:rsid w:val="00782EDA"/>
    <w:rsid w:val="007A0A68"/>
    <w:rsid w:val="007A7C65"/>
    <w:rsid w:val="007B7A77"/>
    <w:rsid w:val="007D5A27"/>
    <w:rsid w:val="0080376E"/>
    <w:rsid w:val="00810E7A"/>
    <w:rsid w:val="00810F63"/>
    <w:rsid w:val="00830713"/>
    <w:rsid w:val="00856BA9"/>
    <w:rsid w:val="008B1561"/>
    <w:rsid w:val="008C76E3"/>
    <w:rsid w:val="008D44C9"/>
    <w:rsid w:val="008D5297"/>
    <w:rsid w:val="008F051A"/>
    <w:rsid w:val="00921CC5"/>
    <w:rsid w:val="00943D5C"/>
    <w:rsid w:val="009469F4"/>
    <w:rsid w:val="009B74E2"/>
    <w:rsid w:val="009C0711"/>
    <w:rsid w:val="009C63BD"/>
    <w:rsid w:val="009D5750"/>
    <w:rsid w:val="009D628F"/>
    <w:rsid w:val="009E1933"/>
    <w:rsid w:val="009F7281"/>
    <w:rsid w:val="00A047B0"/>
    <w:rsid w:val="00A164FB"/>
    <w:rsid w:val="00A80FFE"/>
    <w:rsid w:val="00A82C21"/>
    <w:rsid w:val="00A83350"/>
    <w:rsid w:val="00A854D3"/>
    <w:rsid w:val="00A8613C"/>
    <w:rsid w:val="00AC0560"/>
    <w:rsid w:val="00AD2411"/>
    <w:rsid w:val="00AF50FF"/>
    <w:rsid w:val="00AF55A7"/>
    <w:rsid w:val="00B10A14"/>
    <w:rsid w:val="00B576B4"/>
    <w:rsid w:val="00B643D3"/>
    <w:rsid w:val="00B64C0A"/>
    <w:rsid w:val="00B65750"/>
    <w:rsid w:val="00B876C9"/>
    <w:rsid w:val="00B951BC"/>
    <w:rsid w:val="00BB1DA7"/>
    <w:rsid w:val="00BD1CDE"/>
    <w:rsid w:val="00BF069D"/>
    <w:rsid w:val="00BF3A59"/>
    <w:rsid w:val="00C44EC2"/>
    <w:rsid w:val="00C76E47"/>
    <w:rsid w:val="00C80BFA"/>
    <w:rsid w:val="00CE495D"/>
    <w:rsid w:val="00D476E5"/>
    <w:rsid w:val="00D609BA"/>
    <w:rsid w:val="00D8124C"/>
    <w:rsid w:val="00D85AE7"/>
    <w:rsid w:val="00DA45A9"/>
    <w:rsid w:val="00DA650C"/>
    <w:rsid w:val="00DA79A9"/>
    <w:rsid w:val="00DB0522"/>
    <w:rsid w:val="00DE7F4A"/>
    <w:rsid w:val="00E059B8"/>
    <w:rsid w:val="00E22BC1"/>
    <w:rsid w:val="00E31355"/>
    <w:rsid w:val="00E32678"/>
    <w:rsid w:val="00E43601"/>
    <w:rsid w:val="00E827E5"/>
    <w:rsid w:val="00E86273"/>
    <w:rsid w:val="00E90CE9"/>
    <w:rsid w:val="00E93F84"/>
    <w:rsid w:val="00E954F3"/>
    <w:rsid w:val="00EA3240"/>
    <w:rsid w:val="00EA737A"/>
    <w:rsid w:val="00EB5D01"/>
    <w:rsid w:val="00EC371A"/>
    <w:rsid w:val="00ED7048"/>
    <w:rsid w:val="00F15308"/>
    <w:rsid w:val="00F277FB"/>
    <w:rsid w:val="00F518EB"/>
    <w:rsid w:val="00F64DA7"/>
    <w:rsid w:val="00F83208"/>
    <w:rsid w:val="00F90E1C"/>
    <w:rsid w:val="00F95B37"/>
    <w:rsid w:val="00FC4E4C"/>
    <w:rsid w:val="00FD74A2"/>
    <w:rsid w:val="00FE5ACA"/>
    <w:rsid w:val="00FF1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59B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65193"/>
    <w:pPr>
      <w:ind w:left="720"/>
    </w:pPr>
  </w:style>
  <w:style w:type="paragraph" w:styleId="Zpat">
    <w:name w:val="footer"/>
    <w:basedOn w:val="Normln"/>
    <w:link w:val="ZpatChar"/>
    <w:uiPriority w:val="99"/>
    <w:rsid w:val="00A854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5515C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A854D3"/>
  </w:style>
  <w:style w:type="paragraph" w:customStyle="1" w:styleId="Zkladntext21">
    <w:name w:val="Základní text 21"/>
    <w:basedOn w:val="Normln"/>
    <w:uiPriority w:val="99"/>
    <w:rsid w:val="00A164FB"/>
    <w:pPr>
      <w:suppressAutoHyphens/>
      <w:jc w:val="both"/>
    </w:pPr>
    <w:rPr>
      <w:lang w:eastAsia="ar-SA"/>
    </w:rPr>
  </w:style>
  <w:style w:type="paragraph" w:customStyle="1" w:styleId="Odrky">
    <w:name w:val="Odrážky"/>
    <w:rsid w:val="00A164FB"/>
    <w:pPr>
      <w:numPr>
        <w:numId w:val="3"/>
      </w:numPr>
      <w:ind w:left="641" w:hanging="357"/>
    </w:pPr>
    <w:rPr>
      <w:rFonts w:ascii="Calibri" w:hAnsi="Calibri" w:cs="Calibri"/>
      <w:sz w:val="22"/>
      <w:szCs w:val="22"/>
    </w:rPr>
  </w:style>
  <w:style w:type="character" w:customStyle="1" w:styleId="FontStyle13">
    <w:name w:val="Font Style13"/>
    <w:basedOn w:val="Standardnpsmoodstavce"/>
    <w:rsid w:val="00A164FB"/>
    <w:rPr>
      <w:rFonts w:ascii="Calibri" w:hAnsi="Calibri" w:cs="Calibri"/>
      <w:b/>
      <w:bCs/>
      <w:color w:val="000000"/>
      <w:sz w:val="18"/>
      <w:szCs w:val="18"/>
    </w:rPr>
  </w:style>
  <w:style w:type="character" w:customStyle="1" w:styleId="FontStyle15">
    <w:name w:val="Font Style15"/>
    <w:basedOn w:val="Standardnpsmoodstavce"/>
    <w:rsid w:val="00A164FB"/>
    <w:rPr>
      <w:rFonts w:ascii="Calibri" w:hAnsi="Calibri" w:cs="Calibri"/>
      <w:color w:val="000000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A164FB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164FB"/>
    <w:rPr>
      <w:sz w:val="24"/>
      <w:szCs w:val="24"/>
      <w:lang w:val="cs-CZ"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A164FB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A164FB"/>
    <w:rPr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861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15C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1768</Words>
  <Characters>10433</Characters>
  <Application>Microsoft Office Word</Application>
  <DocSecurity>0</DocSecurity>
  <Lines>86</Lines>
  <Paragraphs>24</Paragraphs>
  <ScaleCrop>false</ScaleCrop>
  <Company>MMB</Company>
  <LinksUpToDate>false</LinksUpToDate>
  <CharactersWithSpaces>12177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zajiclad</dc:creator>
  <cp:keywords/>
  <dc:description/>
  <cp:lastModifiedBy>zajiclad</cp:lastModifiedBy>
  <cp:revision>25</cp:revision>
  <cp:lastPrinted>2012-07-24T09:09:00Z</cp:lastPrinted>
  <dcterms:created xsi:type="dcterms:W3CDTF">2013-07-02T09:40:00Z</dcterms:created>
  <dcterms:modified xsi:type="dcterms:W3CDTF">2015-07-16T09:41:00Z</dcterms:modified>
</cp:coreProperties>
</file>