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98A14" w14:textId="77777777" w:rsidR="009C5680" w:rsidRPr="009C5680" w:rsidRDefault="009C5680" w:rsidP="009C5680">
      <w:pPr>
        <w:pStyle w:val="Nzev"/>
        <w:jc w:val="center"/>
        <w:rPr>
          <w:sz w:val="48"/>
          <w:szCs w:val="48"/>
          <w:lang w:val="en-GB"/>
        </w:rPr>
      </w:pPr>
      <w:bookmarkStart w:id="0" w:name="_GoBack"/>
      <w:bookmarkEnd w:id="0"/>
      <w:r w:rsidRPr="009C5680">
        <w:rPr>
          <w:sz w:val="48"/>
          <w:szCs w:val="48"/>
          <w:lang w:val="en-GB"/>
        </w:rPr>
        <w:t>Technical Specification: High-Precision Modular Laser Micromachining Station</w:t>
      </w:r>
    </w:p>
    <w:p w14:paraId="2F29D9B0" w14:textId="77777777" w:rsidR="009C5680" w:rsidRPr="009C5680" w:rsidRDefault="009C5680" w:rsidP="009C5680">
      <w:pPr>
        <w:rPr>
          <w:lang w:val="en-GB"/>
        </w:rPr>
      </w:pPr>
    </w:p>
    <w:p w14:paraId="3112F3B0" w14:textId="77777777" w:rsidR="009C5680" w:rsidRPr="009C5680" w:rsidRDefault="009C5680" w:rsidP="009C5680">
      <w:pPr>
        <w:rPr>
          <w:lang w:val="en-GB"/>
        </w:rPr>
      </w:pPr>
      <w:r w:rsidRPr="009C5680">
        <w:rPr>
          <w:b/>
          <w:bCs/>
          <w:lang w:val="en-GB"/>
        </w:rPr>
        <w:t>1. General Description</w:t>
      </w:r>
    </w:p>
    <w:p w14:paraId="3C87E336" w14:textId="7B6C89C7" w:rsidR="009C5680" w:rsidRPr="009C5680" w:rsidRDefault="009C5680" w:rsidP="009C5680">
      <w:pPr>
        <w:rPr>
          <w:lang w:val="en-GB"/>
        </w:rPr>
      </w:pPr>
      <w:r w:rsidRPr="009C5680">
        <w:rPr>
          <w:lang w:val="en-GB"/>
        </w:rPr>
        <w:t>The system shall serve as a high-precision</w:t>
      </w:r>
      <w:r>
        <w:rPr>
          <w:lang w:val="en-GB"/>
        </w:rPr>
        <w:t xml:space="preserve"> </w:t>
      </w:r>
      <w:r w:rsidRPr="009C5680">
        <w:rPr>
          <w:lang w:val="en-GB"/>
        </w:rPr>
        <w:t>laser micromachining station designed to integrate multiple state-of-the-art processing technologies into a single, shared working environment. It will support the installation and operation of three distinct laser processing heads:</w:t>
      </w:r>
      <w:r>
        <w:rPr>
          <w:lang w:val="en-GB"/>
        </w:rPr>
        <w:t xml:space="preserve"> </w:t>
      </w:r>
      <w:r w:rsidRPr="009C5680">
        <w:rPr>
          <w:lang w:val="en-GB"/>
        </w:rPr>
        <w:t>a beam-shaping module based on spatial light modulation (SLM),</w:t>
      </w:r>
      <w:r>
        <w:rPr>
          <w:lang w:val="en-GB"/>
        </w:rPr>
        <w:t xml:space="preserve"> </w:t>
      </w:r>
      <w:r w:rsidRPr="009C5680">
        <w:rPr>
          <w:lang w:val="en-GB"/>
        </w:rPr>
        <w:t>galvanometric scanning heads for fast 2D/3D laser structuring,</w:t>
      </w:r>
      <w:r>
        <w:rPr>
          <w:lang w:val="en-GB"/>
        </w:rPr>
        <w:t xml:space="preserve"> </w:t>
      </w:r>
      <w:r w:rsidRPr="009C5680">
        <w:rPr>
          <w:lang w:val="en-GB"/>
        </w:rPr>
        <w:t>and a dual-beam interference module for Direct Laser Interference Patterning (DLIP).</w:t>
      </w:r>
    </w:p>
    <w:p w14:paraId="44246143" w14:textId="77777777" w:rsidR="009C5680" w:rsidRPr="009C5680" w:rsidRDefault="009C5680" w:rsidP="009C5680">
      <w:pPr>
        <w:rPr>
          <w:lang w:val="en-GB"/>
        </w:rPr>
      </w:pPr>
      <w:r w:rsidRPr="009C5680">
        <w:rPr>
          <w:lang w:val="en-GB"/>
        </w:rPr>
        <w:t>To accommodate this, the station must be equipped with at least three independent vertical Z-axes, each providing sufficient travel range to support both short and long F-theta lenses (nominal focal lengths 50–300 mm). Each processing module must be provided with an individual working area of at least 300 × 300 mm, without interference from the other heads or structural obstructions.</w:t>
      </w:r>
    </w:p>
    <w:p w14:paraId="42B42E97" w14:textId="77777777" w:rsidR="009C5680" w:rsidRPr="009C5680" w:rsidRDefault="009C5680" w:rsidP="009C5680">
      <w:pPr>
        <w:rPr>
          <w:lang w:val="en-GB"/>
        </w:rPr>
      </w:pPr>
      <w:r w:rsidRPr="009C5680">
        <w:rPr>
          <w:lang w:val="en-GB"/>
        </w:rPr>
        <w:t>The entire assembly must offer exceptional mechanical stability, thermal robustness, and precision positioning, ensuring reliable operation for sub-micron structuring tasks. The system should be scalable and modular, allowing for future upgrades or replacement of individual components. All mechanical interfaces must be designed for easy integration with scientific-grade laser subsystems and compatible with common laboratory safety and cleanliness standards.</w:t>
      </w:r>
    </w:p>
    <w:p w14:paraId="156C3C3D" w14:textId="0DEE8CDC" w:rsidR="009C5680" w:rsidRPr="009C5680" w:rsidRDefault="009C5680" w:rsidP="009C5680">
      <w:pPr>
        <w:rPr>
          <w:lang w:val="en-GB"/>
        </w:rPr>
      </w:pPr>
    </w:p>
    <w:p w14:paraId="744F9A6B" w14:textId="77777777" w:rsidR="009C5680" w:rsidRPr="009C5680" w:rsidRDefault="009C5680" w:rsidP="009C5680">
      <w:pPr>
        <w:rPr>
          <w:lang w:val="en-GB"/>
        </w:rPr>
      </w:pPr>
      <w:r w:rsidRPr="009C5680">
        <w:rPr>
          <w:b/>
          <w:bCs/>
          <w:lang w:val="en-GB"/>
        </w:rPr>
        <w:t>2. Base Frame and Portal Structure</w:t>
      </w:r>
    </w:p>
    <w:p w14:paraId="2CE3E5CC" w14:textId="77777777" w:rsidR="009C5680" w:rsidRPr="009C5680" w:rsidRDefault="009C5680" w:rsidP="009C5680">
      <w:pPr>
        <w:numPr>
          <w:ilvl w:val="0"/>
          <w:numId w:val="16"/>
        </w:numPr>
        <w:rPr>
          <w:lang w:val="en-GB"/>
        </w:rPr>
      </w:pPr>
      <w:r w:rsidRPr="009C5680">
        <w:rPr>
          <w:lang w:val="en-GB"/>
        </w:rPr>
        <w:t>The system shall include a granite or granite-composite base frame with vibration damping properties suitable for high-precision micromachining.</w:t>
      </w:r>
    </w:p>
    <w:p w14:paraId="3DF37E61" w14:textId="77777777" w:rsidR="009C5680" w:rsidRPr="009C5680" w:rsidRDefault="009C5680" w:rsidP="009C5680">
      <w:pPr>
        <w:numPr>
          <w:ilvl w:val="0"/>
          <w:numId w:val="16"/>
        </w:numPr>
        <w:rPr>
          <w:lang w:val="en-GB"/>
        </w:rPr>
      </w:pPr>
      <w:r w:rsidRPr="009C5680">
        <w:rPr>
          <w:lang w:val="en-GB"/>
        </w:rPr>
        <w:t>The portal must be designed for high mechanical rigidity and long-term stability, capable of carrying heavy optical payloads without deflection.</w:t>
      </w:r>
    </w:p>
    <w:p w14:paraId="41441CB7" w14:textId="77777777" w:rsidR="009C5680" w:rsidRDefault="009C5680" w:rsidP="009C5680">
      <w:pPr>
        <w:numPr>
          <w:ilvl w:val="0"/>
          <w:numId w:val="16"/>
        </w:numPr>
        <w:rPr>
          <w:lang w:val="en-GB"/>
        </w:rPr>
      </w:pPr>
      <w:r w:rsidRPr="009C5680">
        <w:rPr>
          <w:lang w:val="en-GB"/>
        </w:rPr>
        <w:t>The layout must allow free optical access to each working area, with no cross-interference between stations.</w:t>
      </w:r>
    </w:p>
    <w:p w14:paraId="24C8DBCD" w14:textId="48E97441" w:rsidR="0003447D" w:rsidRDefault="0003447D" w:rsidP="009C5680">
      <w:pPr>
        <w:numPr>
          <w:ilvl w:val="0"/>
          <w:numId w:val="16"/>
        </w:numPr>
        <w:rPr>
          <w:lang w:val="en-GB"/>
        </w:rPr>
      </w:pPr>
      <w:r>
        <w:rPr>
          <w:lang w:val="en-GB"/>
        </w:rPr>
        <w:t xml:space="preserve">The portal bars </w:t>
      </w:r>
      <w:proofErr w:type="gramStart"/>
      <w:r>
        <w:rPr>
          <w:lang w:val="en-GB"/>
        </w:rPr>
        <w:t>has</w:t>
      </w:r>
      <w:proofErr w:type="gramEnd"/>
      <w:r>
        <w:rPr>
          <w:lang w:val="en-GB"/>
        </w:rPr>
        <w:t xml:space="preserve"> to be equipped with M6 holes for mounting of other devices. </w:t>
      </w:r>
    </w:p>
    <w:p w14:paraId="77023751" w14:textId="35042701" w:rsidR="0003447D" w:rsidRPr="009C5680" w:rsidRDefault="0003447D" w:rsidP="009C5680">
      <w:pPr>
        <w:numPr>
          <w:ilvl w:val="0"/>
          <w:numId w:val="16"/>
        </w:numPr>
        <w:rPr>
          <w:lang w:val="en-GB"/>
        </w:rPr>
      </w:pPr>
      <w:r>
        <w:rPr>
          <w:lang w:val="en-GB"/>
        </w:rPr>
        <w:t>Height of the of working height: 600 mm;</w:t>
      </w:r>
    </w:p>
    <w:p w14:paraId="6D0E6B46" w14:textId="77777777" w:rsidR="009C5680" w:rsidRPr="009C5680" w:rsidRDefault="009C5680" w:rsidP="009C5680">
      <w:pPr>
        <w:rPr>
          <w:lang w:val="en-GB"/>
        </w:rPr>
      </w:pPr>
      <w:r w:rsidRPr="009C5680">
        <w:rPr>
          <w:b/>
          <w:bCs/>
          <w:lang w:val="en-GB"/>
        </w:rPr>
        <w:t>3. XY Gantry System</w:t>
      </w:r>
    </w:p>
    <w:p w14:paraId="5D36519E" w14:textId="4A36747E" w:rsidR="009C5680" w:rsidRPr="0003447D" w:rsidRDefault="009C5680" w:rsidP="009C5680">
      <w:pPr>
        <w:numPr>
          <w:ilvl w:val="0"/>
          <w:numId w:val="17"/>
        </w:numPr>
        <w:rPr>
          <w:lang w:val="en-GB"/>
        </w:rPr>
      </w:pPr>
      <w:r w:rsidRPr="0003447D">
        <w:rPr>
          <w:lang w:val="en-GB"/>
        </w:rPr>
        <w:t xml:space="preserve">Modular gantry configuration with dual </w:t>
      </w:r>
      <w:r w:rsidR="0020001E" w:rsidRPr="0003447D">
        <w:rPr>
          <w:lang w:val="en-GB"/>
        </w:rPr>
        <w:t>X</w:t>
      </w:r>
      <w:r w:rsidRPr="0003447D">
        <w:rPr>
          <w:lang w:val="en-GB"/>
        </w:rPr>
        <w:t xml:space="preserve">-axis (real gantry) and single </w:t>
      </w:r>
      <w:r w:rsidR="0020001E" w:rsidRPr="0003447D">
        <w:rPr>
          <w:lang w:val="en-GB"/>
        </w:rPr>
        <w:t>Y</w:t>
      </w:r>
      <w:r w:rsidRPr="0003447D">
        <w:rPr>
          <w:lang w:val="en-GB"/>
        </w:rPr>
        <w:t>-axis.</w:t>
      </w:r>
    </w:p>
    <w:p w14:paraId="07E5F78A" w14:textId="43B765FC" w:rsidR="009C5680" w:rsidRPr="009C5680" w:rsidRDefault="009C5680" w:rsidP="009C5680">
      <w:pPr>
        <w:numPr>
          <w:ilvl w:val="0"/>
          <w:numId w:val="17"/>
        </w:numPr>
        <w:rPr>
          <w:lang w:val="en-GB"/>
        </w:rPr>
      </w:pPr>
      <w:r w:rsidRPr="009C5680">
        <w:rPr>
          <w:lang w:val="en-GB"/>
        </w:rPr>
        <w:lastRenderedPageBreak/>
        <w:t>Travel range: Minimum 600 mm (X) × 1</w:t>
      </w:r>
      <w:r>
        <w:rPr>
          <w:lang w:val="en-GB"/>
        </w:rPr>
        <w:t>2</w:t>
      </w:r>
      <w:r w:rsidRPr="009C5680">
        <w:rPr>
          <w:lang w:val="en-GB"/>
        </w:rPr>
        <w:t>00 mm (Y) or greater.</w:t>
      </w:r>
    </w:p>
    <w:p w14:paraId="1C561425" w14:textId="7654FCFA" w:rsidR="009C5680" w:rsidRPr="009C5680" w:rsidRDefault="009C5680" w:rsidP="009C5680">
      <w:pPr>
        <w:numPr>
          <w:ilvl w:val="0"/>
          <w:numId w:val="17"/>
        </w:numPr>
        <w:rPr>
          <w:lang w:val="en-GB"/>
        </w:rPr>
      </w:pPr>
      <w:r w:rsidRPr="0003447D">
        <w:rPr>
          <w:lang w:val="en-GB"/>
        </w:rPr>
        <w:t xml:space="preserve">Positioning accuracy: ≤ </w:t>
      </w:r>
      <w:r w:rsidR="0020001E" w:rsidRPr="0003447D">
        <w:rPr>
          <w:lang w:val="en-GB"/>
        </w:rPr>
        <w:t xml:space="preserve">+/- </w:t>
      </w:r>
      <w:r w:rsidRPr="0003447D">
        <w:rPr>
          <w:lang w:val="en-GB"/>
        </w:rPr>
        <w:t>1 µ</w:t>
      </w:r>
      <w:r w:rsidR="009043FD" w:rsidRPr="0003447D">
        <w:rPr>
          <w:lang w:val="en-GB"/>
        </w:rPr>
        <w:t>m</w:t>
      </w:r>
      <w:r w:rsidRPr="009C5680">
        <w:rPr>
          <w:lang w:val="en-GB"/>
        </w:rPr>
        <w:t>.</w:t>
      </w:r>
    </w:p>
    <w:p w14:paraId="2D4F8CF6" w14:textId="099BF35D" w:rsidR="009C5680" w:rsidRPr="0003447D" w:rsidRDefault="009C5680" w:rsidP="009C5680">
      <w:pPr>
        <w:numPr>
          <w:ilvl w:val="0"/>
          <w:numId w:val="17"/>
        </w:numPr>
        <w:rPr>
          <w:lang w:val="en-GB"/>
        </w:rPr>
      </w:pPr>
      <w:r w:rsidRPr="0003447D">
        <w:rPr>
          <w:lang w:val="en-GB"/>
        </w:rPr>
        <w:t xml:space="preserve">Repeatability: ≤ </w:t>
      </w:r>
      <w:r w:rsidR="0020001E" w:rsidRPr="0003447D">
        <w:rPr>
          <w:lang w:val="en-GB"/>
        </w:rPr>
        <w:t xml:space="preserve">+/- </w:t>
      </w:r>
      <w:r w:rsidRPr="0003447D">
        <w:rPr>
          <w:lang w:val="en-GB"/>
        </w:rPr>
        <w:t>0.5 µm.</w:t>
      </w:r>
    </w:p>
    <w:p w14:paraId="5FDF71B6" w14:textId="0A33C781" w:rsidR="009C5680" w:rsidRPr="009C5680" w:rsidRDefault="009C5680" w:rsidP="009C5680">
      <w:pPr>
        <w:numPr>
          <w:ilvl w:val="0"/>
          <w:numId w:val="17"/>
        </w:numPr>
        <w:rPr>
          <w:lang w:val="en-GB"/>
        </w:rPr>
      </w:pPr>
      <w:r w:rsidRPr="009C5680">
        <w:rPr>
          <w:lang w:val="en-GB"/>
        </w:rPr>
        <w:t xml:space="preserve">Speed: Capable of supporting </w:t>
      </w:r>
      <w:r w:rsidR="009043FD">
        <w:rPr>
          <w:lang w:val="en-GB"/>
        </w:rPr>
        <w:t xml:space="preserve">sample translation </w:t>
      </w:r>
      <w:r w:rsidR="00E87626">
        <w:rPr>
          <w:lang w:val="en-GB"/>
        </w:rPr>
        <w:t xml:space="preserve">at least 1000 mm/s. </w:t>
      </w:r>
      <w:r w:rsidR="009043FD">
        <w:rPr>
          <w:lang w:val="en-GB"/>
        </w:rPr>
        <w:t xml:space="preserve"> </w:t>
      </w:r>
    </w:p>
    <w:p w14:paraId="1A1A43BD" w14:textId="77777777" w:rsidR="009C5680" w:rsidRPr="009C5680" w:rsidRDefault="009C5680" w:rsidP="009C5680">
      <w:pPr>
        <w:numPr>
          <w:ilvl w:val="0"/>
          <w:numId w:val="17"/>
        </w:numPr>
        <w:rPr>
          <w:lang w:val="en-GB"/>
        </w:rPr>
      </w:pPr>
      <w:r w:rsidRPr="009C5680">
        <w:rPr>
          <w:lang w:val="en-GB"/>
        </w:rPr>
        <w:t>Encoder type: Linear encoders with sub-micron resolution.</w:t>
      </w:r>
    </w:p>
    <w:p w14:paraId="7CA55D5B" w14:textId="77777777" w:rsidR="009C5680" w:rsidRDefault="009C5680" w:rsidP="009C5680">
      <w:pPr>
        <w:numPr>
          <w:ilvl w:val="0"/>
          <w:numId w:val="17"/>
        </w:numPr>
        <w:rPr>
          <w:lang w:val="en-GB"/>
        </w:rPr>
      </w:pPr>
      <w:r w:rsidRPr="009C5680">
        <w:rPr>
          <w:lang w:val="en-GB"/>
        </w:rPr>
        <w:t>Cabling and drag chains must be included and designed for long-term reliability.</w:t>
      </w:r>
    </w:p>
    <w:p w14:paraId="6C14A70F" w14:textId="26DB367B" w:rsidR="00E87626" w:rsidRDefault="00E87626" w:rsidP="009C5680">
      <w:pPr>
        <w:numPr>
          <w:ilvl w:val="0"/>
          <w:numId w:val="17"/>
        </w:numPr>
        <w:rPr>
          <w:lang w:val="en-GB"/>
        </w:rPr>
      </w:pPr>
      <w:r>
        <w:rPr>
          <w:lang w:val="en-GB"/>
        </w:rPr>
        <w:t>Load capacity: At least 20 kg.</w:t>
      </w:r>
    </w:p>
    <w:p w14:paraId="37A8F3B9" w14:textId="38944748" w:rsidR="00E87626" w:rsidRDefault="00E87626" w:rsidP="00E87626">
      <w:pPr>
        <w:pStyle w:val="Odstavecseseznamem"/>
        <w:numPr>
          <w:ilvl w:val="0"/>
          <w:numId w:val="17"/>
        </w:numPr>
        <w:jc w:val="both"/>
      </w:pPr>
      <w:r>
        <w:t>System has to be protected from solid particles and spray made of high density polypropelene sealing.</w:t>
      </w:r>
    </w:p>
    <w:p w14:paraId="5316FB34" w14:textId="77777777" w:rsidR="00E87626" w:rsidRPr="00E87626" w:rsidRDefault="00E87626" w:rsidP="00E87626">
      <w:pPr>
        <w:pStyle w:val="Odstavecseseznamem"/>
        <w:jc w:val="both"/>
      </w:pPr>
    </w:p>
    <w:p w14:paraId="6EFB78FF" w14:textId="77777777" w:rsidR="009C5680" w:rsidRPr="009C5680" w:rsidRDefault="009C5680" w:rsidP="009C5680">
      <w:pPr>
        <w:rPr>
          <w:lang w:val="en-GB"/>
        </w:rPr>
      </w:pPr>
      <w:r w:rsidRPr="009C5680">
        <w:rPr>
          <w:b/>
          <w:bCs/>
          <w:lang w:val="en-GB"/>
        </w:rPr>
        <w:t>4. Z-Axes for Processing Heads</w:t>
      </w:r>
    </w:p>
    <w:p w14:paraId="405DC21A" w14:textId="77777777" w:rsidR="009C5680" w:rsidRDefault="009C5680" w:rsidP="009C5680">
      <w:pPr>
        <w:numPr>
          <w:ilvl w:val="0"/>
          <w:numId w:val="18"/>
        </w:numPr>
        <w:rPr>
          <w:lang w:val="en-GB"/>
        </w:rPr>
      </w:pPr>
      <w:r w:rsidRPr="009C5680">
        <w:rPr>
          <w:lang w:val="en-GB"/>
        </w:rPr>
        <w:t>At least three Z-axes with independent vertical motion.</w:t>
      </w:r>
    </w:p>
    <w:p w14:paraId="795C05D6" w14:textId="4BFBF510" w:rsidR="009043FD" w:rsidRPr="009043FD" w:rsidRDefault="009043FD" w:rsidP="009043FD">
      <w:pPr>
        <w:numPr>
          <w:ilvl w:val="0"/>
          <w:numId w:val="18"/>
        </w:numPr>
        <w:rPr>
          <w:lang w:val="en-GB"/>
        </w:rPr>
      </w:pPr>
      <w:r w:rsidRPr="009C5680">
        <w:rPr>
          <w:lang w:val="en-GB"/>
        </w:rPr>
        <w:t xml:space="preserve">Speed: Capable of supporting scan head translation at up to </w:t>
      </w:r>
      <w:r>
        <w:rPr>
          <w:lang w:val="en-GB"/>
        </w:rPr>
        <w:t>15</w:t>
      </w:r>
      <w:r w:rsidRPr="009C5680">
        <w:rPr>
          <w:lang w:val="en-GB"/>
        </w:rPr>
        <w:t>0 mm/s.</w:t>
      </w:r>
    </w:p>
    <w:p w14:paraId="67EC35D6" w14:textId="6F1D2FED" w:rsidR="009C5680" w:rsidRPr="009C5680" w:rsidRDefault="009C5680" w:rsidP="009C5680">
      <w:pPr>
        <w:numPr>
          <w:ilvl w:val="0"/>
          <w:numId w:val="18"/>
        </w:numPr>
        <w:rPr>
          <w:lang w:val="en-GB"/>
        </w:rPr>
      </w:pPr>
      <w:r w:rsidRPr="009C5680">
        <w:rPr>
          <w:lang w:val="en-GB"/>
        </w:rPr>
        <w:t xml:space="preserve">Travel range: Minimum </w:t>
      </w:r>
      <w:r w:rsidR="00DC270C">
        <w:rPr>
          <w:lang w:val="en-GB"/>
        </w:rPr>
        <w:t>45</w:t>
      </w:r>
      <w:r w:rsidRPr="009C5680">
        <w:rPr>
          <w:lang w:val="en-GB"/>
        </w:rPr>
        <w:t>0 mm per Z-axis.</w:t>
      </w:r>
    </w:p>
    <w:p w14:paraId="6BDA3D23" w14:textId="35F4211D" w:rsidR="009C5680" w:rsidRPr="0003447D" w:rsidRDefault="009C5680" w:rsidP="009C5680">
      <w:pPr>
        <w:numPr>
          <w:ilvl w:val="0"/>
          <w:numId w:val="18"/>
        </w:numPr>
        <w:rPr>
          <w:lang w:val="en-GB"/>
        </w:rPr>
      </w:pPr>
      <w:r w:rsidRPr="0003447D">
        <w:rPr>
          <w:lang w:val="en-GB"/>
        </w:rPr>
        <w:t xml:space="preserve">Accuracy: ≤ </w:t>
      </w:r>
      <w:r w:rsidR="00074302" w:rsidRPr="0003447D">
        <w:t xml:space="preserve">± </w:t>
      </w:r>
      <w:r w:rsidRPr="0003447D">
        <w:rPr>
          <w:lang w:val="en-GB"/>
        </w:rPr>
        <w:t xml:space="preserve">1 µm; Repeatability: ≤ </w:t>
      </w:r>
      <w:r w:rsidR="00074302" w:rsidRPr="0003447D">
        <w:t xml:space="preserve">± </w:t>
      </w:r>
      <w:r w:rsidRPr="0003447D">
        <w:rPr>
          <w:lang w:val="en-GB"/>
        </w:rPr>
        <w:t>0.5 µm.</w:t>
      </w:r>
    </w:p>
    <w:p w14:paraId="2E686539" w14:textId="02EE4F85" w:rsidR="009C5680" w:rsidRPr="0003447D" w:rsidRDefault="009C5680" w:rsidP="009C5680">
      <w:pPr>
        <w:numPr>
          <w:ilvl w:val="0"/>
          <w:numId w:val="18"/>
        </w:numPr>
        <w:rPr>
          <w:lang w:val="en-GB"/>
        </w:rPr>
      </w:pPr>
      <w:r w:rsidRPr="0003447D">
        <w:rPr>
          <w:lang w:val="en-GB"/>
        </w:rPr>
        <w:t xml:space="preserve">Motorization: Servo or direct-drive with </w:t>
      </w:r>
      <w:r w:rsidR="00074302" w:rsidRPr="0003447D">
        <w:rPr>
          <w:lang w:val="en-GB"/>
        </w:rPr>
        <w:t xml:space="preserve">linear </w:t>
      </w:r>
      <w:r w:rsidRPr="0003447D">
        <w:rPr>
          <w:lang w:val="en-GB"/>
        </w:rPr>
        <w:t>encoder feedback.</w:t>
      </w:r>
    </w:p>
    <w:p w14:paraId="75FFF8C5" w14:textId="6E63571B" w:rsidR="009C5680" w:rsidRDefault="009C5680" w:rsidP="009C5680">
      <w:pPr>
        <w:numPr>
          <w:ilvl w:val="0"/>
          <w:numId w:val="18"/>
        </w:numPr>
        <w:rPr>
          <w:lang w:val="en-GB"/>
        </w:rPr>
      </w:pPr>
      <w:r w:rsidRPr="009C5680">
        <w:rPr>
          <w:lang w:val="en-GB"/>
        </w:rPr>
        <w:t>Load capacity: Sufficient to carry full processing modules (scanner head, optics, and cabling)</w:t>
      </w:r>
      <w:r>
        <w:rPr>
          <w:lang w:val="en-GB"/>
        </w:rPr>
        <w:t xml:space="preserve">. Must support at least </w:t>
      </w:r>
      <w:r w:rsidR="009043FD">
        <w:rPr>
          <w:lang w:val="en-GB"/>
        </w:rPr>
        <w:t xml:space="preserve">40 </w:t>
      </w:r>
      <w:r>
        <w:rPr>
          <w:lang w:val="en-GB"/>
        </w:rPr>
        <w:t>kg load.</w:t>
      </w:r>
    </w:p>
    <w:p w14:paraId="4B82055A" w14:textId="203214E1" w:rsidR="000B1B07" w:rsidRPr="009043FD" w:rsidRDefault="000B1B07" w:rsidP="000B1B07">
      <w:pPr>
        <w:rPr>
          <w:lang w:val="en-GB"/>
        </w:rPr>
      </w:pPr>
      <w:r w:rsidRPr="009043FD">
        <w:rPr>
          <w:b/>
          <w:bCs/>
          <w:lang w:val="en-GB"/>
        </w:rPr>
        <w:t>5. Gimbal stage</w:t>
      </w:r>
    </w:p>
    <w:p w14:paraId="46A6182D" w14:textId="77777777" w:rsidR="000B1B07" w:rsidRPr="009043FD" w:rsidRDefault="000B1B07" w:rsidP="000B1B07">
      <w:r w:rsidRPr="009043FD">
        <w:t>In addition to vertical Z-motion, the system must support optional rotary positioning for 5-axis micromachining tasks. A high-precision gimbal stage shall be included with the following minimum requirements:</w:t>
      </w:r>
    </w:p>
    <w:p w14:paraId="6CFA56B4" w14:textId="128C80C9" w:rsidR="000B1B07" w:rsidRPr="009043FD" w:rsidRDefault="000B1B07" w:rsidP="000B1B07">
      <w:pPr>
        <w:numPr>
          <w:ilvl w:val="0"/>
          <w:numId w:val="24"/>
        </w:numPr>
      </w:pPr>
      <w:r w:rsidRPr="009043FD">
        <w:rPr>
          <w:b/>
          <w:bCs/>
        </w:rPr>
        <w:t>Degrees of Freedom</w:t>
      </w:r>
      <w:r w:rsidRPr="009043FD">
        <w:t>: 2</w:t>
      </w:r>
      <w:r w:rsidR="00AE1D8C" w:rsidRPr="009043FD">
        <w:t>. Tilt</w:t>
      </w:r>
      <w:r w:rsidRPr="009043FD">
        <w:t>(A-axis</w:t>
      </w:r>
      <w:r w:rsidR="00AE1D8C" w:rsidRPr="009043FD">
        <w:t>)</w:t>
      </w:r>
      <w:r w:rsidRPr="009043FD">
        <w:t xml:space="preserve"> and</w:t>
      </w:r>
      <w:r w:rsidR="00AE1D8C" w:rsidRPr="009043FD">
        <w:t xml:space="preserve"> yaw (</w:t>
      </w:r>
      <w:r w:rsidRPr="009043FD">
        <w:t>B-axis</w:t>
      </w:r>
      <w:r w:rsidR="00AE1D8C" w:rsidRPr="009043FD">
        <w:t>)</w:t>
      </w:r>
      <w:r w:rsidRPr="009043FD">
        <w:t xml:space="preserve"> rotation</w:t>
      </w:r>
    </w:p>
    <w:p w14:paraId="714EEF1F" w14:textId="358691BB" w:rsidR="000B1B07" w:rsidRPr="009043FD" w:rsidRDefault="000B1B07" w:rsidP="000B1B07">
      <w:pPr>
        <w:numPr>
          <w:ilvl w:val="0"/>
          <w:numId w:val="24"/>
        </w:numPr>
      </w:pPr>
      <w:r w:rsidRPr="009043FD">
        <w:rPr>
          <w:b/>
          <w:bCs/>
        </w:rPr>
        <w:t>Travel Range</w:t>
      </w:r>
      <w:r w:rsidRPr="009043FD">
        <w:t xml:space="preserve">: </w:t>
      </w:r>
      <w:r w:rsidR="00AE1D8C" w:rsidRPr="009043FD">
        <w:t xml:space="preserve">At least </w:t>
      </w:r>
      <w:r w:rsidRPr="009043FD">
        <w:t>±</w:t>
      </w:r>
      <w:r w:rsidR="009043FD" w:rsidRPr="009043FD">
        <w:t>120</w:t>
      </w:r>
      <w:r w:rsidRPr="009043FD">
        <w:t>°</w:t>
      </w:r>
      <w:r w:rsidR="00AE1D8C" w:rsidRPr="009043FD">
        <w:t xml:space="preserve"> in both axes</w:t>
      </w:r>
    </w:p>
    <w:p w14:paraId="7C386E0C" w14:textId="3D458EDD" w:rsidR="000B1B07" w:rsidRPr="009043FD" w:rsidRDefault="000B1B07" w:rsidP="000B1B07">
      <w:pPr>
        <w:numPr>
          <w:ilvl w:val="0"/>
          <w:numId w:val="24"/>
        </w:numPr>
      </w:pPr>
      <w:r w:rsidRPr="009043FD">
        <w:rPr>
          <w:b/>
          <w:bCs/>
        </w:rPr>
        <w:t>Maximum Speed</w:t>
      </w:r>
      <w:r w:rsidRPr="009043FD">
        <w:t xml:space="preserve">: ≥ </w:t>
      </w:r>
      <w:r w:rsidR="00AE1D8C" w:rsidRPr="009043FD">
        <w:t>9000 deg/s</w:t>
      </w:r>
    </w:p>
    <w:p w14:paraId="1BE2B0E2" w14:textId="4085F67A" w:rsidR="000B1B07" w:rsidRPr="009043FD" w:rsidRDefault="000B1B07" w:rsidP="000B1B07">
      <w:pPr>
        <w:numPr>
          <w:ilvl w:val="0"/>
          <w:numId w:val="24"/>
        </w:numPr>
      </w:pPr>
      <w:r w:rsidRPr="009043FD">
        <w:rPr>
          <w:b/>
          <w:bCs/>
        </w:rPr>
        <w:t>Positioning Accuracy</w:t>
      </w:r>
      <w:r w:rsidRPr="009043FD">
        <w:t xml:space="preserve">: ≤ </w:t>
      </w:r>
      <w:r w:rsidR="009043FD" w:rsidRPr="009043FD">
        <w:t>±</w:t>
      </w:r>
      <w:r w:rsidR="009043FD" w:rsidRPr="009043FD">
        <w:rPr>
          <w:lang w:val="en-US"/>
        </w:rPr>
        <w:t xml:space="preserve">10 </w:t>
      </w:r>
      <w:proofErr w:type="spellStart"/>
      <w:r w:rsidR="009043FD" w:rsidRPr="009043FD">
        <w:rPr>
          <w:lang w:val="en-US"/>
        </w:rPr>
        <w:t>μrad</w:t>
      </w:r>
      <w:proofErr w:type="spellEnd"/>
    </w:p>
    <w:p w14:paraId="62A87E94" w14:textId="514B0934" w:rsidR="000B1B07" w:rsidRPr="009043FD" w:rsidRDefault="000B1B07" w:rsidP="000B1B07">
      <w:pPr>
        <w:numPr>
          <w:ilvl w:val="0"/>
          <w:numId w:val="24"/>
        </w:numPr>
      </w:pPr>
      <w:r w:rsidRPr="009043FD">
        <w:rPr>
          <w:b/>
          <w:bCs/>
        </w:rPr>
        <w:t>Repeatability</w:t>
      </w:r>
      <w:r w:rsidRPr="009043FD">
        <w:t>: ≤ ±</w:t>
      </w:r>
      <w:r w:rsidR="00AE1D8C" w:rsidRPr="009043FD">
        <w:rPr>
          <w:lang w:val="en-US"/>
        </w:rPr>
        <w:t xml:space="preserve">8 </w:t>
      </w:r>
      <w:proofErr w:type="spellStart"/>
      <w:r w:rsidR="00AE1D8C" w:rsidRPr="009043FD">
        <w:rPr>
          <w:lang w:val="en-US"/>
        </w:rPr>
        <w:t>μrad</w:t>
      </w:r>
      <w:proofErr w:type="spellEnd"/>
    </w:p>
    <w:p w14:paraId="750CE19C" w14:textId="1E184A86" w:rsidR="000B1B07" w:rsidRPr="009043FD" w:rsidRDefault="000B1B07" w:rsidP="000B1B07">
      <w:pPr>
        <w:numPr>
          <w:ilvl w:val="0"/>
          <w:numId w:val="24"/>
        </w:numPr>
      </w:pPr>
      <w:r w:rsidRPr="009043FD">
        <w:rPr>
          <w:b/>
          <w:bCs/>
        </w:rPr>
        <w:t>Load Capacity</w:t>
      </w:r>
      <w:r w:rsidRPr="009043FD">
        <w:t xml:space="preserve">: ≥ </w:t>
      </w:r>
      <w:r w:rsidR="00AE1D8C" w:rsidRPr="009043FD">
        <w:t>1 kg</w:t>
      </w:r>
    </w:p>
    <w:p w14:paraId="0A380274" w14:textId="0FC773D6" w:rsidR="000B1B07" w:rsidRPr="009043FD" w:rsidRDefault="009043FD" w:rsidP="009043FD">
      <w:pPr>
        <w:numPr>
          <w:ilvl w:val="0"/>
          <w:numId w:val="24"/>
        </w:numPr>
        <w:rPr>
          <w:b/>
          <w:bCs/>
          <w:lang w:val="en-US"/>
        </w:rPr>
      </w:pPr>
      <w:r>
        <w:rPr>
          <w:b/>
          <w:bCs/>
        </w:rPr>
        <w:t>Accessories:</w:t>
      </w:r>
      <w:r w:rsidRPr="009043FD">
        <w:rPr>
          <w:b/>
          <w:bCs/>
        </w:rPr>
        <w:t xml:space="preserve"> </w:t>
      </w:r>
      <w:r w:rsidRPr="009043FD">
        <w:rPr>
          <w:lang w:val="en-US"/>
        </w:rPr>
        <w:t>System has to</w:t>
      </w:r>
      <w:r w:rsidR="001C28F2">
        <w:rPr>
          <w:lang w:val="en-US"/>
        </w:rPr>
        <w:t xml:space="preserve"> be</w:t>
      </w:r>
      <w:r w:rsidRPr="009043FD">
        <w:rPr>
          <w:lang w:val="en-US"/>
        </w:rPr>
        <w:t xml:space="preserve"> </w:t>
      </w:r>
      <w:r w:rsidR="001C28F2">
        <w:rPr>
          <w:lang w:val="en-US"/>
        </w:rPr>
        <w:t>equipped with pneumatic collet holder and compatible with ER20 size collets.</w:t>
      </w:r>
    </w:p>
    <w:p w14:paraId="64141CB5" w14:textId="2F2B6713" w:rsidR="009043FD" w:rsidRPr="009043FD" w:rsidRDefault="009043FD" w:rsidP="009043FD">
      <w:pPr>
        <w:numPr>
          <w:ilvl w:val="0"/>
          <w:numId w:val="24"/>
        </w:numPr>
        <w:rPr>
          <w:b/>
          <w:bCs/>
          <w:lang w:val="en-US"/>
        </w:rPr>
      </w:pPr>
      <w:r>
        <w:rPr>
          <w:b/>
          <w:bCs/>
        </w:rPr>
        <w:lastRenderedPageBreak/>
        <w:t>Mounting interface:</w:t>
      </w:r>
      <w:r>
        <w:rPr>
          <w:b/>
          <w:bCs/>
          <w:lang w:val="en-US"/>
        </w:rPr>
        <w:t xml:space="preserve"> </w:t>
      </w:r>
      <w:r w:rsidRPr="0080779A">
        <w:rPr>
          <w:lang w:val="en-US"/>
        </w:rPr>
        <w:t>Gimbal stage has to be compatible with XXY stage to be assembled together.</w:t>
      </w:r>
      <w:r>
        <w:rPr>
          <w:b/>
          <w:bCs/>
          <w:lang w:val="en-US"/>
        </w:rPr>
        <w:t xml:space="preserve"> </w:t>
      </w:r>
    </w:p>
    <w:p w14:paraId="21C2DB75" w14:textId="77777777" w:rsidR="000B1B07" w:rsidRPr="009043FD" w:rsidRDefault="000B1B07" w:rsidP="000B1B07">
      <w:pPr>
        <w:numPr>
          <w:ilvl w:val="0"/>
          <w:numId w:val="24"/>
        </w:numPr>
      </w:pPr>
      <w:r w:rsidRPr="009043FD">
        <w:rPr>
          <w:b/>
          <w:bCs/>
        </w:rPr>
        <w:t>Control Interface</w:t>
      </w:r>
      <w:r w:rsidRPr="009043FD">
        <w:t>: Fully integrated into the motion control system, allowing synchronized operation with linear stages and external triggers.</w:t>
      </w:r>
    </w:p>
    <w:p w14:paraId="4379D127" w14:textId="77777777" w:rsidR="000B1B07" w:rsidRPr="000B1B07" w:rsidRDefault="000B1B07" w:rsidP="000B1B07"/>
    <w:p w14:paraId="77F79F30" w14:textId="0C9BAF21" w:rsidR="009C5680" w:rsidRPr="009C5680" w:rsidRDefault="000B1B07" w:rsidP="009C5680">
      <w:pPr>
        <w:rPr>
          <w:lang w:val="en-GB"/>
        </w:rPr>
      </w:pPr>
      <w:r>
        <w:rPr>
          <w:b/>
          <w:bCs/>
          <w:lang w:val="en-GB"/>
        </w:rPr>
        <w:t>6</w:t>
      </w:r>
      <w:r w:rsidR="009C5680" w:rsidRPr="009C5680">
        <w:rPr>
          <w:b/>
          <w:bCs/>
          <w:lang w:val="en-GB"/>
        </w:rPr>
        <w:t>. Breadboard/Working Area</w:t>
      </w:r>
    </w:p>
    <w:p w14:paraId="71A2FDEE" w14:textId="09678EC2" w:rsidR="009C5680" w:rsidRPr="009C5680" w:rsidRDefault="009C5680" w:rsidP="009C5680">
      <w:pPr>
        <w:numPr>
          <w:ilvl w:val="0"/>
          <w:numId w:val="19"/>
        </w:numPr>
        <w:rPr>
          <w:lang w:val="en-GB"/>
        </w:rPr>
      </w:pPr>
      <w:r w:rsidRPr="009C5680">
        <w:rPr>
          <w:lang w:val="en-GB"/>
        </w:rPr>
        <w:t>The structure must include a rigid optical breadboard or honeycomb plate</w:t>
      </w:r>
      <w:r w:rsidR="0003447D">
        <w:rPr>
          <w:lang w:val="en-GB"/>
        </w:rPr>
        <w:t xml:space="preserve"> mounted on top of the portal</w:t>
      </w:r>
      <w:r w:rsidRPr="009C5680">
        <w:rPr>
          <w:lang w:val="en-GB"/>
        </w:rPr>
        <w:t xml:space="preserve"> to mount auxiliary optics and sensors</w:t>
      </w:r>
      <w:r w:rsidR="009043FD">
        <w:rPr>
          <w:lang w:val="en-GB"/>
        </w:rPr>
        <w:t xml:space="preserve">. </w:t>
      </w:r>
    </w:p>
    <w:p w14:paraId="14F4794B" w14:textId="7196829D" w:rsidR="009C5680" w:rsidRPr="009C5680" w:rsidRDefault="009C5680" w:rsidP="009C5680">
      <w:pPr>
        <w:numPr>
          <w:ilvl w:val="0"/>
          <w:numId w:val="19"/>
        </w:numPr>
        <w:rPr>
          <w:lang w:val="en-GB"/>
        </w:rPr>
      </w:pPr>
      <w:r w:rsidRPr="009C5680">
        <w:rPr>
          <w:lang w:val="en-GB"/>
        </w:rPr>
        <w:t>Size: Minimum</w:t>
      </w:r>
      <w:r w:rsidR="00AE1D8C">
        <w:rPr>
          <w:lang w:val="en-GB"/>
        </w:rPr>
        <w:t xml:space="preserve"> </w:t>
      </w:r>
      <w:r w:rsidR="0003447D">
        <w:rPr>
          <w:lang w:val="en-GB"/>
        </w:rPr>
        <w:t>6</w:t>
      </w:r>
      <w:r w:rsidR="00E87626">
        <w:rPr>
          <w:lang w:val="en-GB"/>
        </w:rPr>
        <w:t>00</w:t>
      </w:r>
      <w:r w:rsidRPr="009C5680">
        <w:rPr>
          <w:lang w:val="en-GB"/>
        </w:rPr>
        <w:t xml:space="preserve"> × </w:t>
      </w:r>
      <w:r w:rsidR="009043FD">
        <w:rPr>
          <w:lang w:val="en-GB"/>
        </w:rPr>
        <w:t>2000</w:t>
      </w:r>
      <w:r w:rsidRPr="009C5680">
        <w:rPr>
          <w:lang w:val="en-GB"/>
        </w:rPr>
        <w:t xml:space="preserve"> mm </w:t>
      </w:r>
      <w:r w:rsidR="0003447D">
        <w:rPr>
          <w:lang w:val="en-GB"/>
        </w:rPr>
        <w:t xml:space="preserve">of </w:t>
      </w:r>
      <w:r w:rsidRPr="009C5680">
        <w:rPr>
          <w:lang w:val="en-GB"/>
        </w:rPr>
        <w:t>usable area.</w:t>
      </w:r>
    </w:p>
    <w:p w14:paraId="01DDE008" w14:textId="77777777" w:rsidR="009C5680" w:rsidRPr="009C5680" w:rsidRDefault="009C5680" w:rsidP="009C5680">
      <w:pPr>
        <w:numPr>
          <w:ilvl w:val="0"/>
          <w:numId w:val="19"/>
        </w:numPr>
        <w:rPr>
          <w:lang w:val="en-GB"/>
        </w:rPr>
      </w:pPr>
      <w:r w:rsidRPr="009C5680">
        <w:rPr>
          <w:lang w:val="en-GB"/>
        </w:rPr>
        <w:t>Mounting grid: Metric (M6 or M4) with 25 mm spacing.</w:t>
      </w:r>
    </w:p>
    <w:p w14:paraId="37E845B5" w14:textId="32A5EFB3" w:rsidR="009C5680" w:rsidRPr="009C5680" w:rsidRDefault="003B0D60" w:rsidP="009C5680">
      <w:pPr>
        <w:rPr>
          <w:lang w:val="en-GB"/>
        </w:rPr>
      </w:pPr>
      <w:r>
        <w:rPr>
          <w:b/>
          <w:bCs/>
          <w:lang w:val="en-GB"/>
        </w:rPr>
        <w:t>7</w:t>
      </w:r>
      <w:r w:rsidR="009C5680" w:rsidRPr="009C5680">
        <w:rPr>
          <w:b/>
          <w:bCs/>
          <w:lang w:val="en-GB"/>
        </w:rPr>
        <w:t>. Environmental and Safety Requirements</w:t>
      </w:r>
    </w:p>
    <w:p w14:paraId="43CE87CE" w14:textId="77777777" w:rsidR="009C5680" w:rsidRPr="009C5680" w:rsidRDefault="009C5680" w:rsidP="009C5680">
      <w:pPr>
        <w:numPr>
          <w:ilvl w:val="0"/>
          <w:numId w:val="20"/>
        </w:numPr>
        <w:rPr>
          <w:lang w:val="en-GB"/>
        </w:rPr>
      </w:pPr>
      <w:r w:rsidRPr="009C5680">
        <w:rPr>
          <w:lang w:val="en-GB"/>
        </w:rPr>
        <w:t>Surfaces must be easy to clean and chemically resistant.</w:t>
      </w:r>
    </w:p>
    <w:p w14:paraId="653CD1FC" w14:textId="77777777" w:rsidR="009C5680" w:rsidRPr="009C5680" w:rsidRDefault="009C5680" w:rsidP="009C5680">
      <w:pPr>
        <w:numPr>
          <w:ilvl w:val="0"/>
          <w:numId w:val="20"/>
        </w:numPr>
        <w:rPr>
          <w:lang w:val="en-GB"/>
        </w:rPr>
      </w:pPr>
      <w:r w:rsidRPr="009C5680">
        <w:rPr>
          <w:lang w:val="en-GB"/>
        </w:rPr>
        <w:t>The station must be compatible with standard laser safety enclosures.</w:t>
      </w:r>
    </w:p>
    <w:p w14:paraId="69509CD1" w14:textId="7245C00B" w:rsidR="009C5680" w:rsidRPr="009C5680" w:rsidRDefault="003B0D60" w:rsidP="009C5680">
      <w:pPr>
        <w:rPr>
          <w:lang w:val="en-GB"/>
        </w:rPr>
      </w:pPr>
      <w:r>
        <w:rPr>
          <w:b/>
          <w:bCs/>
          <w:lang w:val="en-GB"/>
        </w:rPr>
        <w:t>8</w:t>
      </w:r>
      <w:r w:rsidR="009C5680" w:rsidRPr="009C5680">
        <w:rPr>
          <w:b/>
          <w:bCs/>
          <w:lang w:val="en-GB"/>
        </w:rPr>
        <w:t>. Software and Control Interface</w:t>
      </w:r>
    </w:p>
    <w:p w14:paraId="549CE9D2" w14:textId="77777777" w:rsidR="009C5680" w:rsidRPr="009C5680" w:rsidRDefault="009C5680" w:rsidP="009C5680">
      <w:pPr>
        <w:numPr>
          <w:ilvl w:val="0"/>
          <w:numId w:val="21"/>
        </w:numPr>
        <w:rPr>
          <w:lang w:val="en-GB"/>
        </w:rPr>
      </w:pPr>
      <w:r w:rsidRPr="009C5680">
        <w:rPr>
          <w:lang w:val="en-GB"/>
        </w:rPr>
        <w:t>The system must support synchronization of stage motion with external triggers (e.g., laser, scanner).</w:t>
      </w:r>
    </w:p>
    <w:p w14:paraId="22C30CB6" w14:textId="77777777" w:rsidR="009C5680" w:rsidRPr="009C5680" w:rsidRDefault="009C5680" w:rsidP="009C5680">
      <w:pPr>
        <w:numPr>
          <w:ilvl w:val="0"/>
          <w:numId w:val="21"/>
        </w:numPr>
        <w:rPr>
          <w:lang w:val="en-GB"/>
        </w:rPr>
      </w:pPr>
      <w:r w:rsidRPr="009C5680">
        <w:rPr>
          <w:lang w:val="en-GB"/>
        </w:rPr>
        <w:t xml:space="preserve">Compatibility with real-time motion control environments (e.g., </w:t>
      </w:r>
      <w:proofErr w:type="spellStart"/>
      <w:r w:rsidRPr="009C5680">
        <w:rPr>
          <w:lang w:val="en-GB"/>
        </w:rPr>
        <w:t>EtherCAT</w:t>
      </w:r>
      <w:proofErr w:type="spellEnd"/>
      <w:r w:rsidRPr="009C5680">
        <w:rPr>
          <w:lang w:val="en-GB"/>
        </w:rPr>
        <w:t>-based systems).</w:t>
      </w:r>
    </w:p>
    <w:p w14:paraId="2FCB596A" w14:textId="77777777" w:rsidR="009C5680" w:rsidRDefault="009C5680" w:rsidP="009C5680">
      <w:pPr>
        <w:numPr>
          <w:ilvl w:val="0"/>
          <w:numId w:val="21"/>
        </w:numPr>
        <w:rPr>
          <w:lang w:val="en-GB"/>
        </w:rPr>
      </w:pPr>
      <w:r w:rsidRPr="009C5680">
        <w:rPr>
          <w:lang w:val="en-GB"/>
        </w:rPr>
        <w:t>Must allow integration with laser control software and user-defined process sequences.</w:t>
      </w:r>
    </w:p>
    <w:p w14:paraId="0A38B5D5" w14:textId="77777777" w:rsidR="00E85AD9" w:rsidRDefault="009C5680" w:rsidP="00E85AD9">
      <w:pPr>
        <w:numPr>
          <w:ilvl w:val="0"/>
          <w:numId w:val="21"/>
        </w:numPr>
        <w:rPr>
          <w:lang w:val="en-GB"/>
        </w:rPr>
      </w:pPr>
      <w:r>
        <w:rPr>
          <w:lang w:val="en-GB"/>
        </w:rPr>
        <w:t>Must be compatible with current control software from Direct machining control</w:t>
      </w:r>
    </w:p>
    <w:p w14:paraId="00C82FED" w14:textId="1E179841" w:rsidR="009C5680" w:rsidRPr="00E85AD9" w:rsidRDefault="00E85AD9" w:rsidP="00E85AD9">
      <w:pPr>
        <w:numPr>
          <w:ilvl w:val="0"/>
          <w:numId w:val="21"/>
        </w:numPr>
        <w:rPr>
          <w:lang w:val="en-GB"/>
        </w:rPr>
      </w:pPr>
      <w:r w:rsidRPr="00E85AD9">
        <w:rPr>
          <w:lang w:val="en-GB"/>
        </w:rPr>
        <w:t>The delivered system must be compatible with synchronized scanning and motion control technologies, such as XL Scan or equivalent, enabling virtually unlimited working area. All necessary hardware and software modules required on the side of the motion system to support such technology must be included in the delivery.</w:t>
      </w:r>
    </w:p>
    <w:p w14:paraId="2732134C" w14:textId="111BE078" w:rsidR="009C5680" w:rsidRPr="009C5680" w:rsidRDefault="003B0D60" w:rsidP="009C5680">
      <w:pPr>
        <w:rPr>
          <w:lang w:val="en-GB"/>
        </w:rPr>
      </w:pPr>
      <w:r>
        <w:rPr>
          <w:b/>
          <w:bCs/>
          <w:lang w:val="en-GB"/>
        </w:rPr>
        <w:t>9</w:t>
      </w:r>
      <w:r w:rsidR="009C5680" w:rsidRPr="009C5680">
        <w:rPr>
          <w:b/>
          <w:bCs/>
          <w:lang w:val="en-GB"/>
        </w:rPr>
        <w:t>. Utility and Integration Requirements</w:t>
      </w:r>
    </w:p>
    <w:p w14:paraId="471B11A4" w14:textId="77777777" w:rsidR="009C5680" w:rsidRPr="009C5680" w:rsidRDefault="009C5680" w:rsidP="009C5680">
      <w:pPr>
        <w:numPr>
          <w:ilvl w:val="0"/>
          <w:numId w:val="22"/>
        </w:numPr>
        <w:rPr>
          <w:lang w:val="en-GB"/>
        </w:rPr>
      </w:pPr>
      <w:r w:rsidRPr="009C5680">
        <w:rPr>
          <w:lang w:val="en-GB"/>
        </w:rPr>
        <w:t>Electrical interfaces for all axes and optional subsystems must be provided.</w:t>
      </w:r>
    </w:p>
    <w:p w14:paraId="7480A1E8" w14:textId="77777777" w:rsidR="009C5680" w:rsidRPr="009C5680" w:rsidRDefault="009C5680" w:rsidP="009C5680">
      <w:pPr>
        <w:numPr>
          <w:ilvl w:val="0"/>
          <w:numId w:val="22"/>
        </w:numPr>
        <w:rPr>
          <w:lang w:val="en-GB"/>
        </w:rPr>
      </w:pPr>
      <w:r w:rsidRPr="009C5680">
        <w:rPr>
          <w:lang w:val="en-GB"/>
        </w:rPr>
        <w:t>Mounting interfaces must allow flexible installation of scanners, optical modules, cameras, and sensors.</w:t>
      </w:r>
    </w:p>
    <w:p w14:paraId="05D03F9D" w14:textId="77777777" w:rsidR="009C5680" w:rsidRPr="009C5680" w:rsidRDefault="009C5680" w:rsidP="009C5680">
      <w:pPr>
        <w:numPr>
          <w:ilvl w:val="0"/>
          <w:numId w:val="22"/>
        </w:numPr>
        <w:rPr>
          <w:lang w:val="en-GB"/>
        </w:rPr>
      </w:pPr>
      <w:r w:rsidRPr="009C5680">
        <w:rPr>
          <w:lang w:val="en-GB"/>
        </w:rPr>
        <w:t>Mechanical provisions for cable routing and cooling lines must be included.</w:t>
      </w:r>
    </w:p>
    <w:p w14:paraId="2125271B" w14:textId="143696FD" w:rsidR="009C5680" w:rsidRPr="009C5680" w:rsidRDefault="003B0D60" w:rsidP="009C5680">
      <w:pPr>
        <w:rPr>
          <w:lang w:val="en-GB"/>
        </w:rPr>
      </w:pPr>
      <w:r>
        <w:rPr>
          <w:b/>
          <w:bCs/>
          <w:lang w:val="en-GB"/>
        </w:rPr>
        <w:t>10</w:t>
      </w:r>
      <w:r w:rsidR="009C5680" w:rsidRPr="009C5680">
        <w:rPr>
          <w:b/>
          <w:bCs/>
          <w:lang w:val="en-GB"/>
        </w:rPr>
        <w:t>. Documentation and Support</w:t>
      </w:r>
    </w:p>
    <w:p w14:paraId="2959EBB6" w14:textId="77777777" w:rsidR="009C5680" w:rsidRPr="009C5680" w:rsidRDefault="009C5680" w:rsidP="009C5680">
      <w:pPr>
        <w:numPr>
          <w:ilvl w:val="0"/>
          <w:numId w:val="23"/>
        </w:numPr>
        <w:rPr>
          <w:lang w:val="en-GB"/>
        </w:rPr>
      </w:pPr>
      <w:r w:rsidRPr="009C5680">
        <w:rPr>
          <w:lang w:val="en-GB"/>
        </w:rPr>
        <w:lastRenderedPageBreak/>
        <w:t>System must be delivered with comprehensive documentation: user manuals, mechanical drawings, and wiring diagrams.</w:t>
      </w:r>
    </w:p>
    <w:p w14:paraId="79B461BB" w14:textId="77777777" w:rsidR="009C5680" w:rsidRPr="009C5680" w:rsidRDefault="009C5680" w:rsidP="009C5680">
      <w:pPr>
        <w:numPr>
          <w:ilvl w:val="0"/>
          <w:numId w:val="23"/>
        </w:numPr>
        <w:rPr>
          <w:lang w:val="en-GB"/>
        </w:rPr>
      </w:pPr>
      <w:r w:rsidRPr="009C5680">
        <w:rPr>
          <w:lang w:val="en-GB"/>
        </w:rPr>
        <w:t>Basic calibration and functional verification must be included at delivery.</w:t>
      </w:r>
    </w:p>
    <w:p w14:paraId="1FE79100" w14:textId="008BEB6A" w:rsidR="00DC270C" w:rsidRPr="009C5680" w:rsidRDefault="009C5680" w:rsidP="00DC270C">
      <w:pPr>
        <w:numPr>
          <w:ilvl w:val="0"/>
          <w:numId w:val="23"/>
        </w:numPr>
        <w:jc w:val="both"/>
        <w:rPr>
          <w:lang w:val="en-GB"/>
        </w:rPr>
      </w:pPr>
      <w:r w:rsidRPr="009C5680">
        <w:rPr>
          <w:lang w:val="en-GB"/>
        </w:rPr>
        <w:t>The supplier must provide support during installation and offer remote/online technical assistance.</w:t>
      </w:r>
      <w:r w:rsidR="00DC270C" w:rsidRPr="00DC270C">
        <w:rPr>
          <w:lang w:val="en-GB"/>
        </w:rPr>
        <w:t xml:space="preserve"> The supplier must provide remote or in person installation support for all delivered equipment, including system calibration and full software configuration. At minimum, remote commissioning must include real-time assistance during initial system startup, integration of motion and control software, and functional verification of all delivered axes and modules. The supplier must also provide remote commissioning and functional testing of advanced beam control systems, such as XL Scan or equivalent synchronized multi-axis control solutions, ensuring that laser scanner heads and linear stages operate seamlessly over extended working areas.</w:t>
      </w:r>
    </w:p>
    <w:p w14:paraId="17A4966C" w14:textId="77777777" w:rsidR="00AD14D0" w:rsidRPr="009C5680" w:rsidRDefault="00AD14D0" w:rsidP="009C5680">
      <w:pPr>
        <w:rPr>
          <w:lang w:val="en-GB"/>
        </w:rPr>
      </w:pPr>
    </w:p>
    <w:sectPr w:rsidR="00AD14D0" w:rsidRPr="009C56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1036"/>
    <w:multiLevelType w:val="multilevel"/>
    <w:tmpl w:val="3DF8D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55FA3"/>
    <w:multiLevelType w:val="multilevel"/>
    <w:tmpl w:val="90CE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00E1A"/>
    <w:multiLevelType w:val="multilevel"/>
    <w:tmpl w:val="7D689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2C0A3E"/>
    <w:multiLevelType w:val="multilevel"/>
    <w:tmpl w:val="3788A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B16347"/>
    <w:multiLevelType w:val="multilevel"/>
    <w:tmpl w:val="D618F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B54715"/>
    <w:multiLevelType w:val="multilevel"/>
    <w:tmpl w:val="664E3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803DE4"/>
    <w:multiLevelType w:val="multilevel"/>
    <w:tmpl w:val="40C0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5C0ACA"/>
    <w:multiLevelType w:val="multilevel"/>
    <w:tmpl w:val="49BE7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D00FBB"/>
    <w:multiLevelType w:val="multilevel"/>
    <w:tmpl w:val="4B0E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7E1E50"/>
    <w:multiLevelType w:val="multilevel"/>
    <w:tmpl w:val="4B00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E14F2F"/>
    <w:multiLevelType w:val="multilevel"/>
    <w:tmpl w:val="FD961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DE781B"/>
    <w:multiLevelType w:val="multilevel"/>
    <w:tmpl w:val="D526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2825E1"/>
    <w:multiLevelType w:val="multilevel"/>
    <w:tmpl w:val="B082F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CB1A1F"/>
    <w:multiLevelType w:val="multilevel"/>
    <w:tmpl w:val="888CE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AA08A6"/>
    <w:multiLevelType w:val="multilevel"/>
    <w:tmpl w:val="CFA6A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BC5860"/>
    <w:multiLevelType w:val="multilevel"/>
    <w:tmpl w:val="42EA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CE23ED"/>
    <w:multiLevelType w:val="multilevel"/>
    <w:tmpl w:val="D5E8B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012EEB"/>
    <w:multiLevelType w:val="multilevel"/>
    <w:tmpl w:val="61F0C0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F703D3"/>
    <w:multiLevelType w:val="multilevel"/>
    <w:tmpl w:val="AC26C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AE0BE4"/>
    <w:multiLevelType w:val="multilevel"/>
    <w:tmpl w:val="B692A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A0408F"/>
    <w:multiLevelType w:val="multilevel"/>
    <w:tmpl w:val="E3CA7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315E9C"/>
    <w:multiLevelType w:val="multilevel"/>
    <w:tmpl w:val="B6427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711C45"/>
    <w:multiLevelType w:val="multilevel"/>
    <w:tmpl w:val="6CA8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846CB2"/>
    <w:multiLevelType w:val="multilevel"/>
    <w:tmpl w:val="8CBC7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3"/>
  </w:num>
  <w:num w:numId="3">
    <w:abstractNumId w:val="8"/>
  </w:num>
  <w:num w:numId="4">
    <w:abstractNumId w:val="20"/>
  </w:num>
  <w:num w:numId="5">
    <w:abstractNumId w:val="17"/>
  </w:num>
  <w:num w:numId="6">
    <w:abstractNumId w:val="14"/>
  </w:num>
  <w:num w:numId="7">
    <w:abstractNumId w:val="19"/>
  </w:num>
  <w:num w:numId="8">
    <w:abstractNumId w:val="13"/>
  </w:num>
  <w:num w:numId="9">
    <w:abstractNumId w:val="12"/>
  </w:num>
  <w:num w:numId="10">
    <w:abstractNumId w:val="2"/>
  </w:num>
  <w:num w:numId="11">
    <w:abstractNumId w:val="0"/>
  </w:num>
  <w:num w:numId="12">
    <w:abstractNumId w:val="1"/>
  </w:num>
  <w:num w:numId="13">
    <w:abstractNumId w:val="22"/>
  </w:num>
  <w:num w:numId="14">
    <w:abstractNumId w:val="21"/>
  </w:num>
  <w:num w:numId="15">
    <w:abstractNumId w:val="4"/>
  </w:num>
  <w:num w:numId="16">
    <w:abstractNumId w:val="9"/>
  </w:num>
  <w:num w:numId="17">
    <w:abstractNumId w:val="10"/>
  </w:num>
  <w:num w:numId="18">
    <w:abstractNumId w:val="5"/>
  </w:num>
  <w:num w:numId="19">
    <w:abstractNumId w:val="11"/>
  </w:num>
  <w:num w:numId="20">
    <w:abstractNumId w:val="6"/>
  </w:num>
  <w:num w:numId="21">
    <w:abstractNumId w:val="16"/>
  </w:num>
  <w:num w:numId="22">
    <w:abstractNumId w:val="3"/>
  </w:num>
  <w:num w:numId="23">
    <w:abstractNumId w:val="15"/>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4D0"/>
    <w:rsid w:val="0003447D"/>
    <w:rsid w:val="00074302"/>
    <w:rsid w:val="000B1B07"/>
    <w:rsid w:val="001C28F2"/>
    <w:rsid w:val="0020001E"/>
    <w:rsid w:val="003B0D60"/>
    <w:rsid w:val="00453409"/>
    <w:rsid w:val="005079A1"/>
    <w:rsid w:val="00584667"/>
    <w:rsid w:val="0062162A"/>
    <w:rsid w:val="00642E73"/>
    <w:rsid w:val="006D7DBC"/>
    <w:rsid w:val="0080779A"/>
    <w:rsid w:val="009043FD"/>
    <w:rsid w:val="009C5680"/>
    <w:rsid w:val="00AD14D0"/>
    <w:rsid w:val="00AE1D8C"/>
    <w:rsid w:val="00C573E4"/>
    <w:rsid w:val="00C84AC9"/>
    <w:rsid w:val="00D51D47"/>
    <w:rsid w:val="00DC270C"/>
    <w:rsid w:val="00E56B62"/>
    <w:rsid w:val="00E85AD9"/>
    <w:rsid w:val="00E87626"/>
    <w:rsid w:val="00EC2A79"/>
    <w:rsid w:val="00FF08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48BE4"/>
  <w15:chartTrackingRefBased/>
  <w15:docId w15:val="{51232467-FB2E-4FBC-A0CD-41E6E9957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D14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AD14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AD14D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AD14D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AD14D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AD14D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D14D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D14D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D14D0"/>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D14D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AD14D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AD14D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D14D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D14D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D14D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D14D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D14D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D14D0"/>
    <w:rPr>
      <w:rFonts w:eastAsiaTheme="majorEastAsia" w:cstheme="majorBidi"/>
      <w:color w:val="272727" w:themeColor="text1" w:themeTint="D8"/>
    </w:rPr>
  </w:style>
  <w:style w:type="paragraph" w:styleId="Nzev">
    <w:name w:val="Title"/>
    <w:basedOn w:val="Normln"/>
    <w:next w:val="Normln"/>
    <w:link w:val="NzevChar"/>
    <w:uiPriority w:val="10"/>
    <w:qFormat/>
    <w:rsid w:val="00AD14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D14D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D14D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D14D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D14D0"/>
    <w:pPr>
      <w:spacing w:before="160"/>
      <w:jc w:val="center"/>
    </w:pPr>
    <w:rPr>
      <w:i/>
      <w:iCs/>
      <w:color w:val="404040" w:themeColor="text1" w:themeTint="BF"/>
    </w:rPr>
  </w:style>
  <w:style w:type="character" w:customStyle="1" w:styleId="CittChar">
    <w:name w:val="Citát Char"/>
    <w:basedOn w:val="Standardnpsmoodstavce"/>
    <w:link w:val="Citt"/>
    <w:uiPriority w:val="29"/>
    <w:rsid w:val="00AD14D0"/>
    <w:rPr>
      <w:i/>
      <w:iCs/>
      <w:color w:val="404040" w:themeColor="text1" w:themeTint="BF"/>
    </w:rPr>
  </w:style>
  <w:style w:type="paragraph" w:styleId="Odstavecseseznamem">
    <w:name w:val="List Paragraph"/>
    <w:basedOn w:val="Normln"/>
    <w:uiPriority w:val="34"/>
    <w:qFormat/>
    <w:rsid w:val="00AD14D0"/>
    <w:pPr>
      <w:ind w:left="720"/>
      <w:contextualSpacing/>
    </w:pPr>
  </w:style>
  <w:style w:type="character" w:styleId="Zdraznnintenzivn">
    <w:name w:val="Intense Emphasis"/>
    <w:basedOn w:val="Standardnpsmoodstavce"/>
    <w:uiPriority w:val="21"/>
    <w:qFormat/>
    <w:rsid w:val="00AD14D0"/>
    <w:rPr>
      <w:i/>
      <w:iCs/>
      <w:color w:val="0F4761" w:themeColor="accent1" w:themeShade="BF"/>
    </w:rPr>
  </w:style>
  <w:style w:type="paragraph" w:styleId="Vrazncitt">
    <w:name w:val="Intense Quote"/>
    <w:basedOn w:val="Normln"/>
    <w:next w:val="Normln"/>
    <w:link w:val="VrazncittChar"/>
    <w:uiPriority w:val="30"/>
    <w:qFormat/>
    <w:rsid w:val="00AD14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D14D0"/>
    <w:rPr>
      <w:i/>
      <w:iCs/>
      <w:color w:val="0F4761" w:themeColor="accent1" w:themeShade="BF"/>
    </w:rPr>
  </w:style>
  <w:style w:type="character" w:styleId="Odkazintenzivn">
    <w:name w:val="Intense Reference"/>
    <w:basedOn w:val="Standardnpsmoodstavce"/>
    <w:uiPriority w:val="32"/>
    <w:qFormat/>
    <w:rsid w:val="00AD14D0"/>
    <w:rPr>
      <w:b/>
      <w:bCs/>
      <w:smallCaps/>
      <w:color w:val="0F4761" w:themeColor="accent1" w:themeShade="BF"/>
      <w:spacing w:val="5"/>
    </w:rPr>
  </w:style>
  <w:style w:type="character" w:styleId="Odkaznakoment">
    <w:name w:val="annotation reference"/>
    <w:basedOn w:val="Standardnpsmoodstavce"/>
    <w:uiPriority w:val="99"/>
    <w:semiHidden/>
    <w:unhideWhenUsed/>
    <w:rsid w:val="00074302"/>
    <w:rPr>
      <w:sz w:val="16"/>
      <w:szCs w:val="16"/>
    </w:rPr>
  </w:style>
  <w:style w:type="paragraph" w:styleId="Textkomente">
    <w:name w:val="annotation text"/>
    <w:basedOn w:val="Normln"/>
    <w:link w:val="TextkomenteChar"/>
    <w:uiPriority w:val="99"/>
    <w:unhideWhenUsed/>
    <w:rsid w:val="00074302"/>
    <w:pPr>
      <w:spacing w:line="240" w:lineRule="auto"/>
    </w:pPr>
    <w:rPr>
      <w:sz w:val="20"/>
      <w:szCs w:val="20"/>
    </w:rPr>
  </w:style>
  <w:style w:type="character" w:customStyle="1" w:styleId="TextkomenteChar">
    <w:name w:val="Text komentáře Char"/>
    <w:basedOn w:val="Standardnpsmoodstavce"/>
    <w:link w:val="Textkomente"/>
    <w:uiPriority w:val="99"/>
    <w:rsid w:val="00074302"/>
    <w:rPr>
      <w:sz w:val="20"/>
      <w:szCs w:val="20"/>
    </w:rPr>
  </w:style>
  <w:style w:type="paragraph" w:styleId="Pedmtkomente">
    <w:name w:val="annotation subject"/>
    <w:basedOn w:val="Textkomente"/>
    <w:next w:val="Textkomente"/>
    <w:link w:val="PedmtkomenteChar"/>
    <w:uiPriority w:val="99"/>
    <w:semiHidden/>
    <w:unhideWhenUsed/>
    <w:rsid w:val="00074302"/>
    <w:rPr>
      <w:b/>
      <w:bCs/>
    </w:rPr>
  </w:style>
  <w:style w:type="character" w:customStyle="1" w:styleId="PedmtkomenteChar">
    <w:name w:val="Předmět komentáře Char"/>
    <w:basedOn w:val="TextkomenteChar"/>
    <w:link w:val="Pedmtkomente"/>
    <w:uiPriority w:val="99"/>
    <w:semiHidden/>
    <w:rsid w:val="000743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080884">
      <w:bodyDiv w:val="1"/>
      <w:marLeft w:val="0"/>
      <w:marRight w:val="0"/>
      <w:marTop w:val="0"/>
      <w:marBottom w:val="0"/>
      <w:divBdr>
        <w:top w:val="none" w:sz="0" w:space="0" w:color="auto"/>
        <w:left w:val="none" w:sz="0" w:space="0" w:color="auto"/>
        <w:bottom w:val="none" w:sz="0" w:space="0" w:color="auto"/>
        <w:right w:val="none" w:sz="0" w:space="0" w:color="auto"/>
      </w:divBdr>
    </w:div>
    <w:div w:id="423956543">
      <w:bodyDiv w:val="1"/>
      <w:marLeft w:val="0"/>
      <w:marRight w:val="0"/>
      <w:marTop w:val="0"/>
      <w:marBottom w:val="0"/>
      <w:divBdr>
        <w:top w:val="none" w:sz="0" w:space="0" w:color="auto"/>
        <w:left w:val="none" w:sz="0" w:space="0" w:color="auto"/>
        <w:bottom w:val="none" w:sz="0" w:space="0" w:color="auto"/>
        <w:right w:val="none" w:sz="0" w:space="0" w:color="auto"/>
      </w:divBdr>
    </w:div>
    <w:div w:id="466707016">
      <w:bodyDiv w:val="1"/>
      <w:marLeft w:val="0"/>
      <w:marRight w:val="0"/>
      <w:marTop w:val="0"/>
      <w:marBottom w:val="0"/>
      <w:divBdr>
        <w:top w:val="none" w:sz="0" w:space="0" w:color="auto"/>
        <w:left w:val="none" w:sz="0" w:space="0" w:color="auto"/>
        <w:bottom w:val="none" w:sz="0" w:space="0" w:color="auto"/>
        <w:right w:val="none" w:sz="0" w:space="0" w:color="auto"/>
      </w:divBdr>
    </w:div>
    <w:div w:id="529606858">
      <w:bodyDiv w:val="1"/>
      <w:marLeft w:val="0"/>
      <w:marRight w:val="0"/>
      <w:marTop w:val="0"/>
      <w:marBottom w:val="0"/>
      <w:divBdr>
        <w:top w:val="none" w:sz="0" w:space="0" w:color="auto"/>
        <w:left w:val="none" w:sz="0" w:space="0" w:color="auto"/>
        <w:bottom w:val="none" w:sz="0" w:space="0" w:color="auto"/>
        <w:right w:val="none" w:sz="0" w:space="0" w:color="auto"/>
      </w:divBdr>
      <w:divsChild>
        <w:div w:id="1314288400">
          <w:marLeft w:val="0"/>
          <w:marRight w:val="0"/>
          <w:marTop w:val="0"/>
          <w:marBottom w:val="0"/>
          <w:divBdr>
            <w:top w:val="none" w:sz="0" w:space="0" w:color="auto"/>
            <w:left w:val="none" w:sz="0" w:space="0" w:color="auto"/>
            <w:bottom w:val="none" w:sz="0" w:space="0" w:color="auto"/>
            <w:right w:val="none" w:sz="0" w:space="0" w:color="auto"/>
          </w:divBdr>
        </w:div>
      </w:divsChild>
    </w:div>
    <w:div w:id="716441377">
      <w:bodyDiv w:val="1"/>
      <w:marLeft w:val="0"/>
      <w:marRight w:val="0"/>
      <w:marTop w:val="0"/>
      <w:marBottom w:val="0"/>
      <w:divBdr>
        <w:top w:val="none" w:sz="0" w:space="0" w:color="auto"/>
        <w:left w:val="none" w:sz="0" w:space="0" w:color="auto"/>
        <w:bottom w:val="none" w:sz="0" w:space="0" w:color="auto"/>
        <w:right w:val="none" w:sz="0" w:space="0" w:color="auto"/>
      </w:divBdr>
    </w:div>
    <w:div w:id="1040319613">
      <w:bodyDiv w:val="1"/>
      <w:marLeft w:val="0"/>
      <w:marRight w:val="0"/>
      <w:marTop w:val="0"/>
      <w:marBottom w:val="0"/>
      <w:divBdr>
        <w:top w:val="none" w:sz="0" w:space="0" w:color="auto"/>
        <w:left w:val="none" w:sz="0" w:space="0" w:color="auto"/>
        <w:bottom w:val="none" w:sz="0" w:space="0" w:color="auto"/>
        <w:right w:val="none" w:sz="0" w:space="0" w:color="auto"/>
      </w:divBdr>
    </w:div>
    <w:div w:id="1160582924">
      <w:bodyDiv w:val="1"/>
      <w:marLeft w:val="0"/>
      <w:marRight w:val="0"/>
      <w:marTop w:val="0"/>
      <w:marBottom w:val="0"/>
      <w:divBdr>
        <w:top w:val="none" w:sz="0" w:space="0" w:color="auto"/>
        <w:left w:val="none" w:sz="0" w:space="0" w:color="auto"/>
        <w:bottom w:val="none" w:sz="0" w:space="0" w:color="auto"/>
        <w:right w:val="none" w:sz="0" w:space="0" w:color="auto"/>
      </w:divBdr>
      <w:divsChild>
        <w:div w:id="159927239">
          <w:marLeft w:val="0"/>
          <w:marRight w:val="0"/>
          <w:marTop w:val="0"/>
          <w:marBottom w:val="0"/>
          <w:divBdr>
            <w:top w:val="none" w:sz="0" w:space="0" w:color="auto"/>
            <w:left w:val="none" w:sz="0" w:space="0" w:color="auto"/>
            <w:bottom w:val="none" w:sz="0" w:space="0" w:color="auto"/>
            <w:right w:val="none" w:sz="0" w:space="0" w:color="auto"/>
          </w:divBdr>
        </w:div>
      </w:divsChild>
    </w:div>
    <w:div w:id="1196697932">
      <w:bodyDiv w:val="1"/>
      <w:marLeft w:val="0"/>
      <w:marRight w:val="0"/>
      <w:marTop w:val="0"/>
      <w:marBottom w:val="0"/>
      <w:divBdr>
        <w:top w:val="none" w:sz="0" w:space="0" w:color="auto"/>
        <w:left w:val="none" w:sz="0" w:space="0" w:color="auto"/>
        <w:bottom w:val="none" w:sz="0" w:space="0" w:color="auto"/>
        <w:right w:val="none" w:sz="0" w:space="0" w:color="auto"/>
      </w:divBdr>
      <w:divsChild>
        <w:div w:id="1859155532">
          <w:marLeft w:val="0"/>
          <w:marRight w:val="0"/>
          <w:marTop w:val="0"/>
          <w:marBottom w:val="0"/>
          <w:divBdr>
            <w:top w:val="none" w:sz="0" w:space="0" w:color="auto"/>
            <w:left w:val="none" w:sz="0" w:space="0" w:color="auto"/>
            <w:bottom w:val="none" w:sz="0" w:space="0" w:color="auto"/>
            <w:right w:val="none" w:sz="0" w:space="0" w:color="auto"/>
          </w:divBdr>
        </w:div>
      </w:divsChild>
    </w:div>
    <w:div w:id="1309045864">
      <w:bodyDiv w:val="1"/>
      <w:marLeft w:val="0"/>
      <w:marRight w:val="0"/>
      <w:marTop w:val="0"/>
      <w:marBottom w:val="0"/>
      <w:divBdr>
        <w:top w:val="none" w:sz="0" w:space="0" w:color="auto"/>
        <w:left w:val="none" w:sz="0" w:space="0" w:color="auto"/>
        <w:bottom w:val="none" w:sz="0" w:space="0" w:color="auto"/>
        <w:right w:val="none" w:sz="0" w:space="0" w:color="auto"/>
      </w:divBdr>
      <w:divsChild>
        <w:div w:id="1242637026">
          <w:marLeft w:val="0"/>
          <w:marRight w:val="0"/>
          <w:marTop w:val="0"/>
          <w:marBottom w:val="0"/>
          <w:divBdr>
            <w:top w:val="none" w:sz="0" w:space="0" w:color="auto"/>
            <w:left w:val="none" w:sz="0" w:space="0" w:color="auto"/>
            <w:bottom w:val="none" w:sz="0" w:space="0" w:color="auto"/>
            <w:right w:val="none" w:sz="0" w:space="0" w:color="auto"/>
          </w:divBdr>
        </w:div>
      </w:divsChild>
    </w:div>
    <w:div w:id="158040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ECAE7-2399-438F-90AE-3E7CA5794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897</Words>
  <Characters>5296</Characters>
  <Application>Microsoft Office Word</Application>
  <DocSecurity>4</DocSecurity>
  <Lines>44</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Hauschwitz</dc:creator>
  <cp:keywords/>
  <dc:description/>
  <cp:lastModifiedBy>AKVT</cp:lastModifiedBy>
  <cp:revision>2</cp:revision>
  <dcterms:created xsi:type="dcterms:W3CDTF">2025-07-29T10:58:00Z</dcterms:created>
  <dcterms:modified xsi:type="dcterms:W3CDTF">2025-07-29T10:58:00Z</dcterms:modified>
</cp:coreProperties>
</file>