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E" w:rsidRPr="00CB36BF" w:rsidRDefault="0066211E" w:rsidP="009D28A3">
      <w:pPr>
        <w:pStyle w:val="Nadpis1"/>
        <w:jc w:val="left"/>
        <w:rPr>
          <w:lang w:eastAsia="cs-CZ"/>
        </w:rPr>
      </w:pPr>
      <w:r w:rsidRPr="00CB36BF">
        <w:t>Vymezení</w:t>
      </w:r>
      <w:r w:rsidRPr="00CB36BF">
        <w:rPr>
          <w:lang w:eastAsia="ar-SA"/>
        </w:rPr>
        <w:t xml:space="preserve"> předmětu plnění </w:t>
      </w:r>
    </w:p>
    <w:p w:rsidR="0066211E" w:rsidRPr="00CB36BF" w:rsidRDefault="004E161D" w:rsidP="009D28A3">
      <w:pPr>
        <w:pStyle w:val="Nadpis2"/>
        <w:jc w:val="left"/>
        <w:rPr>
          <w:lang w:eastAsia="cs-CZ"/>
        </w:rPr>
      </w:pPr>
      <w:r w:rsidRPr="00CB36BF">
        <w:rPr>
          <w:lang w:eastAsia="cs-CZ"/>
        </w:rPr>
        <w:t>Předmět plnění</w:t>
      </w:r>
    </w:p>
    <w:p w:rsidR="00626F11" w:rsidRPr="00CB36BF" w:rsidRDefault="00FA3682" w:rsidP="00286DD9">
      <w:pPr>
        <w:pStyle w:val="Normln-Odstavec"/>
      </w:pPr>
      <w:r w:rsidRPr="00CB36BF">
        <w:t>Předmětem plnění veřejné zakázky jsou dodávky včetně služeb (dále také jen „řešení“ nebo "</w:t>
      </w:r>
      <w:r w:rsidR="009C64D7">
        <w:t xml:space="preserve">projekt") – pro </w:t>
      </w:r>
      <w:r w:rsidR="004C41A8" w:rsidRPr="004C41A8">
        <w:t xml:space="preserve">rozšíření stávajících agendových systémů úřadu a tím vytvoření </w:t>
      </w:r>
      <w:proofErr w:type="spellStart"/>
      <w:r w:rsidR="004C41A8" w:rsidRPr="004C41A8">
        <w:t>multiagendového</w:t>
      </w:r>
      <w:proofErr w:type="spellEnd"/>
      <w:r w:rsidR="004C41A8" w:rsidRPr="004C41A8">
        <w:t xml:space="preserve"> </w:t>
      </w:r>
      <w:proofErr w:type="spellStart"/>
      <w:r w:rsidR="004C41A8" w:rsidRPr="004C41A8">
        <w:t>frameworku</w:t>
      </w:r>
      <w:proofErr w:type="spellEnd"/>
      <w:r w:rsidR="004C41A8" w:rsidRPr="004C41A8">
        <w:t xml:space="preserve"> jako integrovaného procesně orientovaného prostředí pro výkon agend v samostat</w:t>
      </w:r>
      <w:r w:rsidR="004C41A8">
        <w:t>né i přenesené působnosti Zadavatele</w:t>
      </w:r>
      <w:r w:rsidRPr="00CB36BF">
        <w:t xml:space="preserve"> v rámci veřejné zakázky „</w:t>
      </w:r>
      <w:r w:rsidR="00286DD9" w:rsidRPr="00286DD9">
        <w:t xml:space="preserve">Modernizace městského informačního systému </w:t>
      </w:r>
      <w:proofErr w:type="spellStart"/>
      <w:r w:rsidR="00286DD9" w:rsidRPr="00286DD9">
        <w:t>MěÚ</w:t>
      </w:r>
      <w:proofErr w:type="spellEnd"/>
      <w:r w:rsidR="00286DD9" w:rsidRPr="00286DD9">
        <w:t xml:space="preserve"> Příbram - Modernizace agend</w:t>
      </w:r>
      <w:r w:rsidRPr="00CB36BF">
        <w:t>“ (dále také jen „VZ“), podrobná specifikace dodávek a služeb je uvedena v dalších kapitolách tohoto dokumentu</w:t>
      </w:r>
      <w:r w:rsidR="00626F11" w:rsidRPr="00CB36BF">
        <w:t xml:space="preserve">. </w:t>
      </w:r>
      <w:r w:rsidR="005649B7" w:rsidRPr="007A7FF5">
        <w:t>Součástí plnění je dále podpora provozu na dobu 60 měsíců po předání řešení do ostrého provozu.</w:t>
      </w:r>
      <w:r w:rsidR="005649B7">
        <w:t xml:space="preserve"> </w:t>
      </w:r>
      <w:r w:rsidR="005F0086" w:rsidRPr="00CB36BF">
        <w:t>Ř</w:t>
      </w:r>
      <w:r w:rsidR="00626F11" w:rsidRPr="00CB36BF">
        <w:t xml:space="preserve">ešení musí být navrženo tak, aby náklady na provoz systému byly co nejmenší. </w:t>
      </w:r>
    </w:p>
    <w:p w:rsidR="00FA3682" w:rsidRPr="00CB36BF" w:rsidRDefault="00FA3682" w:rsidP="009C64D7">
      <w:pPr>
        <w:pStyle w:val="Normln-Odstavec"/>
      </w:pPr>
      <w:r w:rsidRPr="00CB36BF">
        <w:t>Projekt navazuje plynule na projekt</w:t>
      </w:r>
      <w:r w:rsidR="009C64D7">
        <w:t>y</w:t>
      </w:r>
      <w:r w:rsidRPr="00CB36BF">
        <w:t xml:space="preserve"> </w:t>
      </w:r>
      <w:r w:rsidR="009C64D7">
        <w:t>realizované</w:t>
      </w:r>
      <w:r w:rsidR="00B076B4" w:rsidRPr="00CB36BF">
        <w:t xml:space="preserve"> v rámci Výzvy IOP č. 06 </w:t>
      </w:r>
      <w:r w:rsidRPr="00CB36BF">
        <w:t>„Město Příbram - Rozvoj služeb eGovernmentu obce s rozšířenou působnos</w:t>
      </w:r>
      <w:r w:rsidR="009C64D7">
        <w:t xml:space="preserve">tí a v obcích správního obvodu“ a </w:t>
      </w:r>
      <w:r w:rsidR="000C700D">
        <w:t xml:space="preserve">Výzvy IOP č. 22 </w:t>
      </w:r>
      <w:r w:rsidR="009C64D7" w:rsidRPr="009C64D7">
        <w:t>„Město Příbram – Služby uživatelům ICT“</w:t>
      </w:r>
      <w:r w:rsidR="009C64D7">
        <w:t>, které</w:t>
      </w:r>
      <w:r w:rsidRPr="00CB36BF">
        <w:t xml:space="preserve"> </w:t>
      </w:r>
      <w:r w:rsidR="00B076B4" w:rsidRPr="00CB36BF">
        <w:t>zahrnoval</w:t>
      </w:r>
      <w:r w:rsidR="009C64D7">
        <w:t>y</w:t>
      </w:r>
      <w:r w:rsidR="00B076B4" w:rsidRPr="00CB36BF">
        <w:t xml:space="preserve"> vybudování Technologického centra ORP (dále </w:t>
      </w:r>
      <w:r w:rsidR="00C65559" w:rsidRPr="00CB36BF">
        <w:t>TC</w:t>
      </w:r>
      <w:r w:rsidR="00B076B4" w:rsidRPr="00CB36BF">
        <w:t>),</w:t>
      </w:r>
      <w:r w:rsidRPr="00CB36BF">
        <w:t xml:space="preserve"> spisové služby</w:t>
      </w:r>
      <w:r w:rsidR="00BE7357" w:rsidRPr="00CB36BF">
        <w:t xml:space="preserve"> města</w:t>
      </w:r>
      <w:r w:rsidR="00B076B4" w:rsidRPr="00CB36BF">
        <w:t xml:space="preserve"> i podřízených obcí, DMS</w:t>
      </w:r>
      <w:r w:rsidR="009C64D7">
        <w:t xml:space="preserve"> a integraci, dále rozšíření TC o virtualizaci aplikací a desktopů, zabezpečení internetové konektivity a vybudování portálu úředníka</w:t>
      </w:r>
      <w:r w:rsidR="004C41A8">
        <w:t>.</w:t>
      </w:r>
    </w:p>
    <w:p w:rsidR="00626F11" w:rsidRPr="00CB36BF" w:rsidRDefault="00626F11" w:rsidP="009D28A3">
      <w:pPr>
        <w:pStyle w:val="Normln-Odstavec"/>
        <w:jc w:val="left"/>
      </w:pPr>
      <w:r w:rsidRPr="00CB36BF">
        <w:t>Předmětem plnění veřejné zakázky jsou zařízení a systémy uvedené v následující tabulce, včetně služeb</w:t>
      </w:r>
      <w:r w:rsidR="00B076B4" w:rsidRPr="00CB36BF">
        <w:t xml:space="preserve"> (komodity)</w:t>
      </w:r>
      <w:r w:rsidRPr="00CB36BF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6283"/>
        <w:gridCol w:w="1123"/>
      </w:tblGrid>
      <w:tr w:rsidR="005F0086" w:rsidRPr="00CB36BF" w:rsidTr="005F0086">
        <w:tc>
          <w:tcPr>
            <w:tcW w:w="1016" w:type="dxa"/>
            <w:shd w:val="clear" w:color="auto" w:fill="C6D9F1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CB36BF">
              <w:rPr>
                <w:b/>
                <w:sz w:val="20"/>
                <w:szCs w:val="20"/>
              </w:rPr>
              <w:t>Označení</w:t>
            </w:r>
          </w:p>
        </w:tc>
        <w:tc>
          <w:tcPr>
            <w:tcW w:w="6283" w:type="dxa"/>
            <w:shd w:val="clear" w:color="auto" w:fill="C6D9F1"/>
          </w:tcPr>
          <w:p w:rsidR="005F0086" w:rsidRPr="00CB36BF" w:rsidRDefault="00FA3682" w:rsidP="00822994">
            <w:pPr>
              <w:pStyle w:val="Normln-Odstavec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CB36BF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1123" w:type="dxa"/>
            <w:shd w:val="clear" w:color="auto" w:fill="C6D9F1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rPr>
                <w:b/>
                <w:sz w:val="20"/>
                <w:szCs w:val="20"/>
              </w:rPr>
            </w:pPr>
            <w:r w:rsidRPr="00CB36BF">
              <w:rPr>
                <w:b/>
                <w:sz w:val="20"/>
                <w:szCs w:val="20"/>
              </w:rPr>
              <w:t>Počet</w:t>
            </w:r>
          </w:p>
        </w:tc>
      </w:tr>
      <w:tr w:rsidR="005F0086" w:rsidRPr="00CB36BF" w:rsidTr="005F0086">
        <w:tc>
          <w:tcPr>
            <w:tcW w:w="1016" w:type="dxa"/>
            <w:shd w:val="clear" w:color="auto" w:fill="auto"/>
            <w:vAlign w:val="center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K1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5F0086" w:rsidRPr="00CB36BF" w:rsidRDefault="004C41A8" w:rsidP="00C5779B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>Sociální agend</w:t>
            </w:r>
            <w:r w:rsidR="00A138B5">
              <w:t>a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D04CFF" w:rsidRPr="00CB36BF" w:rsidTr="005F0086">
        <w:tc>
          <w:tcPr>
            <w:tcW w:w="1016" w:type="dxa"/>
            <w:shd w:val="clear" w:color="auto" w:fill="auto"/>
            <w:vAlign w:val="center"/>
          </w:tcPr>
          <w:p w:rsidR="00D04CFF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K2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D04CFF" w:rsidRPr="00CB36BF" w:rsidRDefault="004C41A8" w:rsidP="007313DC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>Zápis do centrálního informačního systému Evidence přestupků (ISEP)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D04CFF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5F0086" w:rsidRPr="00CB36BF" w:rsidTr="005F0086">
        <w:tc>
          <w:tcPr>
            <w:tcW w:w="1016" w:type="dxa"/>
            <w:shd w:val="clear" w:color="auto" w:fill="auto"/>
            <w:vAlign w:val="center"/>
          </w:tcPr>
          <w:p w:rsidR="005F0086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K3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5F0086" w:rsidRPr="00CB36BF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 xml:space="preserve">Silniční hospodářství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5F0086" w:rsidRPr="00CB36BF" w:rsidTr="005F0086">
        <w:tc>
          <w:tcPr>
            <w:tcW w:w="1016" w:type="dxa"/>
            <w:shd w:val="clear" w:color="auto" w:fill="auto"/>
            <w:vAlign w:val="center"/>
          </w:tcPr>
          <w:p w:rsidR="005F0086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K4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5F0086" w:rsidRPr="00CB36BF" w:rsidRDefault="00A138B5" w:rsidP="00822994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A138B5">
              <w:t>Integrace mapových podkladů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F0086" w:rsidRPr="00CB36BF" w:rsidRDefault="005F0086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B076B4" w:rsidRPr="00CB36BF" w:rsidTr="005F0086">
        <w:tc>
          <w:tcPr>
            <w:tcW w:w="1016" w:type="dxa"/>
            <w:shd w:val="clear" w:color="auto" w:fill="auto"/>
            <w:vAlign w:val="center"/>
          </w:tcPr>
          <w:p w:rsidR="00B076B4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K5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B076B4" w:rsidRPr="00CB36BF" w:rsidRDefault="00D26313" w:rsidP="00822994">
            <w:pPr>
              <w:pStyle w:val="Normln-Odstavec"/>
              <w:numPr>
                <w:ilvl w:val="0"/>
                <w:numId w:val="0"/>
              </w:numPr>
              <w:jc w:val="left"/>
            </w:pPr>
            <w:r>
              <w:t>Centrální připojení k ISZR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076B4" w:rsidRPr="00CB36BF" w:rsidRDefault="00B076B4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B076B4" w:rsidRPr="00CB36BF" w:rsidTr="005F0086">
        <w:tc>
          <w:tcPr>
            <w:tcW w:w="1016" w:type="dxa"/>
            <w:shd w:val="clear" w:color="auto" w:fill="auto"/>
            <w:vAlign w:val="center"/>
          </w:tcPr>
          <w:p w:rsidR="00B076B4" w:rsidRPr="00CB36BF" w:rsidRDefault="00D04CFF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K6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B076B4" w:rsidRPr="00CB36BF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>Moderniz</w:t>
            </w:r>
            <w:r w:rsidR="00D26313">
              <w:t>ace elektronické spisové služby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076B4" w:rsidRPr="00CB36BF" w:rsidRDefault="00B076B4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 w:rsidRPr="00CB36BF">
              <w:t>1</w:t>
            </w:r>
          </w:p>
        </w:tc>
      </w:tr>
      <w:tr w:rsidR="004C41A8" w:rsidRPr="00CB36BF" w:rsidTr="005F0086">
        <w:tc>
          <w:tcPr>
            <w:tcW w:w="1016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K7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4C41A8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 xml:space="preserve">Sjednocení uživatelských oprávnění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4C41A8" w:rsidRPr="00CB36BF" w:rsidTr="005F0086">
        <w:tc>
          <w:tcPr>
            <w:tcW w:w="1016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K8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4C41A8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 xml:space="preserve">Úprava API rozhraní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  <w:tr w:rsidR="004C41A8" w:rsidRPr="00CB36BF" w:rsidTr="005F0086">
        <w:tc>
          <w:tcPr>
            <w:tcW w:w="1016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K9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4C41A8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 xml:space="preserve">Elektronická úřední deska 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</w:tr>
      <w:tr w:rsidR="004C41A8" w:rsidRPr="00CB36BF" w:rsidTr="005F0086">
        <w:tc>
          <w:tcPr>
            <w:tcW w:w="1016" w:type="dxa"/>
            <w:shd w:val="clear" w:color="auto" w:fill="auto"/>
            <w:vAlign w:val="center"/>
          </w:tcPr>
          <w:p w:rsidR="004C41A8" w:rsidRPr="00CB36BF" w:rsidRDefault="00FB5132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K</w:t>
            </w:r>
            <w:r w:rsidR="004C41A8">
              <w:t>10</w:t>
            </w:r>
          </w:p>
        </w:tc>
        <w:tc>
          <w:tcPr>
            <w:tcW w:w="6283" w:type="dxa"/>
            <w:shd w:val="clear" w:color="auto" w:fill="auto"/>
            <w:vAlign w:val="center"/>
          </w:tcPr>
          <w:p w:rsidR="004C41A8" w:rsidRDefault="004C41A8" w:rsidP="00C65559">
            <w:pPr>
              <w:pStyle w:val="Normln-Odstavec"/>
              <w:numPr>
                <w:ilvl w:val="0"/>
                <w:numId w:val="0"/>
              </w:numPr>
              <w:jc w:val="left"/>
            </w:pPr>
            <w:r w:rsidRPr="004C41A8">
              <w:t>Integ</w:t>
            </w:r>
            <w:r w:rsidR="00D26313">
              <w:t>race agendy Přestupků v dopravě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C41A8" w:rsidRPr="00CB36BF" w:rsidRDefault="004C41A8" w:rsidP="00822994">
            <w:pPr>
              <w:pStyle w:val="Normln-Odstavec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</w:tr>
    </w:tbl>
    <w:p w:rsidR="0066211E" w:rsidRPr="00CB36BF" w:rsidRDefault="0066211E" w:rsidP="00967ECC">
      <w:pPr>
        <w:pStyle w:val="Nadpis2"/>
        <w:jc w:val="left"/>
        <w:rPr>
          <w:lang w:eastAsia="cs-CZ"/>
        </w:rPr>
      </w:pPr>
      <w:r w:rsidRPr="00CB36BF">
        <w:rPr>
          <w:lang w:eastAsia="cs-CZ"/>
        </w:rPr>
        <w:t xml:space="preserve">Popis </w:t>
      </w:r>
      <w:r w:rsidR="00ED6E18" w:rsidRPr="00CB36BF">
        <w:rPr>
          <w:lang w:eastAsia="cs-CZ"/>
        </w:rPr>
        <w:t>současného</w:t>
      </w:r>
      <w:r w:rsidR="00632DB0" w:rsidRPr="00CB36BF">
        <w:rPr>
          <w:lang w:eastAsia="cs-CZ"/>
        </w:rPr>
        <w:t xml:space="preserve"> </w:t>
      </w:r>
      <w:r w:rsidRPr="00CB36BF">
        <w:rPr>
          <w:lang w:eastAsia="cs-CZ"/>
        </w:rPr>
        <w:t>stavu</w:t>
      </w:r>
    </w:p>
    <w:p w:rsidR="00111BBB" w:rsidRPr="00CB36BF" w:rsidRDefault="00111BBB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organizace a její členění</w:t>
      </w:r>
    </w:p>
    <w:p w:rsidR="004C41A8" w:rsidRDefault="00B076B4" w:rsidP="004C41A8">
      <w:pPr>
        <w:pStyle w:val="Normln-Odstavec"/>
      </w:pPr>
      <w:r w:rsidRPr="00CB36BF">
        <w:t xml:space="preserve">Organizace </w:t>
      </w:r>
      <w:r w:rsidR="00A737D5">
        <w:t>m</w:t>
      </w:r>
      <w:r w:rsidRPr="00CB36BF">
        <w:t xml:space="preserve">ěsto Příbram (dále </w:t>
      </w:r>
      <w:r w:rsidR="004C41A8">
        <w:t xml:space="preserve">jen </w:t>
      </w:r>
      <w:r w:rsidR="00A737D5">
        <w:t>m</w:t>
      </w:r>
      <w:r w:rsidRPr="00CB36BF">
        <w:t xml:space="preserve">ěsto) sídlí v Městském úřadě </w:t>
      </w:r>
      <w:r w:rsidR="00BE7357" w:rsidRPr="00CB36BF">
        <w:t>Příbram</w:t>
      </w:r>
      <w:r w:rsidRPr="00CB36BF">
        <w:t xml:space="preserve"> (dále MÚ</w:t>
      </w:r>
      <w:r w:rsidR="00D62990">
        <w:t xml:space="preserve"> nebo </w:t>
      </w:r>
      <w:proofErr w:type="spellStart"/>
      <w:r w:rsidR="00D62990">
        <w:t>MěÚ</w:t>
      </w:r>
      <w:proofErr w:type="spellEnd"/>
      <w:r w:rsidRPr="00CB36BF">
        <w:t>), kde pracuje většina zaměstnanců a je zde umístěná významná část IT technologií. Město je zřizovatelem organizací v oblasti kultury, dopravy, školství a sociální.</w:t>
      </w:r>
      <w:r w:rsidR="0091048F" w:rsidRPr="00CB36BF">
        <w:t xml:space="preserve">  </w:t>
      </w:r>
    </w:p>
    <w:p w:rsidR="004C41A8" w:rsidRPr="004C41A8" w:rsidRDefault="004C41A8" w:rsidP="004C41A8">
      <w:pPr>
        <w:pStyle w:val="Normln-Odstavec"/>
      </w:pPr>
      <w:r w:rsidRPr="004C41A8">
        <w:lastRenderedPageBreak/>
        <w:t xml:space="preserve">Město Příbram je veřejnoprávní korporací (právnická osoba veřejného práva), která podle zákona číslo 128/2000 Sb., o obcích (obecní zřízení), vykonává působnost v oblasti veřejné správy. </w:t>
      </w:r>
    </w:p>
    <w:p w:rsidR="00626F11" w:rsidRPr="00CB36BF" w:rsidRDefault="004C41A8" w:rsidP="004C41A8">
      <w:pPr>
        <w:pStyle w:val="Normln-Odstavec"/>
      </w:pPr>
      <w:r w:rsidRPr="004C41A8">
        <w:t>Městský úřad Příbram (dále také jen „</w:t>
      </w:r>
      <w:proofErr w:type="spellStart"/>
      <w:r w:rsidRPr="004C41A8">
        <w:t>MěÚ</w:t>
      </w:r>
      <w:proofErr w:type="spellEnd"/>
      <w:r w:rsidRPr="004C41A8">
        <w:t xml:space="preserve">“) jako orgán města vykonává samostatnou působnost a přenesenou působnost státní správy na svém základním správním obvodu a dále zajišťuje výkon státní správy i pro další obce (74 obcí) v rámci svého obvodu s rozšířenou působností. </w:t>
      </w:r>
    </w:p>
    <w:p w:rsidR="00111BBB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lokalit</w:t>
      </w:r>
    </w:p>
    <w:p w:rsidR="005D44F4" w:rsidRPr="00CB36BF" w:rsidRDefault="006501F8" w:rsidP="00F3705A">
      <w:pPr>
        <w:pStyle w:val="Normln-Odstavec"/>
      </w:pPr>
      <w:r w:rsidRPr="00CB36BF">
        <w:t>Z pohledu IT jsou pro Město nejvýznamnějšími lokalitami MÚ budovy Generála Tesaříka 19 a Tyršova 108. V těchto lokalitách jsou umístěny technologie TC ORP. Provoz datových center je za</w:t>
      </w:r>
      <w:r w:rsidR="003B24A1">
        <w:t>jišťován vlastními zaměstnanci m</w:t>
      </w:r>
      <w:r w:rsidRPr="00CB36BF">
        <w:t>ěsta ve spolupráci s externími specializovanými firmami.</w:t>
      </w:r>
    </w:p>
    <w:p w:rsidR="0059043A" w:rsidRPr="00CB36BF" w:rsidRDefault="006501F8" w:rsidP="00D27FD7">
      <w:pPr>
        <w:pStyle w:val="Normln-Odstavec"/>
      </w:pPr>
      <w:r w:rsidRPr="00CB36BF">
        <w:t>Projekt bude realizován v těchto lokalitách:</w:t>
      </w:r>
    </w:p>
    <w:p w:rsidR="008E3FAC" w:rsidRPr="00F072BC" w:rsidRDefault="008E3FAC" w:rsidP="008E3FAC">
      <w:pPr>
        <w:pStyle w:val="Normln-Psmeno"/>
      </w:pPr>
      <w:r w:rsidRPr="00F072BC">
        <w:t>Budova radnice: Městský úřad Příbram, Tyršova 108, 261 01 Příbram</w:t>
      </w:r>
    </w:p>
    <w:p w:rsidR="008E3FAC" w:rsidRPr="00F072BC" w:rsidRDefault="008E3FAC" w:rsidP="008E3FAC">
      <w:pPr>
        <w:pStyle w:val="Normln-Psmeno"/>
      </w:pPr>
      <w:r w:rsidRPr="00F072BC">
        <w:t>Budova OSVZ: Městský úřad Příbram, nám. T. G. Masaryka 107, 261 01 Příbram</w:t>
      </w:r>
    </w:p>
    <w:p w:rsidR="008E3FAC" w:rsidRPr="00F072BC" w:rsidRDefault="008E3FAC" w:rsidP="008E3FAC">
      <w:pPr>
        <w:pStyle w:val="Normln-Psmeno"/>
      </w:pPr>
      <w:r w:rsidRPr="00F072BC">
        <w:t>Zámeček: Městský úřad Příbram, Tyršova 106, 261 01 Příbram</w:t>
      </w:r>
    </w:p>
    <w:p w:rsidR="008E3FAC" w:rsidRPr="00F072BC" w:rsidRDefault="008E3FAC" w:rsidP="008E3FAC">
      <w:pPr>
        <w:pStyle w:val="Normln-Psmeno"/>
      </w:pPr>
      <w:r w:rsidRPr="00F072BC">
        <w:t>Stavební úřad a OKRM: Městský úřad Příbram, Na Příkopech 105, 261 01 Příbram</w:t>
      </w:r>
    </w:p>
    <w:p w:rsidR="008E3FAC" w:rsidRPr="00F072BC" w:rsidRDefault="008E3FAC" w:rsidP="008E3FAC">
      <w:pPr>
        <w:pStyle w:val="Normln-Psmeno"/>
      </w:pPr>
      <w:r w:rsidRPr="00F072BC">
        <w:t>Budova Čp. 19: Městský úřad Příbram, Generála Tesaříka 19, 261 01 Příbram</w:t>
      </w:r>
    </w:p>
    <w:p w:rsidR="008E3FAC" w:rsidRPr="00F072BC" w:rsidRDefault="008E3FAC" w:rsidP="008E3FAC">
      <w:pPr>
        <w:pStyle w:val="Normln-Psmeno"/>
      </w:pPr>
      <w:r w:rsidRPr="00F072BC">
        <w:t>OŽP: Městský úřad Příbram, U nemocnice 19B, 261 01 Příbram I</w:t>
      </w:r>
    </w:p>
    <w:p w:rsidR="008E3FAC" w:rsidRPr="00F072BC" w:rsidRDefault="008E3FAC" w:rsidP="008E3FAC">
      <w:pPr>
        <w:pStyle w:val="Normln-Psmeno"/>
      </w:pPr>
      <w:r w:rsidRPr="00F072BC">
        <w:t xml:space="preserve">Centrální spisovna: Městský úřad Příbram, Kpt. </w:t>
      </w:r>
      <w:proofErr w:type="spellStart"/>
      <w:r w:rsidRPr="00F072BC">
        <w:t>Olesinského</w:t>
      </w:r>
      <w:proofErr w:type="spellEnd"/>
      <w:r w:rsidRPr="00F072BC">
        <w:t xml:space="preserve"> 41, 42, 261 01 Příbram</w:t>
      </w:r>
    </w:p>
    <w:p w:rsidR="00F07BC0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stávajícího HW prostředí</w:t>
      </w:r>
    </w:p>
    <w:p w:rsidR="006501F8" w:rsidRPr="00CB36BF" w:rsidRDefault="006501F8" w:rsidP="006501F8">
      <w:pPr>
        <w:pStyle w:val="Normln-Odstavec"/>
        <w:jc w:val="left"/>
      </w:pPr>
      <w:r w:rsidRPr="00CB36BF">
        <w:t>TC je technicky i provozně navrženo, vybudováno a provozováno pro poskytování vysoce dostupnýc</w:t>
      </w:r>
      <w:r w:rsidR="000C700D">
        <w:t>h infrastrukturních ICT služeb m</w:t>
      </w:r>
      <w:r w:rsidRPr="00CB36BF">
        <w:t>ěstu a jeho organizacím.</w:t>
      </w:r>
    </w:p>
    <w:p w:rsidR="006501F8" w:rsidRPr="00CB36BF" w:rsidRDefault="000C700D" w:rsidP="006501F8">
      <w:pPr>
        <w:pStyle w:val="Normln-Odstavec"/>
      </w:pPr>
      <w:r>
        <w:t>Současná ICT infrastruktura m</w:t>
      </w:r>
      <w:r w:rsidR="006501F8" w:rsidRPr="00CB36BF">
        <w:t xml:space="preserve">ěsta je tvořena především </w:t>
      </w:r>
      <w:r w:rsidR="00C65559" w:rsidRPr="00CB36BF">
        <w:t>TC</w:t>
      </w:r>
      <w:r w:rsidR="006501F8" w:rsidRPr="00CB36BF">
        <w:t>, které představuje plně virtualizovanou a vysoce dostupnou serverovou infrastrukturu</w:t>
      </w:r>
      <w:r>
        <w:t xml:space="preserve"> pro provoz systémů a aplikací m</w:t>
      </w:r>
      <w:r w:rsidR="006501F8" w:rsidRPr="00CB36BF">
        <w:t>ěsta</w:t>
      </w:r>
      <w:r w:rsidR="007B47FF" w:rsidRPr="00CB36BF">
        <w:t>.</w:t>
      </w:r>
      <w:r w:rsidR="006501F8" w:rsidRPr="00CB36BF">
        <w:t xml:space="preserve"> </w:t>
      </w:r>
      <w:r w:rsidR="00C65559" w:rsidRPr="00CB36BF">
        <w:t>TC</w:t>
      </w:r>
      <w:r w:rsidR="006501F8" w:rsidRPr="00CB36BF">
        <w:t xml:space="preserve"> </w:t>
      </w:r>
      <w:r w:rsidR="007B47FF" w:rsidRPr="00CB36BF">
        <w:t>je koncepčně a technologicky připravené</w:t>
      </w:r>
      <w:r w:rsidR="006501F8" w:rsidRPr="00CB36BF">
        <w:t xml:space="preserve"> pro </w:t>
      </w:r>
      <w:r w:rsidR="007B47FF" w:rsidRPr="00CB36BF">
        <w:t>další rozši</w:t>
      </w:r>
      <w:r w:rsidR="006501F8" w:rsidRPr="00CB36BF">
        <w:t>řování</w:t>
      </w:r>
      <w:r w:rsidR="007B47FF" w:rsidRPr="00CB36BF">
        <w:t xml:space="preserve">. Rozšiřitelnost byla prakticky ověřena při rozšiřování </w:t>
      </w:r>
      <w:r w:rsidR="00C65559" w:rsidRPr="00CB36BF">
        <w:t>TC</w:t>
      </w:r>
      <w:r w:rsidR="007B47FF" w:rsidRPr="00CB36BF">
        <w:t xml:space="preserve"> o 2 virtualizační uzly </w:t>
      </w:r>
      <w:r w:rsidR="002B32CF">
        <w:t xml:space="preserve">a VDI infrastrukturu </w:t>
      </w:r>
      <w:r w:rsidR="007B47FF" w:rsidRPr="00CB36BF">
        <w:t xml:space="preserve">v uplynulých </w:t>
      </w:r>
      <w:r w:rsidR="002B32CF">
        <w:t>čtyřech</w:t>
      </w:r>
      <w:r w:rsidR="007B47FF" w:rsidRPr="00CB36BF">
        <w:t xml:space="preserve"> letech a bude využita i v tomto projektu.</w:t>
      </w:r>
    </w:p>
    <w:p w:rsidR="006501F8" w:rsidRPr="00CB36BF" w:rsidRDefault="006501F8" w:rsidP="0013119D">
      <w:pPr>
        <w:pStyle w:val="Normln-Odstavec"/>
      </w:pPr>
      <w:r w:rsidRPr="00CB36BF">
        <w:t>Hlavní serve</w:t>
      </w:r>
      <w:r w:rsidR="007B47FF" w:rsidRPr="00CB36BF">
        <w:t>rová infrastruktura je tvořena 5</w:t>
      </w:r>
      <w:r w:rsidRPr="00CB36BF">
        <w:t xml:space="preserve"> ks </w:t>
      </w:r>
      <w:r w:rsidR="00B26D6E" w:rsidRPr="00CB36BF">
        <w:t xml:space="preserve">dvouprocesorových </w:t>
      </w:r>
      <w:r w:rsidRPr="00CB36BF">
        <w:t xml:space="preserve">serverů IBM </w:t>
      </w:r>
      <w:r w:rsidR="007B47FF" w:rsidRPr="00CB36BF">
        <w:t xml:space="preserve">x3550 a </w:t>
      </w:r>
      <w:r w:rsidR="00BE4425" w:rsidRPr="00CB36BF">
        <w:t>x3650</w:t>
      </w:r>
      <w:r w:rsidR="00B26D6E" w:rsidRPr="00CB36BF">
        <w:t xml:space="preserve"> generace M4</w:t>
      </w:r>
      <w:r w:rsidR="007B47FF" w:rsidRPr="00CB36BF">
        <w:t xml:space="preserve">, </w:t>
      </w:r>
      <w:r w:rsidR="002B32CF">
        <w:t>2 ks</w:t>
      </w:r>
      <w:r w:rsidR="00CF2FEB">
        <w:t xml:space="preserve"> </w:t>
      </w:r>
      <w:proofErr w:type="spellStart"/>
      <w:r w:rsidR="00CF2FEB">
        <w:t>dvoprocesorových</w:t>
      </w:r>
      <w:proofErr w:type="spellEnd"/>
      <w:r w:rsidR="00CF2FEB">
        <w:t xml:space="preserve"> serverů HP DL</w:t>
      </w:r>
      <w:r w:rsidR="002B32CF">
        <w:t xml:space="preserve">360 G9, </w:t>
      </w:r>
      <w:r w:rsidR="007B47FF" w:rsidRPr="00CB36BF">
        <w:t>diskovými poli IBM DS5020</w:t>
      </w:r>
      <w:r w:rsidR="003B1FAF">
        <w:t xml:space="preserve">, </w:t>
      </w:r>
      <w:proofErr w:type="spellStart"/>
      <w:r w:rsidR="003B1FAF">
        <w:t>Storwize</w:t>
      </w:r>
      <w:proofErr w:type="spellEnd"/>
      <w:r w:rsidR="003B1FAF">
        <w:t xml:space="preserve"> V3700</w:t>
      </w:r>
      <w:r w:rsidR="007B47FF" w:rsidRPr="00CB36BF">
        <w:t xml:space="preserve"> a IBM</w:t>
      </w:r>
      <w:r w:rsidRPr="00CB36BF">
        <w:t xml:space="preserve"> </w:t>
      </w:r>
      <w:r w:rsidR="00BE4425" w:rsidRPr="00CB36BF">
        <w:t>DS3512</w:t>
      </w:r>
      <w:r w:rsidRPr="00CB36BF">
        <w:t>. SAN infrastruktura je na bázi FC (</w:t>
      </w:r>
      <w:proofErr w:type="spellStart"/>
      <w:r w:rsidRPr="00CB36BF">
        <w:t>Fibre</w:t>
      </w:r>
      <w:proofErr w:type="spellEnd"/>
      <w:r w:rsidRPr="00CB36BF">
        <w:t xml:space="preserve"> </w:t>
      </w:r>
      <w:proofErr w:type="spellStart"/>
      <w:r w:rsidRPr="00CB36BF">
        <w:t>Channel</w:t>
      </w:r>
      <w:proofErr w:type="spellEnd"/>
      <w:r w:rsidRPr="00CB36BF">
        <w:t xml:space="preserve">) 8 </w:t>
      </w:r>
      <w:proofErr w:type="spellStart"/>
      <w:r w:rsidRPr="00CB36BF">
        <w:t>Gbit</w:t>
      </w:r>
      <w:proofErr w:type="spellEnd"/>
      <w:r w:rsidR="0091048F" w:rsidRPr="00CB36BF">
        <w:t xml:space="preserve"> </w:t>
      </w:r>
      <w:r w:rsidR="003B1FAF">
        <w:t xml:space="preserve">s redundantními SAN přepínači </w:t>
      </w:r>
      <w:proofErr w:type="spellStart"/>
      <w:r w:rsidR="003B1FAF">
        <w:t>Brocade</w:t>
      </w:r>
      <w:proofErr w:type="spellEnd"/>
      <w:r w:rsidR="003B1FAF">
        <w:t xml:space="preserve"> 300 </w:t>
      </w:r>
      <w:r w:rsidR="007D33F0">
        <w:t xml:space="preserve">a </w:t>
      </w:r>
      <w:r w:rsidR="007D33F0" w:rsidRPr="00CB36BF">
        <w:t>(</w:t>
      </w:r>
      <w:r w:rsidR="00BE4425" w:rsidRPr="00CB36BF">
        <w:t>DS5020) a SAS 6Gb (DS3512)</w:t>
      </w:r>
      <w:r w:rsidR="0013119D" w:rsidRPr="00CB36BF">
        <w:t>.</w:t>
      </w:r>
      <w:r w:rsidR="00F04C2F" w:rsidRPr="00CB36BF">
        <w:t xml:space="preserve"> DS3512 </w:t>
      </w:r>
      <w:r w:rsidR="0062346F">
        <w:t>ne</w:t>
      </w:r>
      <w:r w:rsidR="00F04C2F" w:rsidRPr="00CB36BF">
        <w:t xml:space="preserve">disponuje FC 8 </w:t>
      </w:r>
      <w:proofErr w:type="spellStart"/>
      <w:r w:rsidR="00F04C2F" w:rsidRPr="00CB36BF">
        <w:t>Gb</w:t>
      </w:r>
      <w:proofErr w:type="spellEnd"/>
      <w:r w:rsidR="0013119D" w:rsidRPr="00CB36BF">
        <w:t xml:space="preserve"> </w:t>
      </w:r>
      <w:r w:rsidR="00F04C2F" w:rsidRPr="00CB36BF">
        <w:t>porty.</w:t>
      </w:r>
    </w:p>
    <w:p w:rsidR="006501F8" w:rsidRPr="00CB36BF" w:rsidRDefault="006501F8" w:rsidP="006501F8">
      <w:pPr>
        <w:pStyle w:val="Normln-Odstavec"/>
      </w:pPr>
      <w:r w:rsidRPr="00CB36BF">
        <w:t xml:space="preserve">Serverová infrastruktura je plně virtualizována technologií </w:t>
      </w:r>
      <w:r w:rsidR="003B1FAF">
        <w:t>Microsoft Hyper-V (</w:t>
      </w:r>
      <w:bookmarkStart w:id="0" w:name="_GoBack"/>
      <w:r w:rsidR="003B1FAF">
        <w:t>Windows</w:t>
      </w:r>
      <w:bookmarkEnd w:id="0"/>
      <w:r w:rsidR="003B1FAF">
        <w:t xml:space="preserve"> 2012 R2) a obsahuje 6</w:t>
      </w:r>
      <w:r w:rsidR="00BE4425" w:rsidRPr="00CB36BF">
        <w:t xml:space="preserve"> virtualizační</w:t>
      </w:r>
      <w:r w:rsidR="003B1FAF">
        <w:t>ch uzlů</w:t>
      </w:r>
      <w:r w:rsidR="00BE4425" w:rsidRPr="00CB36BF">
        <w:t xml:space="preserve">, které tvoří </w:t>
      </w:r>
      <w:r w:rsidR="003B1FAF">
        <w:t xml:space="preserve">2 </w:t>
      </w:r>
      <w:r w:rsidR="00BE4425" w:rsidRPr="00CB36BF">
        <w:t>cluster</w:t>
      </w:r>
      <w:r w:rsidR="003B1FAF">
        <w:t>y, z nichž jeden je vyhrazený pro VDI</w:t>
      </w:r>
      <w:r w:rsidR="00BE4425" w:rsidRPr="00CB36BF">
        <w:t>.</w:t>
      </w:r>
      <w:r w:rsidRPr="00CB36BF">
        <w:t xml:space="preserve"> Jsou využívány pokročilé funkce virtualizační platformy, zejména HA (</w:t>
      </w:r>
      <w:proofErr w:type="spellStart"/>
      <w:r w:rsidRPr="00CB36BF">
        <w:t>high</w:t>
      </w:r>
      <w:proofErr w:type="spellEnd"/>
      <w:r w:rsidRPr="00CB36BF">
        <w:t xml:space="preserve"> </w:t>
      </w:r>
      <w:proofErr w:type="spellStart"/>
      <w:r w:rsidRPr="00CB36BF">
        <w:t>availability</w:t>
      </w:r>
      <w:proofErr w:type="spellEnd"/>
      <w:r w:rsidRPr="00CB36BF">
        <w:t xml:space="preserve">). </w:t>
      </w:r>
      <w:r w:rsidR="00BE4425" w:rsidRPr="00CB36BF">
        <w:t xml:space="preserve">Celé prostředí je spravováno </w:t>
      </w:r>
      <w:r w:rsidR="003B1FAF">
        <w:t>integrovanými nástroji operačních systémů</w:t>
      </w:r>
      <w:r w:rsidR="000A66E0" w:rsidRPr="00CB36BF">
        <w:t>, pro z</w:t>
      </w:r>
      <w:r w:rsidRPr="00CB36BF">
        <w:t xml:space="preserve">álohování je </w:t>
      </w:r>
      <w:r w:rsidR="000A66E0" w:rsidRPr="00CB36BF">
        <w:t xml:space="preserve">využit </w:t>
      </w:r>
      <w:proofErr w:type="spellStart"/>
      <w:r w:rsidR="003B1FAF">
        <w:t>Veeam</w:t>
      </w:r>
      <w:proofErr w:type="spellEnd"/>
      <w:r w:rsidR="003B1FAF">
        <w:t xml:space="preserve"> </w:t>
      </w:r>
      <w:proofErr w:type="spellStart"/>
      <w:r w:rsidR="003B1FAF">
        <w:t>Backup</w:t>
      </w:r>
      <w:proofErr w:type="spellEnd"/>
      <w:r w:rsidR="003B1FAF">
        <w:t xml:space="preserve"> &amp; </w:t>
      </w:r>
      <w:proofErr w:type="spellStart"/>
      <w:r w:rsidR="003B1FAF">
        <w:t>Recovery</w:t>
      </w:r>
      <w:proofErr w:type="spellEnd"/>
      <w:r w:rsidRPr="00CB36BF">
        <w:t xml:space="preserve">, zálohy jsou ukládány na </w:t>
      </w:r>
      <w:r w:rsidR="000A66E0" w:rsidRPr="00CB36BF">
        <w:t>DS3512</w:t>
      </w:r>
      <w:r w:rsidR="00631727">
        <w:t xml:space="preserve"> a síťové </w:t>
      </w:r>
      <w:r w:rsidR="00DA4725">
        <w:t>ú</w:t>
      </w:r>
      <w:r w:rsidR="00631727">
        <w:t xml:space="preserve">ložiště NAS </w:t>
      </w:r>
      <w:proofErr w:type="spellStart"/>
      <w:r w:rsidR="00631727">
        <w:t>Synology</w:t>
      </w:r>
      <w:proofErr w:type="spellEnd"/>
      <w:r w:rsidR="00631727">
        <w:t xml:space="preserve"> DS2015x</w:t>
      </w:r>
      <w:r w:rsidR="00CB5B1B">
        <w:t>s</w:t>
      </w:r>
      <w:r w:rsidR="00631727">
        <w:t>.</w:t>
      </w:r>
    </w:p>
    <w:p w:rsidR="006501F8" w:rsidRPr="00CB36BF" w:rsidRDefault="006501F8" w:rsidP="006501F8">
      <w:pPr>
        <w:pStyle w:val="Normln-Odstavec"/>
      </w:pPr>
      <w:r w:rsidRPr="00CB36BF">
        <w:t xml:space="preserve">Síťová infrastruktura je tvořena převážně přepínači </w:t>
      </w:r>
      <w:r w:rsidR="000A66E0" w:rsidRPr="00CB36BF">
        <w:t xml:space="preserve">Cisco, serverové technologie využívají linky o rychlosti 1 </w:t>
      </w:r>
      <w:proofErr w:type="spellStart"/>
      <w:r w:rsidR="000A66E0" w:rsidRPr="00CB36BF">
        <w:t>Gb</w:t>
      </w:r>
      <w:proofErr w:type="spellEnd"/>
      <w:r w:rsidR="000A66E0" w:rsidRPr="00CB36BF">
        <w:t>, u serverů agregovaných (4x 1Gb), je implementována technologie VLAN.</w:t>
      </w:r>
      <w:r w:rsidRPr="00CB36BF">
        <w:t xml:space="preserve"> </w:t>
      </w:r>
    </w:p>
    <w:p w:rsidR="00FF6B3C" w:rsidRDefault="00FF6B3C" w:rsidP="00FF6B3C">
      <w:pPr>
        <w:pStyle w:val="Normln-Odstavec"/>
      </w:pPr>
      <w:r w:rsidRPr="00AA21CE">
        <w:lastRenderedPageBreak/>
        <w:t>Nepřetržit</w:t>
      </w:r>
      <w:r>
        <w:t xml:space="preserve">é </w:t>
      </w:r>
      <w:r w:rsidR="00631727">
        <w:t>napájení technologií zajišťují dvě</w:t>
      </w:r>
      <w:r w:rsidRPr="00AA21CE">
        <w:t xml:space="preserve"> </w:t>
      </w:r>
      <w:r w:rsidR="007D33F0" w:rsidRPr="00AA21CE">
        <w:t>UPS</w:t>
      </w:r>
      <w:r w:rsidR="007D33F0">
        <w:t xml:space="preserve"> – EATON</w:t>
      </w:r>
      <w:r w:rsidRPr="000F0C7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5130 </w:t>
      </w:r>
      <w:r w:rsidRPr="000F0C70">
        <w:rPr>
          <w:rFonts w:cs="Arial"/>
          <w:color w:val="000000"/>
        </w:rPr>
        <w:t>3kVA</w:t>
      </w:r>
      <w:r>
        <w:rPr>
          <w:rFonts w:cs="Arial"/>
          <w:color w:val="000000"/>
        </w:rPr>
        <w:t xml:space="preserve"> </w:t>
      </w:r>
      <w:r w:rsidR="00631727">
        <w:rPr>
          <w:rFonts w:cs="Arial"/>
          <w:color w:val="000000"/>
        </w:rPr>
        <w:t>s přídavným bateriovým modulem a EATON 5PX 3000i, obě se</w:t>
      </w:r>
      <w:r>
        <w:rPr>
          <w:rFonts w:cs="Arial"/>
          <w:color w:val="000000"/>
        </w:rPr>
        <w:t xml:space="preserve"> síťovým modulem a SW </w:t>
      </w:r>
      <w:proofErr w:type="spellStart"/>
      <w:r w:rsidRPr="00043AA0">
        <w:rPr>
          <w:rFonts w:cs="Arial"/>
          <w:color w:val="000000"/>
        </w:rPr>
        <w:t>Intelligent</w:t>
      </w:r>
      <w:proofErr w:type="spellEnd"/>
      <w:r w:rsidRPr="00043AA0">
        <w:rPr>
          <w:rFonts w:cs="Arial"/>
          <w:color w:val="000000"/>
        </w:rPr>
        <w:t xml:space="preserve"> </w:t>
      </w:r>
      <w:proofErr w:type="spellStart"/>
      <w:r w:rsidRPr="00043AA0">
        <w:rPr>
          <w:rFonts w:cs="Arial"/>
          <w:color w:val="000000"/>
        </w:rPr>
        <w:t>Power</w:t>
      </w:r>
      <w:proofErr w:type="spellEnd"/>
      <w:r w:rsidRPr="00043AA0">
        <w:rPr>
          <w:rFonts w:cs="Arial"/>
          <w:color w:val="000000"/>
        </w:rPr>
        <w:t xml:space="preserve"> </w:t>
      </w:r>
      <w:proofErr w:type="spellStart"/>
      <w:r w:rsidRPr="00043AA0">
        <w:rPr>
          <w:rFonts w:cs="Arial"/>
          <w:color w:val="000000"/>
        </w:rPr>
        <w:t>Protector</w:t>
      </w:r>
      <w:proofErr w:type="spellEnd"/>
      <w:r>
        <w:rPr>
          <w:rFonts w:cs="Arial"/>
          <w:color w:val="000000"/>
        </w:rPr>
        <w:t xml:space="preserve"> pro řízení serverů</w:t>
      </w:r>
      <w:r w:rsidR="00631727">
        <w:t xml:space="preserve">, </w:t>
      </w:r>
      <w:r w:rsidRPr="00AA21CE">
        <w:t>v současné době bez výkonové a kapacitní rezervy.</w:t>
      </w:r>
    </w:p>
    <w:p w:rsidR="00631727" w:rsidRPr="00AA21CE" w:rsidRDefault="00631727" w:rsidP="00FF6B3C">
      <w:pPr>
        <w:pStyle w:val="Normln-Odstavec"/>
      </w:pPr>
      <w:r>
        <w:t xml:space="preserve">Provozní monitoring celého prostředí je prováděn nástrojem </w:t>
      </w:r>
      <w:proofErr w:type="spellStart"/>
      <w:r>
        <w:t>Advanced</w:t>
      </w:r>
      <w:proofErr w:type="spellEnd"/>
      <w:r>
        <w:t xml:space="preserve"> Host Monitor.</w:t>
      </w:r>
    </w:p>
    <w:p w:rsidR="006501F8" w:rsidRPr="00CB36BF" w:rsidRDefault="006501F8" w:rsidP="006501F8">
      <w:pPr>
        <w:pStyle w:val="Normln-Odstavec"/>
      </w:pPr>
      <w:r w:rsidRPr="00CB36BF">
        <w:t>Zabezpečen</w:t>
      </w:r>
      <w:r w:rsidR="000A66E0" w:rsidRPr="00CB36BF">
        <w:t>í přístupu k </w:t>
      </w:r>
      <w:r w:rsidR="007D33F0" w:rsidRPr="00CB36BF">
        <w:t>internetu</w:t>
      </w:r>
      <w:r w:rsidR="000A66E0" w:rsidRPr="00CB36BF">
        <w:t xml:space="preserve"> využívá dvojice </w:t>
      </w:r>
      <w:r w:rsidR="007D33F0">
        <w:t>NGFW (</w:t>
      </w:r>
      <w:proofErr w:type="spellStart"/>
      <w:r w:rsidR="007D33F0">
        <w:t>Next</w:t>
      </w:r>
      <w:proofErr w:type="spellEnd"/>
      <w:r w:rsidR="007D33F0">
        <w:t xml:space="preserve"> </w:t>
      </w:r>
      <w:proofErr w:type="spellStart"/>
      <w:r w:rsidR="007D33F0">
        <w:t>Generation</w:t>
      </w:r>
      <w:proofErr w:type="spellEnd"/>
      <w:r w:rsidR="007D33F0">
        <w:t xml:space="preserve"> F</w:t>
      </w:r>
      <w:r w:rsidR="00631727">
        <w:t xml:space="preserve">irewall) ForiGate-200D, </w:t>
      </w:r>
      <w:r w:rsidR="005E4E77" w:rsidRPr="00CB36BF">
        <w:t xml:space="preserve">zapojených </w:t>
      </w:r>
      <w:r w:rsidR="00631727">
        <w:t>do vysoce dostupného clusteru</w:t>
      </w:r>
      <w:r w:rsidRPr="00CB36BF">
        <w:t>.</w:t>
      </w:r>
    </w:p>
    <w:p w:rsidR="006501F8" w:rsidRPr="00CB36BF" w:rsidRDefault="006501F8" w:rsidP="005E4E77">
      <w:pPr>
        <w:pStyle w:val="Normln-Odstavec"/>
      </w:pPr>
      <w:r w:rsidRPr="00CB36BF">
        <w:t xml:space="preserve">Město má implementovánu adresářovou službu </w:t>
      </w:r>
      <w:proofErr w:type="spellStart"/>
      <w:r w:rsidRPr="00CB36BF">
        <w:t>Active</w:t>
      </w:r>
      <w:proofErr w:type="spellEnd"/>
      <w:r w:rsidRPr="00CB36BF">
        <w:t xml:space="preserve"> </w:t>
      </w:r>
      <w:proofErr w:type="spellStart"/>
      <w:r w:rsidRPr="00CB36BF">
        <w:t>Directory</w:t>
      </w:r>
      <w:proofErr w:type="spellEnd"/>
      <w:r w:rsidRPr="00CB36BF">
        <w:t xml:space="preserve">. Jmenné a adresní síťové služby (DNS a DHCP) jsou využívány nativní ve </w:t>
      </w:r>
      <w:r w:rsidR="005E4E77" w:rsidRPr="00CB36BF">
        <w:t>Windows Server</w:t>
      </w:r>
      <w:r w:rsidRPr="00CB36BF">
        <w:t>.</w:t>
      </w:r>
    </w:p>
    <w:p w:rsidR="0049098C" w:rsidRPr="00CB36BF" w:rsidRDefault="0049098C" w:rsidP="0049098C">
      <w:pPr>
        <w:pStyle w:val="Normln-Odstavec"/>
      </w:pPr>
      <w:r w:rsidRPr="00CB36BF">
        <w:t xml:space="preserve">Pro autentizaci uživatelů jsou využívány tokeny Ikey 4000 a čtečky čipových karet </w:t>
      </w:r>
      <w:proofErr w:type="spellStart"/>
      <w:r w:rsidRPr="00CB36BF">
        <w:t>Omnikey</w:t>
      </w:r>
      <w:proofErr w:type="spellEnd"/>
      <w:r w:rsidRPr="00CB36BF">
        <w:t>.</w:t>
      </w:r>
    </w:p>
    <w:p w:rsidR="00FF6B3C" w:rsidRPr="00EA0024" w:rsidRDefault="00FF6B3C" w:rsidP="00FF6B3C">
      <w:pPr>
        <w:pStyle w:val="Normln-Odstavec"/>
      </w:pPr>
      <w:r w:rsidRPr="00EA0024">
        <w:t>Koncové stanice (počítače) jsou různého stá</w:t>
      </w:r>
      <w:r w:rsidR="00F70A61">
        <w:t>ří (cca. 7-1 let), provozovaným operačním systémem</w:t>
      </w:r>
      <w:r w:rsidRPr="00EA0024">
        <w:t xml:space="preserve"> jsou Windows 8.1. </w:t>
      </w:r>
    </w:p>
    <w:p w:rsidR="00FF6B3C" w:rsidRPr="00AA21CE" w:rsidRDefault="00FF6B3C" w:rsidP="00FF6B3C">
      <w:pPr>
        <w:pStyle w:val="Normln-Odstavec"/>
      </w:pPr>
      <w:r w:rsidRPr="00AA21CE">
        <w:t>Tiskové prostředí je tvořeno lokálními tiskárnami (různé modely</w:t>
      </w:r>
      <w:r>
        <w:t>, převážně HP) - desítky kusů</w:t>
      </w:r>
      <w:r w:rsidRPr="00AA21CE">
        <w:t xml:space="preserve"> a síťovými </w:t>
      </w:r>
      <w:r>
        <w:t xml:space="preserve">(i </w:t>
      </w:r>
      <w:r w:rsidR="00CB5B1B">
        <w:t>multifunkčními</w:t>
      </w:r>
      <w:r>
        <w:t xml:space="preserve">) </w:t>
      </w:r>
      <w:r w:rsidRPr="00AA21CE">
        <w:t>tiskárna</w:t>
      </w:r>
      <w:r>
        <w:t xml:space="preserve"> </w:t>
      </w:r>
      <w:r w:rsidRPr="00AA21CE">
        <w:t xml:space="preserve">mi </w:t>
      </w:r>
      <w:r>
        <w:t xml:space="preserve">(různé modely, převážně Minolta a </w:t>
      </w:r>
      <w:proofErr w:type="spellStart"/>
      <w:r>
        <w:t>Develop</w:t>
      </w:r>
      <w:proofErr w:type="spellEnd"/>
      <w:r>
        <w:t xml:space="preserve">) </w:t>
      </w:r>
      <w:r w:rsidRPr="00AA21CE">
        <w:t xml:space="preserve">– </w:t>
      </w:r>
      <w:r>
        <w:t>cca. 20</w:t>
      </w:r>
      <w:r w:rsidRPr="00AA21CE">
        <w:t xml:space="preserve"> kusů.</w:t>
      </w:r>
    </w:p>
    <w:p w:rsidR="006501F8" w:rsidRPr="00CB36BF" w:rsidRDefault="006501F8" w:rsidP="006501F8">
      <w:pPr>
        <w:pStyle w:val="Normln-Odstavec"/>
      </w:pPr>
      <w:r w:rsidRPr="00CB36BF">
        <w:t xml:space="preserve">Správci systémů jsou vyškoleni na správu provozního prostředí na </w:t>
      </w:r>
      <w:r w:rsidR="005E4E77" w:rsidRPr="00CB36BF">
        <w:t xml:space="preserve">bázi produktů Microsoft </w:t>
      </w:r>
      <w:r w:rsidRPr="00CB36BF">
        <w:t>a používaných síťových technologií.</w:t>
      </w:r>
    </w:p>
    <w:p w:rsidR="00F07BC0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bookmarkStart w:id="1" w:name="_Ref365987645"/>
      <w:r w:rsidRPr="00CB36BF">
        <w:rPr>
          <w:lang w:eastAsia="cs-CZ"/>
        </w:rPr>
        <w:t>Popis stávajícího SW prostředí</w:t>
      </w:r>
      <w:bookmarkEnd w:id="1"/>
    </w:p>
    <w:p w:rsidR="00D46718" w:rsidRPr="00CB36BF" w:rsidRDefault="005E4E77" w:rsidP="00F3705A">
      <w:pPr>
        <w:pStyle w:val="Normln-Odstavec"/>
      </w:pPr>
      <w:r w:rsidRPr="00CB36BF">
        <w:t xml:space="preserve">Systémové služby </w:t>
      </w:r>
      <w:r w:rsidR="00C65559" w:rsidRPr="00CB36BF">
        <w:t>TC</w:t>
      </w:r>
      <w:r w:rsidR="00D46718" w:rsidRPr="00CB36BF">
        <w:t xml:space="preserve"> jsou provozovány na platformě Microsoft, jde zejména o následující systémy:</w:t>
      </w:r>
    </w:p>
    <w:p w:rsidR="00D46718" w:rsidRPr="00CB36BF" w:rsidRDefault="00D46718" w:rsidP="00CB76D4">
      <w:pPr>
        <w:pStyle w:val="Normln-Odstavec"/>
        <w:numPr>
          <w:ilvl w:val="4"/>
          <w:numId w:val="9"/>
        </w:numPr>
        <w:spacing w:after="0"/>
      </w:pPr>
      <w:r w:rsidRPr="00CB36BF">
        <w:t>Microsoft Windows 20</w:t>
      </w:r>
      <w:r w:rsidR="00631727">
        <w:t>12</w:t>
      </w:r>
      <w:r w:rsidRPr="00CB36BF">
        <w:t xml:space="preserve"> R2</w:t>
      </w:r>
    </w:p>
    <w:p w:rsidR="00D46718" w:rsidRPr="00CB36BF" w:rsidRDefault="00D46718" w:rsidP="00CB76D4">
      <w:pPr>
        <w:pStyle w:val="Normln-Odstavec"/>
        <w:numPr>
          <w:ilvl w:val="4"/>
          <w:numId w:val="9"/>
        </w:numPr>
        <w:spacing w:after="0"/>
      </w:pPr>
      <w:r w:rsidRPr="00CB36BF">
        <w:t>Microsoft MS SQL 2008 R2 Standard</w:t>
      </w:r>
    </w:p>
    <w:p w:rsidR="00D46718" w:rsidRPr="00CB36BF" w:rsidRDefault="00D46718" w:rsidP="00CB76D4">
      <w:pPr>
        <w:pStyle w:val="Normln-Odstavec"/>
        <w:numPr>
          <w:ilvl w:val="4"/>
          <w:numId w:val="9"/>
        </w:numPr>
        <w:spacing w:after="0"/>
      </w:pPr>
      <w:r w:rsidRPr="00CB36BF">
        <w:t>Microsoft MS Exchange 2010 Standard</w:t>
      </w:r>
    </w:p>
    <w:p w:rsidR="00D46718" w:rsidRPr="00CB36BF" w:rsidRDefault="00D46718" w:rsidP="00CB76D4">
      <w:pPr>
        <w:pStyle w:val="Normln-Odstavec"/>
        <w:numPr>
          <w:ilvl w:val="4"/>
          <w:numId w:val="9"/>
        </w:numPr>
        <w:spacing w:after="0"/>
      </w:pPr>
      <w:bookmarkStart w:id="2" w:name="_Ref365987716"/>
      <w:r w:rsidRPr="00CB36BF">
        <w:t xml:space="preserve">Microsoft MS SharePoint </w:t>
      </w:r>
      <w:proofErr w:type="spellStart"/>
      <w:r w:rsidR="00C60E7B" w:rsidRPr="00CB36BF">
        <w:t>Foundation</w:t>
      </w:r>
      <w:proofErr w:type="spellEnd"/>
      <w:r w:rsidR="00C60E7B" w:rsidRPr="00CB36BF">
        <w:t xml:space="preserve"> </w:t>
      </w:r>
      <w:r w:rsidRPr="00CB36BF">
        <w:t>2010</w:t>
      </w:r>
      <w:bookmarkEnd w:id="2"/>
    </w:p>
    <w:p w:rsidR="00794830" w:rsidRPr="00CB36BF" w:rsidRDefault="00794830" w:rsidP="00F3705A">
      <w:pPr>
        <w:pStyle w:val="Normln-Odstavec"/>
      </w:pPr>
      <w:r w:rsidRPr="00CB36BF">
        <w:t xml:space="preserve">Primární adresářovou službou je </w:t>
      </w:r>
      <w:proofErr w:type="spellStart"/>
      <w:r w:rsidRPr="00CB36BF">
        <w:t>Active</w:t>
      </w:r>
      <w:proofErr w:type="spellEnd"/>
      <w:r w:rsidRPr="00CB36BF">
        <w:t xml:space="preserve"> </w:t>
      </w:r>
      <w:proofErr w:type="spellStart"/>
      <w:r w:rsidRPr="00CB36BF">
        <w:t>Directory</w:t>
      </w:r>
      <w:proofErr w:type="spellEnd"/>
      <w:r w:rsidRPr="00CB36BF">
        <w:t xml:space="preserve"> provozovaná na redundantních replikovaných řadičích, které zajištují také služby DNS a DHCP.</w:t>
      </w:r>
    </w:p>
    <w:p w:rsidR="00D46718" w:rsidRPr="00CB36BF" w:rsidRDefault="00D46718" w:rsidP="00F3705A">
      <w:pPr>
        <w:pStyle w:val="Normln-Odstavec"/>
      </w:pPr>
      <w:r w:rsidRPr="00CB36BF">
        <w:t xml:space="preserve">Standardním kancelářským balíkem využívaným pro potřeby </w:t>
      </w:r>
      <w:r w:rsidR="00C60E7B" w:rsidRPr="00CB36BF">
        <w:t>Města</w:t>
      </w:r>
      <w:r w:rsidRPr="00CB36BF">
        <w:t xml:space="preserve"> je Microsoft Office, s ohledem na sjednocení uživatelského rozhraní a kompatibilitu dokumentů ve verzi 2007 a vyšší. Standardně jsou využívány aplikace Word, Excel, Outlook a OneNote. </w:t>
      </w:r>
    </w:p>
    <w:p w:rsidR="00794830" w:rsidRPr="00CB36BF" w:rsidRDefault="00794830" w:rsidP="00F3705A">
      <w:pPr>
        <w:pStyle w:val="Normln-Odstavec"/>
      </w:pPr>
      <w:r w:rsidRPr="00CB36BF">
        <w:t>K ukládání sdílených souborů je kromě prostředků Windows serveru</w:t>
      </w:r>
      <w:r w:rsidR="00CB76D4">
        <w:t>,</w:t>
      </w:r>
      <w:r w:rsidR="00AB6223" w:rsidRPr="00CB36BF">
        <w:t xml:space="preserve"> využíván DMS (</w:t>
      </w:r>
      <w:proofErr w:type="spellStart"/>
      <w:r w:rsidR="00AB6223" w:rsidRPr="00CB36BF">
        <w:t>Document</w:t>
      </w:r>
      <w:proofErr w:type="spellEnd"/>
      <w:r w:rsidR="00AB6223" w:rsidRPr="00CB36BF">
        <w:t xml:space="preserve"> Management </w:t>
      </w:r>
      <w:proofErr w:type="spellStart"/>
      <w:r w:rsidR="00AB6223" w:rsidRPr="00CB36BF">
        <w:t>Syste</w:t>
      </w:r>
      <w:r w:rsidR="00C60E7B" w:rsidRPr="00CB36BF">
        <w:t>m</w:t>
      </w:r>
      <w:proofErr w:type="spellEnd"/>
      <w:r w:rsidR="00C60E7B" w:rsidRPr="00CB36BF">
        <w:t xml:space="preserve">) na bázi technologie MS </w:t>
      </w:r>
      <w:proofErr w:type="spellStart"/>
      <w:r w:rsidR="00C60E7B" w:rsidRPr="00CB36BF">
        <w:t>Sharepoint</w:t>
      </w:r>
      <w:proofErr w:type="spellEnd"/>
      <w:r w:rsidR="00C60E7B" w:rsidRPr="00CB36BF">
        <w:t xml:space="preserve">, vybudovaný jako součást </w:t>
      </w:r>
      <w:r w:rsidR="00C65559" w:rsidRPr="00CB36BF">
        <w:t>TC</w:t>
      </w:r>
      <w:r w:rsidR="00B3603C">
        <w:t>, n</w:t>
      </w:r>
      <w:r w:rsidR="00631727">
        <w:t xml:space="preserve">a této platformě je také provozován portál úředníka. </w:t>
      </w:r>
    </w:p>
    <w:p w:rsidR="00794830" w:rsidRPr="00CB36BF" w:rsidRDefault="00794830" w:rsidP="00F3705A">
      <w:pPr>
        <w:pStyle w:val="Normln-Odstavec"/>
      </w:pPr>
      <w:r w:rsidRPr="00CB36BF">
        <w:t xml:space="preserve">Virtualizační platformou </w:t>
      </w:r>
      <w:r w:rsidR="00C65559" w:rsidRPr="00CB36BF">
        <w:t>TC</w:t>
      </w:r>
      <w:r w:rsidRPr="00CB36BF">
        <w:t xml:space="preserve"> je </w:t>
      </w:r>
      <w:r w:rsidR="00C60E7B" w:rsidRPr="00CB36BF">
        <w:t>Microsoft Hyper-V</w:t>
      </w:r>
      <w:r w:rsidR="001D0613" w:rsidRPr="00CB36BF">
        <w:t xml:space="preserve"> </w:t>
      </w:r>
      <w:r w:rsidRPr="00CB36BF">
        <w:t xml:space="preserve">ve verzi </w:t>
      </w:r>
      <w:r w:rsidR="00C60E7B" w:rsidRPr="00CB36BF">
        <w:t>20</w:t>
      </w:r>
      <w:r w:rsidR="00631727">
        <w:t xml:space="preserve">12 </w:t>
      </w:r>
      <w:r w:rsidR="00C60E7B" w:rsidRPr="00CB36BF">
        <w:t>R2</w:t>
      </w:r>
      <w:r w:rsidR="001D0613" w:rsidRPr="00CB36BF">
        <w:t xml:space="preserve">. Jsou implementovány a využívány pokročilé funkce </w:t>
      </w:r>
      <w:r w:rsidR="00C60E7B" w:rsidRPr="00CB36BF">
        <w:t>Hyper-V</w:t>
      </w:r>
      <w:r w:rsidR="001D0613" w:rsidRPr="00CB36BF">
        <w:t xml:space="preserve"> – </w:t>
      </w:r>
      <w:proofErr w:type="spellStart"/>
      <w:r w:rsidR="001D0613" w:rsidRPr="00CB36BF">
        <w:t>High</w:t>
      </w:r>
      <w:proofErr w:type="spellEnd"/>
      <w:r w:rsidR="001D0613" w:rsidRPr="00CB36BF">
        <w:t xml:space="preserve"> </w:t>
      </w:r>
      <w:proofErr w:type="spellStart"/>
      <w:r w:rsidR="001D0613" w:rsidRPr="00CB36BF">
        <w:t>availability</w:t>
      </w:r>
      <w:proofErr w:type="spellEnd"/>
      <w:r w:rsidR="001D0613" w:rsidRPr="00CB36BF">
        <w:t xml:space="preserve">, </w:t>
      </w:r>
      <w:r w:rsidR="00C60E7B" w:rsidRPr="00CB36BF">
        <w:t xml:space="preserve">Live </w:t>
      </w:r>
      <w:proofErr w:type="spellStart"/>
      <w:r w:rsidR="00C60E7B" w:rsidRPr="00CB36BF">
        <w:t>Migration</w:t>
      </w:r>
      <w:proofErr w:type="spellEnd"/>
      <w:r w:rsidR="00C60E7B" w:rsidRPr="00CB36BF">
        <w:t xml:space="preserve">, </w:t>
      </w:r>
      <w:r w:rsidR="001D0613" w:rsidRPr="00CB36BF">
        <w:t xml:space="preserve">virtuální </w:t>
      </w:r>
      <w:proofErr w:type="spellStart"/>
      <w:r w:rsidR="001D0613" w:rsidRPr="00CB36BF">
        <w:t>switche</w:t>
      </w:r>
      <w:proofErr w:type="spellEnd"/>
      <w:r w:rsidR="001D0613" w:rsidRPr="00CB36BF">
        <w:t xml:space="preserve"> apod. </w:t>
      </w:r>
    </w:p>
    <w:p w:rsidR="00F3705A" w:rsidRPr="00D62990" w:rsidRDefault="001009B9" w:rsidP="00555A9E">
      <w:pPr>
        <w:pStyle w:val="Normln-Odstavec"/>
      </w:pPr>
      <w:r w:rsidRPr="00CB36BF">
        <w:t xml:space="preserve">Město využívá jednotný agendový systém na platformě PROXIO </w:t>
      </w:r>
      <w:proofErr w:type="spellStart"/>
      <w:r w:rsidRPr="00CB36BF">
        <w:t>Marbes</w:t>
      </w:r>
      <w:proofErr w:type="spellEnd"/>
      <w:r w:rsidR="00631727">
        <w:t xml:space="preserve"> </w:t>
      </w:r>
      <w:r w:rsidR="00D62990">
        <w:t xml:space="preserve">včetně </w:t>
      </w:r>
      <w:r w:rsidR="00D62990" w:rsidRPr="00CB36BF">
        <w:t>napojení</w:t>
      </w:r>
      <w:r w:rsidR="00631727">
        <w:t xml:space="preserve"> na systém základních registrů </w:t>
      </w:r>
      <w:r w:rsidRPr="00CB36BF">
        <w:t>a má implementován systém EOS (Evidence organizační struktury).</w:t>
      </w:r>
      <w:r w:rsidR="00631727">
        <w:t xml:space="preserve"> Agendový systém pokrývá pouze část agend.</w:t>
      </w:r>
      <w:r w:rsidR="00F3705A">
        <w:t xml:space="preserve"> </w:t>
      </w:r>
      <w:proofErr w:type="spellStart"/>
      <w:r w:rsidR="00F3705A" w:rsidRPr="00555A9E">
        <w:t>MěÚ</w:t>
      </w:r>
      <w:proofErr w:type="spellEnd"/>
      <w:r w:rsidR="00F3705A" w:rsidRPr="00555A9E">
        <w:t xml:space="preserve"> má v současné době základní agendy pokryté dále uvedenými jednotlivými software aplikacemi, které byly pořizovány postupně podle aktuální potřeby.   </w:t>
      </w:r>
      <w:r w:rsidR="00F3705A" w:rsidRPr="00D62990">
        <w:t>Stávající informační systémy úřadu jsou: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>IDM PROXIO-EOS (výrobce MARBES CONSULTING s.r.o., Plzeň)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>Přístup k základním registrům PROXIO XR (výrobce MARBES CONSULTING s.r.o., Plzeň)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 xml:space="preserve">Agendový systém PROXIO-AGENDIO pro centrální správu </w:t>
      </w:r>
      <w:r w:rsidR="007D33F0" w:rsidRPr="00D62990">
        <w:t>závazků /</w:t>
      </w:r>
      <w:r w:rsidRPr="00D62990">
        <w:t xml:space="preserve">smluv a objednávek/, správu příjmů, správu </w:t>
      </w:r>
      <w:r w:rsidR="007D33F0" w:rsidRPr="00D62990">
        <w:t>majetku /</w:t>
      </w:r>
      <w:r w:rsidRPr="00D62990">
        <w:t xml:space="preserve">movitých i nemovitých objektů </w:t>
      </w:r>
      <w:r w:rsidRPr="00D62990">
        <w:lastRenderedPageBreak/>
        <w:t xml:space="preserve">včetně bytového fondu města/, správní řízení v oblasti sociální, v oblasti </w:t>
      </w:r>
      <w:r w:rsidR="00555A9E" w:rsidRPr="00D62990">
        <w:t>přestupků (</w:t>
      </w:r>
      <w:r w:rsidRPr="00D62990">
        <w:t>výrobce MARBES CONSULTING s.r.o., Plzeň)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>Systém registrů a evidencí PROXIO-REGISTRY včetně Matriky a Volební agendy (výrobce MARBES CONSULTING s.r.o., Plzeň)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 xml:space="preserve">Ekonomický subsystém PROXIO-NAV včetně Rozpočtu (výrobce Microsoft </w:t>
      </w:r>
      <w:proofErr w:type="spellStart"/>
      <w:r w:rsidRPr="00D62990">
        <w:t>Corporation</w:t>
      </w:r>
      <w:proofErr w:type="spellEnd"/>
      <w:r w:rsidRPr="00D62990">
        <w:t xml:space="preserve"> Inc., konfigurace MARBES CONSULTING s.r.o., Plzeň)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 xml:space="preserve">Spisová služba e-spis (výrobce ICZ </w:t>
      </w:r>
      <w:r w:rsidR="007D33F0" w:rsidRPr="00D62990">
        <w:t>a.s.</w:t>
      </w:r>
      <w:r w:rsidRPr="00D62990">
        <w:t xml:space="preserve"> Praha)</w:t>
      </w:r>
    </w:p>
    <w:p w:rsidR="00F3705A" w:rsidRPr="00D62990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>Agendový systém pro územní plánování a stavební řízení VITA-STÚ (výrobce VITA software spol. s r.o., Praha)</w:t>
      </w:r>
    </w:p>
    <w:p w:rsidR="00F3705A" w:rsidRDefault="00F3705A" w:rsidP="00DC07C2">
      <w:pPr>
        <w:pStyle w:val="Normln-Odstavec"/>
        <w:numPr>
          <w:ilvl w:val="4"/>
          <w:numId w:val="46"/>
        </w:numPr>
        <w:spacing w:after="0"/>
      </w:pPr>
      <w:r w:rsidRPr="00D62990">
        <w:t>Agendový systém pro správní řízení v oblasti přestupků v dopravě VITA-Přestupky (výrobce VITA software spol. s r.o., Praha)</w:t>
      </w:r>
    </w:p>
    <w:p w:rsidR="00DC07C2" w:rsidRDefault="00DC07C2" w:rsidP="00DC07C2">
      <w:pPr>
        <w:pStyle w:val="Normln-Odstavec"/>
      </w:pPr>
      <w:r w:rsidRPr="008A25F3">
        <w:t xml:space="preserve">Zadavatel </w:t>
      </w:r>
      <w:r>
        <w:t xml:space="preserve">v souladu s § 96 odst. 2 ZZVZ </w:t>
      </w:r>
      <w:r w:rsidRPr="008A25F3">
        <w:t>poskytne</w:t>
      </w:r>
      <w:r>
        <w:t xml:space="preserve"> dodavatelům</w:t>
      </w:r>
      <w:r w:rsidRPr="008A25F3">
        <w:t xml:space="preserve"> </w:t>
      </w:r>
      <w:r>
        <w:t xml:space="preserve">popis API rozhraní informačních systémů podle předchozího odstavce </w:t>
      </w:r>
      <w:r w:rsidRPr="008A25F3">
        <w:t xml:space="preserve">na </w:t>
      </w:r>
      <w:r>
        <w:t>písemnou žádost</w:t>
      </w:r>
      <w:r w:rsidRPr="008A25F3">
        <w:t xml:space="preserve"> a </w:t>
      </w:r>
      <w:r>
        <w:t xml:space="preserve">proti podpisu </w:t>
      </w:r>
      <w:r w:rsidRPr="008A25F3">
        <w:t xml:space="preserve">písemného čestného prohlášení </w:t>
      </w:r>
      <w:r>
        <w:t>dodavatel</w:t>
      </w:r>
      <w:r w:rsidRPr="008A25F3">
        <w:t xml:space="preserve">e, že tento popis využije výhradně pro účely </w:t>
      </w:r>
      <w:r>
        <w:t xml:space="preserve">přípravy </w:t>
      </w:r>
      <w:r w:rsidRPr="008A25F3">
        <w:t xml:space="preserve">své nabídky </w:t>
      </w:r>
      <w:r>
        <w:t>na plnění předmětu</w:t>
      </w:r>
      <w:r w:rsidRPr="008A25F3">
        <w:t xml:space="preserve"> </w:t>
      </w:r>
      <w:r>
        <w:t>této veřejné zakázky</w:t>
      </w:r>
      <w:r w:rsidRPr="008A25F3">
        <w:t xml:space="preserve"> </w:t>
      </w:r>
      <w:r>
        <w:t xml:space="preserve">a </w:t>
      </w:r>
      <w:r w:rsidRPr="008A25F3">
        <w:t xml:space="preserve">s podmínkou, že případné zneužití popisu rozhraní nad rámec uvedeného účelu bude vůči </w:t>
      </w:r>
      <w:r>
        <w:t>dodavatel</w:t>
      </w:r>
      <w:r w:rsidRPr="008A25F3">
        <w:t>i sankcionováno částkou 400 000,- Kč.</w:t>
      </w:r>
    </w:p>
    <w:p w:rsidR="00F07BC0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dokumentace</w:t>
      </w:r>
    </w:p>
    <w:p w:rsidR="0013119D" w:rsidRPr="00CB36BF" w:rsidRDefault="0013119D" w:rsidP="007D33F0">
      <w:pPr>
        <w:pStyle w:val="Normln-Odstavec"/>
      </w:pPr>
      <w:r w:rsidRPr="00CB36BF">
        <w:t xml:space="preserve">K provozování a řízení rozvoje </w:t>
      </w:r>
      <w:r w:rsidR="00C65559" w:rsidRPr="00CB36BF">
        <w:t>TC</w:t>
      </w:r>
      <w:r w:rsidRPr="00CB36BF">
        <w:t xml:space="preserve"> je využívána a udržována Provozní dokumentace. </w:t>
      </w:r>
    </w:p>
    <w:p w:rsidR="0013119D" w:rsidRPr="00CB36BF" w:rsidRDefault="0013119D" w:rsidP="007D33F0">
      <w:pPr>
        <w:pStyle w:val="Normln-Odstavec"/>
      </w:pPr>
      <w:r w:rsidRPr="00CB36BF">
        <w:t>Provozní dokumentace popisuje aktuální nastavení technologií, hardwarových a softwarových systémů TC. Softwarové systémy jsou popsány v rozsahu infrastrukturních služeb (AD, DNS, DHCP apod.), Hyper-V</w:t>
      </w:r>
      <w:r w:rsidR="005649B7">
        <w:t>, Exchange</w:t>
      </w:r>
      <w:r w:rsidRPr="00CB36BF">
        <w:t>.</w:t>
      </w:r>
    </w:p>
    <w:p w:rsidR="0013119D" w:rsidRPr="00CB36BF" w:rsidRDefault="0013119D" w:rsidP="007D33F0">
      <w:pPr>
        <w:pStyle w:val="Normln-Odstavec"/>
      </w:pPr>
      <w:r w:rsidRPr="00CB36BF">
        <w:t>Citlivé údaje (přístupové účty apod.) jsou součástí Bezpečnostní dokumentace a jsou uloženy odděleně od Provozních dokumentací</w:t>
      </w:r>
    </w:p>
    <w:p w:rsidR="0013119D" w:rsidRPr="00CB36BF" w:rsidRDefault="0013119D" w:rsidP="007D33F0">
      <w:pPr>
        <w:pStyle w:val="Normln-Odstavec"/>
      </w:pPr>
      <w:r w:rsidRPr="00CB36BF">
        <w:t>Relevantní části dokumen</w:t>
      </w:r>
      <w:r w:rsidR="00AB6223" w:rsidRPr="00CB36BF">
        <w:t xml:space="preserve">tace budou </w:t>
      </w:r>
      <w:r w:rsidR="00DC07C2">
        <w:t>Dodavatel</w:t>
      </w:r>
      <w:r w:rsidR="00AB6223" w:rsidRPr="00CB36BF">
        <w:t>i zpřístupněny</w:t>
      </w:r>
      <w:r w:rsidRPr="00CB36BF">
        <w:t xml:space="preserve"> až po podpisu Smlouvy o dílo k této zakázce ve formátech MS Office (</w:t>
      </w:r>
      <w:proofErr w:type="spellStart"/>
      <w:r w:rsidRPr="00CB36BF">
        <w:t>xls</w:t>
      </w:r>
      <w:proofErr w:type="spellEnd"/>
      <w:r w:rsidRPr="00CB36BF">
        <w:t>, doc).</w:t>
      </w:r>
    </w:p>
    <w:p w:rsidR="0013119D" w:rsidRPr="00CB36BF" w:rsidRDefault="00DC07C2" w:rsidP="007D33F0">
      <w:pPr>
        <w:pStyle w:val="Normln-Odstavec"/>
      </w:pPr>
      <w:r>
        <w:t>Dodavatel</w:t>
      </w:r>
      <w:r w:rsidR="0013119D" w:rsidRPr="00CB36BF">
        <w:t xml:space="preserve"> je povinen zajistit nezbytné doplnění dokumentace </w:t>
      </w:r>
      <w:r w:rsidR="00C65559" w:rsidRPr="00CB36BF">
        <w:t>TC</w:t>
      </w:r>
      <w:r w:rsidR="0013119D" w:rsidRPr="00CB36BF">
        <w:t xml:space="preserve"> reflektující provedené změny.</w:t>
      </w:r>
    </w:p>
    <w:p w:rsidR="00F07BC0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způsobu řešení incidentů</w:t>
      </w:r>
    </w:p>
    <w:p w:rsidR="00A26E77" w:rsidRPr="00CB36BF" w:rsidRDefault="00A26E77" w:rsidP="00243795">
      <w:pPr>
        <w:pStyle w:val="Normln-Odstavec"/>
        <w:numPr>
          <w:ilvl w:val="3"/>
          <w:numId w:val="2"/>
        </w:numPr>
      </w:pPr>
      <w:r w:rsidRPr="00CB36BF">
        <w:t>Zadavatel pro řešení incidentů a podporu uživatelů využívá vlastní systém „</w:t>
      </w:r>
      <w:proofErr w:type="spellStart"/>
      <w:r w:rsidRPr="00CB36BF">
        <w:t>Úkolovník</w:t>
      </w:r>
      <w:proofErr w:type="spellEnd"/>
      <w:r w:rsidRPr="00CB36BF">
        <w:t>“.</w:t>
      </w:r>
    </w:p>
    <w:p w:rsidR="00A26E77" w:rsidRPr="00CB36BF" w:rsidRDefault="00A26E77" w:rsidP="00243795">
      <w:pPr>
        <w:pStyle w:val="Normln-Odstavec"/>
        <w:numPr>
          <w:ilvl w:val="3"/>
          <w:numId w:val="2"/>
        </w:numPr>
      </w:pPr>
      <w:r w:rsidRPr="00CB36BF">
        <w:t>Zadavatel také zajišťuje podporu 1. úrovně a většinu běžných problémů jsou schopni vyřešit interní pracovníci Zadavatele.</w:t>
      </w:r>
    </w:p>
    <w:p w:rsidR="00A26E77" w:rsidRPr="00CB36BF" w:rsidRDefault="00A26E77" w:rsidP="00243795">
      <w:pPr>
        <w:pStyle w:val="Normln-Odstavec"/>
        <w:numPr>
          <w:ilvl w:val="3"/>
          <w:numId w:val="2"/>
        </w:numPr>
      </w:pPr>
      <w:r w:rsidRPr="00CB36BF">
        <w:t xml:space="preserve">Incidenty a požadavky, které nevyřeší interní specialisté, jsou předávány do </w:t>
      </w:r>
      <w:proofErr w:type="spellStart"/>
      <w:r w:rsidRPr="00CB36BF">
        <w:t>helpdeskových</w:t>
      </w:r>
      <w:proofErr w:type="spellEnd"/>
      <w:r w:rsidRPr="00CB36BF">
        <w:t xml:space="preserve"> systémů dodavatele systému, který vykazuje incident nebo na který směřuje požadavek uživatele. Hlášení incidentů a požadavků je prováděno telefonicky, emailem nebo přímo zadáním ticketu/požadavku do </w:t>
      </w:r>
      <w:proofErr w:type="spellStart"/>
      <w:r w:rsidRPr="00CB36BF">
        <w:t>helpdeskového</w:t>
      </w:r>
      <w:proofErr w:type="spellEnd"/>
      <w:r w:rsidRPr="00CB36BF">
        <w:t xml:space="preserve"> systému dodavatele.</w:t>
      </w:r>
    </w:p>
    <w:p w:rsidR="00F07BC0" w:rsidRPr="00CB36BF" w:rsidRDefault="00F07BC0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Popis servisních oken</w:t>
      </w:r>
    </w:p>
    <w:p w:rsidR="0013119D" w:rsidRPr="00CB36BF" w:rsidRDefault="00C65559" w:rsidP="00243795">
      <w:pPr>
        <w:pStyle w:val="Normln-Odstavec"/>
      </w:pPr>
      <w:r w:rsidRPr="00CB36BF">
        <w:t>TC</w:t>
      </w:r>
      <w:r w:rsidR="0013119D" w:rsidRPr="00CB36BF">
        <w:t xml:space="preserve"> nemá pevně definovaná pravidelná servisní okna. Aplikace aktualizací a oprav virtuálních</w:t>
      </w:r>
      <w:r w:rsidR="000C700D">
        <w:t xml:space="preserve"> serverů provádějí specialisté m</w:t>
      </w:r>
      <w:r w:rsidR="0013119D" w:rsidRPr="00CB36BF">
        <w:t>ěsta dle potřeby a s přihlédnutím k minimalizaci omezení uživatelů.</w:t>
      </w:r>
    </w:p>
    <w:p w:rsidR="0066211E" w:rsidRPr="00CB36BF" w:rsidRDefault="00530341" w:rsidP="00C24C24">
      <w:pPr>
        <w:pStyle w:val="Nadpis2"/>
        <w:jc w:val="left"/>
        <w:rPr>
          <w:lang w:eastAsia="cs-CZ"/>
        </w:rPr>
      </w:pPr>
      <w:r w:rsidRPr="00CB36BF">
        <w:lastRenderedPageBreak/>
        <w:t>P</w:t>
      </w:r>
      <w:r w:rsidR="00ED6E18" w:rsidRPr="00CB36BF">
        <w:rPr>
          <w:lang w:eastAsia="cs-CZ"/>
        </w:rPr>
        <w:t>ovinn</w:t>
      </w:r>
      <w:r w:rsidRPr="00CB36BF">
        <w:rPr>
          <w:lang w:eastAsia="cs-CZ"/>
        </w:rPr>
        <w:t>é</w:t>
      </w:r>
      <w:r w:rsidR="00ED6E18" w:rsidRPr="00CB36BF">
        <w:rPr>
          <w:lang w:eastAsia="cs-CZ"/>
        </w:rPr>
        <w:t xml:space="preserve"> parametr</w:t>
      </w:r>
      <w:r w:rsidRPr="00CB36BF">
        <w:rPr>
          <w:lang w:eastAsia="cs-CZ"/>
        </w:rPr>
        <w:t>y</w:t>
      </w:r>
      <w:r w:rsidR="00ED6E18" w:rsidRPr="00CB36BF">
        <w:rPr>
          <w:lang w:eastAsia="cs-CZ"/>
        </w:rPr>
        <w:t xml:space="preserve"> technického řešení</w:t>
      </w:r>
    </w:p>
    <w:p w:rsidR="00725407" w:rsidRPr="00CB36BF" w:rsidRDefault="00204D4D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Obecné požadavky</w:t>
      </w:r>
      <w:r w:rsidR="00725407" w:rsidRPr="00CB36BF">
        <w:rPr>
          <w:lang w:eastAsia="cs-CZ"/>
        </w:rPr>
        <w:t xml:space="preserve"> </w:t>
      </w:r>
    </w:p>
    <w:p w:rsidR="003B7804" w:rsidRPr="00F52BDE" w:rsidRDefault="0013119D" w:rsidP="0013119D">
      <w:pPr>
        <w:pStyle w:val="Normln-Odstavec"/>
      </w:pPr>
      <w:r w:rsidRPr="00CB36BF">
        <w:t xml:space="preserve">V technickém popisu mohou být uvedeny značky, či přímo názvy </w:t>
      </w:r>
      <w:r w:rsidR="00243795" w:rsidRPr="00CB36BF">
        <w:t>řešení,</w:t>
      </w:r>
      <w:r w:rsidR="000C700D">
        <w:t xml:space="preserve"> a to v případě, že m</w:t>
      </w:r>
      <w:r w:rsidRPr="00CB36BF">
        <w:t xml:space="preserve">ěsto považuje za odůvodněné, že řešení rozšiřuje stávající funkcionalitu, doplňuje funkčně stávající řešení, či požaduje řešení minimálně s vlastnostmi řešení uvedeného a konkrétní popis </w:t>
      </w:r>
      <w:r w:rsidRPr="00F52BDE">
        <w:t xml:space="preserve">by byl nad rámec tohoto dokumentu. </w:t>
      </w:r>
    </w:p>
    <w:p w:rsidR="0013119D" w:rsidRPr="00F52BDE" w:rsidRDefault="003B7804" w:rsidP="0013119D">
      <w:pPr>
        <w:pStyle w:val="Normln-Odstavec"/>
      </w:pPr>
      <w:r w:rsidRPr="00F52BDE">
        <w:t>Technické řešení musí zohledňovat podmín</w:t>
      </w:r>
      <w:r w:rsidR="0013119D" w:rsidRPr="00F52BDE">
        <w:t>k</w:t>
      </w:r>
      <w:r w:rsidRPr="00F52BDE">
        <w:t>y</w:t>
      </w:r>
      <w:r w:rsidR="0013119D" w:rsidRPr="00F52BDE">
        <w:t xml:space="preserve"> </w:t>
      </w:r>
      <w:r w:rsidR="007C081C" w:rsidRPr="00F52BDE">
        <w:t xml:space="preserve">již realizovaných investic zadavatele vč. </w:t>
      </w:r>
      <w:r w:rsidR="0013119D" w:rsidRPr="00F52BDE">
        <w:t>udržitelnosti minulých dotačních proje</w:t>
      </w:r>
      <w:r w:rsidRPr="00F52BDE">
        <w:t>ktů a v jejich souvislostech i povinnost</w:t>
      </w:r>
      <w:r w:rsidR="0013119D" w:rsidRPr="00F52BDE">
        <w:t>i s hospodaření</w:t>
      </w:r>
      <w:r w:rsidRPr="00F52BDE">
        <w:t>m</w:t>
      </w:r>
      <w:r w:rsidR="0013119D" w:rsidRPr="00F52BDE">
        <w:t xml:space="preserve"> s majetkem v těchto projektech </w:t>
      </w:r>
      <w:r w:rsidR="00243795" w:rsidRPr="00F52BDE">
        <w:t>pořízených</w:t>
      </w:r>
      <w:r w:rsidR="0013119D" w:rsidRPr="00F52BDE">
        <w:t xml:space="preserve">. </w:t>
      </w:r>
      <w:r w:rsidR="00726103" w:rsidRPr="00F52BDE">
        <w:t xml:space="preserve">Použití odkazů na konkrétní obchodní značky znamená v rámci této Technické specifikace povinnost respektovat kompatibilitu s takto odkázaným zařízením. </w:t>
      </w:r>
    </w:p>
    <w:p w:rsidR="0091048F" w:rsidRPr="00CB36BF" w:rsidRDefault="0091048F" w:rsidP="0091048F">
      <w:pPr>
        <w:pStyle w:val="Normln-Odstavec"/>
      </w:pPr>
      <w:r w:rsidRPr="00CB36BF">
        <w:t xml:space="preserve">Zadavatel při výstavbě, správě a provozu ICT technologií striktně dodržuje hledisko technologické </w:t>
      </w:r>
      <w:r w:rsidR="00243795" w:rsidRPr="00CB36BF">
        <w:t>neutrálnosti,</w:t>
      </w:r>
      <w:r w:rsidRPr="00CB36BF">
        <w:t xml:space="preserve"> tj. využití technologií takovým způsobem, který neomezuje implementaci technologií různých výrobců – tuto strategii musí splňovat i řešení dodané v rámci této veřejné zakázky.</w:t>
      </w:r>
    </w:p>
    <w:p w:rsidR="0091048F" w:rsidRPr="00CB36BF" w:rsidRDefault="0091048F" w:rsidP="0091048F">
      <w:pPr>
        <w:pStyle w:val="Normln-Odstavec"/>
      </w:pPr>
      <w:r w:rsidRPr="00CB36BF">
        <w:t xml:space="preserve">Pokud </w:t>
      </w:r>
      <w:r w:rsidR="00DC07C2">
        <w:t>dodavatel</w:t>
      </w:r>
      <w:r w:rsidRPr="00CB36BF">
        <w:t xml:space="preserve"> vyžaduje využití konkrétních softwarových produktů a jím zvolený přístup k řešení zadání je na takových konkrétních řešeních závislý, musí jejich pořízení zahrnout ve své nabídce v potřebném rozsahu a v rámci nabídnuté ceny. </w:t>
      </w:r>
    </w:p>
    <w:p w:rsidR="0091048F" w:rsidRPr="00CB36BF" w:rsidRDefault="0091048F" w:rsidP="0091048F">
      <w:pPr>
        <w:pStyle w:val="Normln-Odstavec"/>
      </w:pPr>
      <w:r w:rsidRPr="00CB36BF">
        <w:t xml:space="preserve">Za předpokladu, že </w:t>
      </w:r>
      <w:r w:rsidR="00DC07C2">
        <w:t>dodavatel</w:t>
      </w:r>
      <w:r w:rsidRPr="00CB36BF">
        <w:t xml:space="preserve">em navržené řešení vyžaduje fyzickou infrastrukturu (např. servery, komunikační </w:t>
      </w:r>
      <w:r w:rsidR="00243795" w:rsidRPr="00CB36BF">
        <w:t>prvky</w:t>
      </w:r>
      <w:r w:rsidRPr="00CB36BF">
        <w:t xml:space="preserve"> atd.) neobsaženou v popisu předmětu plnění, zahrne </w:t>
      </w:r>
      <w:r w:rsidR="00DC07C2">
        <w:t>dodavatel</w:t>
      </w:r>
      <w:r w:rsidRPr="00CB36BF">
        <w:t xml:space="preserve"> do své ceny všechny náklady na její pořízení, instalaci, konfiguraci a další služby potřebné pro uvedení do provozu. </w:t>
      </w:r>
    </w:p>
    <w:p w:rsidR="0091048F" w:rsidRDefault="0091048F" w:rsidP="0091048F">
      <w:pPr>
        <w:pStyle w:val="Normln-Odstavec"/>
      </w:pPr>
      <w:r w:rsidRPr="00CB36BF">
        <w:t xml:space="preserve">Pro každý softwarový produkt, který </w:t>
      </w:r>
      <w:r w:rsidR="00DC07C2">
        <w:t>dodavatel</w:t>
      </w:r>
      <w:r w:rsidRPr="00CB36BF">
        <w:t xml:space="preserve"> nabídne v rámci svého řešení, budou v nabídce výslovně uvedeny všechny licenční nebo výkonové požadavky spojené s instalací a provozem řešení, včetně uvedení konkrétní </w:t>
      </w:r>
      <w:r w:rsidR="00243795" w:rsidRPr="00CB36BF">
        <w:t>infrastruktury,</w:t>
      </w:r>
      <w:r w:rsidRPr="00CB36BF">
        <w:t xml:space="preserve"> na které bude řešení provozováno.</w:t>
      </w:r>
    </w:p>
    <w:p w:rsidR="00CC4ABA" w:rsidRPr="00CC4ABA" w:rsidRDefault="00DC07C2" w:rsidP="0091048F">
      <w:pPr>
        <w:pStyle w:val="Normln-Odstavec"/>
        <w:jc w:val="left"/>
      </w:pPr>
      <w:r>
        <w:t>Dodavatel</w:t>
      </w:r>
      <w:r w:rsidR="00CC4ABA" w:rsidRPr="00AA21CE">
        <w:t xml:space="preserve"> ve své nabídce detailně popíše vazby na stávající systémy Zadavatele, které jsou nezbytné pro správné fungování řešení nabízeného </w:t>
      </w:r>
      <w:r>
        <w:t>Dodavatel</w:t>
      </w:r>
      <w:r w:rsidR="00CC4ABA" w:rsidRPr="00AA21CE">
        <w:t>em.</w:t>
      </w:r>
    </w:p>
    <w:p w:rsidR="0091048F" w:rsidRPr="00CB36BF" w:rsidRDefault="0091048F" w:rsidP="0091048F">
      <w:pPr>
        <w:pStyle w:val="Normln-Odstavec"/>
      </w:pPr>
      <w:r w:rsidRPr="00CB36BF">
        <w:t xml:space="preserve">Zadavatel z důvodů co nejjednodušší a jednotné správy a minimalizace provozních nákladů vyžaduje využití stávajících prostředků a používaných technologií. V případě, že </w:t>
      </w:r>
      <w:r w:rsidR="00DC07C2">
        <w:t>dodavatel</w:t>
      </w:r>
      <w:r w:rsidRPr="00CB36BF">
        <w:t xml:space="preserve"> vyžaduje ve svém řešení stejné nebo podobné funkce, jaké poskytují stávající prostředky a technologie, je povinen využít nebo vhodným způsobem rozšířit stávající </w:t>
      </w:r>
      <w:r w:rsidR="00243795" w:rsidRPr="00CB36BF">
        <w:t>prostředky – není</w:t>
      </w:r>
      <w:r w:rsidRPr="00CB36BF">
        <w:t xml:space="preserve"> přípustné implementovat např. další serverovou virtualizační platformu, adresářovou službu apod. </w:t>
      </w:r>
    </w:p>
    <w:p w:rsidR="00FB085C" w:rsidRPr="00CB36BF" w:rsidRDefault="00FB085C" w:rsidP="0091048F">
      <w:pPr>
        <w:pStyle w:val="Normln-Odstavec"/>
        <w:jc w:val="left"/>
      </w:pPr>
      <w:r w:rsidRPr="00CB36BF">
        <w:t>Nabízená řešení nesmí negativně ovlivnit stávající parametry TC.</w:t>
      </w:r>
    </w:p>
    <w:p w:rsidR="00DC07C2" w:rsidRPr="00A20D99" w:rsidRDefault="00DC07C2" w:rsidP="00DC07C2">
      <w:pPr>
        <w:pStyle w:val="Normln-Odstavec"/>
      </w:pPr>
      <w:r w:rsidRPr="00A20D99">
        <w:t>Dodavatel prokáže, že všechny výrobky, které dodá Zadavateli:</w:t>
      </w:r>
    </w:p>
    <w:p w:rsidR="00DC07C2" w:rsidRPr="00A20D99" w:rsidRDefault="00DC07C2" w:rsidP="00DC07C2">
      <w:pPr>
        <w:pStyle w:val="Normln-Psmeno"/>
      </w:pPr>
      <w:r w:rsidRPr="00A20D99">
        <w:t>jsou nové, byly oprávněně uvedeny na trh v EU nebo pochází z autorizovaného prodejního kanálu výrobce,</w:t>
      </w:r>
    </w:p>
    <w:p w:rsidR="00DC07C2" w:rsidRPr="00A20D99" w:rsidRDefault="00DC07C2" w:rsidP="00DC07C2">
      <w:pPr>
        <w:pStyle w:val="Normln-Psmeno"/>
      </w:pPr>
      <w:r w:rsidRPr="00A20D99">
        <w:t>mají plnou záruku od výrobce,</w:t>
      </w:r>
    </w:p>
    <w:p w:rsidR="00DC07C2" w:rsidRPr="00A20D99" w:rsidRDefault="00DC07C2" w:rsidP="00DC07C2">
      <w:pPr>
        <w:pStyle w:val="Normln-Psmeno"/>
      </w:pPr>
      <w:r w:rsidRPr="00A20D99">
        <w:t>mohou být podporovány výrobcem a mohou být součástí servisního a podpůrného programu výrobce,</w:t>
      </w:r>
    </w:p>
    <w:p w:rsidR="00DC07C2" w:rsidRPr="00A20D99" w:rsidRDefault="00DC07C2" w:rsidP="00DC07C2">
      <w:pPr>
        <w:pStyle w:val="Normln-Psmeno"/>
      </w:pPr>
      <w:r w:rsidRPr="00A20D99">
        <w:t>obsahuji licenci na používání příslušného softwaru,</w:t>
      </w:r>
    </w:p>
    <w:p w:rsidR="00DC07C2" w:rsidRDefault="00DC07C2" w:rsidP="00DC07C2">
      <w:pPr>
        <w:pStyle w:val="Normln-Psmeno"/>
      </w:pPr>
      <w:bookmarkStart w:id="3" w:name="_Hlk499132858"/>
      <w:r w:rsidRPr="00A20D99">
        <w:t>jsou určeny pro provoz v České republice</w:t>
      </w:r>
      <w:r>
        <w:t>,</w:t>
      </w:r>
    </w:p>
    <w:p w:rsidR="00DC07C2" w:rsidRPr="00A20D99" w:rsidRDefault="00DC07C2" w:rsidP="00DC07C2">
      <w:pPr>
        <w:pStyle w:val="Normln-Psmeno"/>
      </w:pPr>
      <w:r>
        <w:t>z databází</w:t>
      </w:r>
      <w:r w:rsidRPr="00FD799A">
        <w:t xml:space="preserve"> výrobce</w:t>
      </w:r>
      <w:r>
        <w:t>, distributora či prodejce bude možné výše uvedené skutečnosti doložit</w:t>
      </w:r>
      <w:r w:rsidRPr="00A20D99">
        <w:t>.</w:t>
      </w:r>
    </w:p>
    <w:bookmarkEnd w:id="3"/>
    <w:p w:rsidR="00DC07C2" w:rsidRPr="001D1AF6" w:rsidRDefault="00DC07C2" w:rsidP="00DC07C2">
      <w:pPr>
        <w:pStyle w:val="Normln-Psmeno"/>
        <w:numPr>
          <w:ilvl w:val="0"/>
          <w:numId w:val="0"/>
        </w:numPr>
        <w:ind w:left="284"/>
      </w:pPr>
      <w:r w:rsidRPr="00A20D99">
        <w:lastRenderedPageBreak/>
        <w:t xml:space="preserve">Tyto skutečnosti dodavatel doloží čestným prohlášením distributora, popř. </w:t>
      </w:r>
      <w:r>
        <w:t>dodavatel</w:t>
      </w:r>
      <w:r w:rsidRPr="00A20D99">
        <w:t xml:space="preserve">em samotným, nelze-li prohlášení distributora získat. Zadavatel si vyhrazuje právo na zjištění původu výrobku při jejich převzetí, a to dle příslušných sériových čísel a právo podpisu </w:t>
      </w:r>
      <w:r w:rsidRPr="001D1AF6">
        <w:t>akceptačního protokolu, osvědčujícího převzetí dodávky, až po ověření původu výrobku.</w:t>
      </w:r>
    </w:p>
    <w:p w:rsidR="0091048F" w:rsidRDefault="0091048F" w:rsidP="00EA1E7A">
      <w:pPr>
        <w:pStyle w:val="Normln-Odstavec"/>
        <w:numPr>
          <w:ilvl w:val="0"/>
          <w:numId w:val="0"/>
        </w:numPr>
      </w:pPr>
      <w:r w:rsidRPr="00CB36BF">
        <w:t xml:space="preserve">Tyto skutečnosti dodavatel doloží čestným prohlášením distributora, popř. </w:t>
      </w:r>
      <w:r w:rsidR="00DC07C2">
        <w:t>dodavatel</w:t>
      </w:r>
      <w:r w:rsidRPr="00CB36BF">
        <w:t>em samotným, nelze-li prohlášení distributora získat. Zadavatel si vyhrazuje právo na zjištění původu výrobku při jejich převzetí, a to dle příslušných sériových čísel a právo podpisu akceptačního protokolu, osvědčujícího převzetí dodávky, až po ověření původu výrobku.</w:t>
      </w:r>
    </w:p>
    <w:p w:rsidR="006032DC" w:rsidRPr="00CB36BF" w:rsidRDefault="00AE5BDA" w:rsidP="00AE5BDA">
      <w:pPr>
        <w:pStyle w:val="Normln-Odstavec"/>
      </w:pPr>
      <w:r>
        <w:t>P</w:t>
      </w:r>
      <w:r w:rsidR="000726E6">
        <w:t>ožadavky</w:t>
      </w:r>
      <w:r>
        <w:t xml:space="preserve"> na centralizaci: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0726E6" w:rsidRPr="000726E6" w:rsidTr="00983225">
        <w:tc>
          <w:tcPr>
            <w:tcW w:w="709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sz w:val="20"/>
                <w:szCs w:val="16"/>
              </w:rPr>
              <w:t>Navrhované řešení zajistí sdílení dat informačního systému základních registrů (dále také jako „ISZR“) uvnitř samotného úřadu.</w:t>
            </w:r>
            <w:r w:rsidRPr="000726E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sz w:val="20"/>
                <w:szCs w:val="16"/>
              </w:rPr>
              <w:t>Prostřednictvím propojení datových fondů obsažených v jednotlivých agendách bude dosaženo stabilní a bezpečné datové komunikační infrastruktury uvnitř úřadu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sz w:val="20"/>
                <w:szCs w:val="16"/>
              </w:rPr>
              <w:t>Centralizace agend do integrovaného agendového systému.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sz w:val="20"/>
                <w:szCs w:val="16"/>
              </w:rPr>
              <w:t xml:space="preserve">Centralizace identitního systému pro zautomatizování životního cyklu identit zaměstnanců úřadu. Možnost řízení identit občanů, možnost autentifikace vůči Národnímu bodu pro identifikaci a autentizaci (dále také jako „NIA“) a dalším certifikovaným Identity providerům.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0726E6" w:rsidRDefault="000726E6" w:rsidP="000726E6">
      <w:pPr>
        <w:pStyle w:val="Normln-Odstavec"/>
        <w:numPr>
          <w:ilvl w:val="0"/>
          <w:numId w:val="0"/>
        </w:numPr>
      </w:pPr>
    </w:p>
    <w:p w:rsidR="000726E6" w:rsidRDefault="000726E6" w:rsidP="000726E6">
      <w:pPr>
        <w:pStyle w:val="Nadpis3"/>
        <w:numPr>
          <w:ilvl w:val="2"/>
          <w:numId w:val="2"/>
        </w:numPr>
        <w:jc w:val="left"/>
        <w:rPr>
          <w:lang w:eastAsia="cs-CZ"/>
        </w:rPr>
      </w:pPr>
      <w:r>
        <w:rPr>
          <w:lang w:eastAsia="cs-CZ"/>
        </w:rPr>
        <w:t>Specifické požadavky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0726E6" w:rsidRPr="000726E6" w:rsidTr="00983225">
        <w:tc>
          <w:tcPr>
            <w:tcW w:w="709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0726E6" w:rsidRPr="000726E6" w:rsidRDefault="000726E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0726E6">
              <w:rPr>
                <w:rFonts w:ascii="Times New Roman" w:hAnsi="Times New Roman"/>
                <w:sz w:val="20"/>
              </w:rPr>
              <w:t xml:space="preserve">Identita uživatelů a jejich uživatelská oprávnění budou spravovány centrálně.  Tato centrální správa identit bude realizována prostřednictvím stávající </w:t>
            </w:r>
            <w:r w:rsidR="00EA1E7A" w:rsidRPr="000726E6">
              <w:rPr>
                <w:rFonts w:ascii="Times New Roman" w:hAnsi="Times New Roman"/>
                <w:sz w:val="20"/>
              </w:rPr>
              <w:t>aplikace PROXIO</w:t>
            </w:r>
            <w:r w:rsidRPr="000726E6">
              <w:rPr>
                <w:rFonts w:ascii="Times New Roman" w:hAnsi="Times New Roman"/>
                <w:sz w:val="20"/>
              </w:rPr>
              <w:t>-EOS v integraci s AD.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0726E6">
              <w:rPr>
                <w:rFonts w:ascii="Times New Roman" w:hAnsi="Times New Roman"/>
                <w:sz w:val="20"/>
              </w:rPr>
              <w:t xml:space="preserve">Transakční zpracování dat v databázi na </w:t>
            </w:r>
            <w:r w:rsidR="002846CE">
              <w:rPr>
                <w:rFonts w:ascii="Times New Roman" w:hAnsi="Times New Roman"/>
                <w:sz w:val="20"/>
              </w:rPr>
              <w:t xml:space="preserve">stávající </w:t>
            </w:r>
            <w:r w:rsidRPr="000726E6">
              <w:rPr>
                <w:rFonts w:ascii="Times New Roman" w:hAnsi="Times New Roman"/>
                <w:sz w:val="20"/>
              </w:rPr>
              <w:t>databázové platformě MS SQL.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0726E6">
              <w:rPr>
                <w:rFonts w:ascii="Times New Roman" w:hAnsi="Times New Roman"/>
                <w:sz w:val="20"/>
              </w:rPr>
              <w:t xml:space="preserve">Popsané otevřené aplikační rozhraní pro obousměrnou komunikaci s dalšími aplikacemi IS </w:t>
            </w:r>
            <w:r w:rsidR="00EA1E7A" w:rsidRPr="000726E6">
              <w:rPr>
                <w:rFonts w:ascii="Times New Roman" w:hAnsi="Times New Roman"/>
                <w:sz w:val="20"/>
              </w:rPr>
              <w:t>zadavatele – na</w:t>
            </w:r>
            <w:r w:rsidRPr="000726E6">
              <w:rPr>
                <w:rFonts w:ascii="Times New Roman" w:hAnsi="Times New Roman"/>
                <w:sz w:val="20"/>
              </w:rPr>
              <w:t xml:space="preserve"> bázi Web </w:t>
            </w:r>
            <w:proofErr w:type="spellStart"/>
            <w:r w:rsidRPr="000726E6">
              <w:rPr>
                <w:rFonts w:ascii="Times New Roman" w:hAnsi="Times New Roman"/>
                <w:sz w:val="20"/>
              </w:rPr>
              <w:t>Services</w:t>
            </w:r>
            <w:proofErr w:type="spellEnd"/>
            <w:r w:rsidRPr="000726E6">
              <w:rPr>
                <w:rFonts w:ascii="Times New Roman" w:hAnsi="Times New Roman"/>
                <w:sz w:val="20"/>
              </w:rPr>
              <w:t xml:space="preserve"> (technologie SOAP).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726E6" w:rsidRPr="000726E6" w:rsidTr="00983225">
        <w:tc>
          <w:tcPr>
            <w:tcW w:w="709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26E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726E6" w:rsidRPr="000726E6" w:rsidRDefault="000726E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0726E6">
              <w:rPr>
                <w:rFonts w:ascii="Times New Roman" w:hAnsi="Times New Roman"/>
                <w:sz w:val="20"/>
              </w:rPr>
              <w:t>Možnost vytváření uživatelských přehledů, seskupování, filtrování, součtování vybraných záznamů, export vybraných záznamů ve formátu PDF, XLS, XML, TXT a HTML.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726E6" w:rsidRPr="000726E6" w:rsidRDefault="000726E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0726E6" w:rsidRPr="000726E6" w:rsidRDefault="000726E6" w:rsidP="000726E6">
      <w:pPr>
        <w:rPr>
          <w:lang w:eastAsia="cs-CZ"/>
        </w:rPr>
      </w:pPr>
    </w:p>
    <w:p w:rsidR="00FC79B7" w:rsidRPr="00CB36BF" w:rsidRDefault="00FC79B7" w:rsidP="00FC79B7">
      <w:pPr>
        <w:pStyle w:val="Nadpis3"/>
      </w:pPr>
      <w:r>
        <w:lastRenderedPageBreak/>
        <w:t>Povinné parametry</w:t>
      </w:r>
    </w:p>
    <w:p w:rsidR="00FC79B7" w:rsidRDefault="00FC79B7" w:rsidP="009862B2">
      <w:pPr>
        <w:pStyle w:val="Normln-Odstavec"/>
        <w:numPr>
          <w:ilvl w:val="3"/>
          <w:numId w:val="2"/>
        </w:numPr>
      </w:pPr>
      <w:r w:rsidRPr="00CB36BF">
        <w:t xml:space="preserve">V dále uvedených tabulkách jsou uvedeny minimální povinné parametry dodávaného řešení. </w:t>
      </w:r>
    </w:p>
    <w:p w:rsidR="00FB085C" w:rsidRPr="00CB36BF" w:rsidRDefault="00DC07C2" w:rsidP="009862B2">
      <w:pPr>
        <w:pStyle w:val="Normln-Odstavec"/>
        <w:numPr>
          <w:ilvl w:val="3"/>
          <w:numId w:val="2"/>
        </w:numPr>
      </w:pPr>
      <w:r>
        <w:rPr>
          <w:b/>
        </w:rPr>
        <w:t>Dodavatel</w:t>
      </w:r>
      <w:r w:rsidR="00FB085C" w:rsidRPr="00CB36BF">
        <w:rPr>
          <w:b/>
        </w:rPr>
        <w:t xml:space="preserve"> musí všechny povinné parametry splnit, v případě nesplnění je jeho nabídka vyloučena</w:t>
      </w:r>
      <w:r w:rsidR="00FB085C" w:rsidRPr="00CB36BF">
        <w:t>.</w:t>
      </w:r>
    </w:p>
    <w:p w:rsidR="00435036" w:rsidRPr="00CB36BF" w:rsidRDefault="001B626A" w:rsidP="001B626A">
      <w:pPr>
        <w:pStyle w:val="Normln-Odstavec"/>
      </w:pPr>
      <w:r>
        <w:t>K1 – Sociální</w:t>
      </w:r>
      <w:r w:rsidRPr="001B626A">
        <w:t xml:space="preserve"> agenda /rozšíření stávajícího agendového systému pro sociální oblast/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1B626A" w:rsidRPr="001B626A" w:rsidTr="00983225">
        <w:tc>
          <w:tcPr>
            <w:tcW w:w="709" w:type="dxa"/>
            <w:shd w:val="clear" w:color="auto" w:fill="B8CCE4"/>
          </w:tcPr>
          <w:p w:rsidR="001B626A" w:rsidRPr="001B626A" w:rsidRDefault="001B626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1B626A" w:rsidRPr="001B626A" w:rsidRDefault="001B626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1B626A" w:rsidRPr="001B626A" w:rsidRDefault="001B626A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1B626A" w:rsidRPr="001B626A" w:rsidRDefault="001B626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1B626A" w:rsidRPr="001B626A" w:rsidRDefault="001B626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Agenda </w:t>
            </w:r>
            <w:r w:rsidRPr="001B626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Evidence klientů pro přidělení ubytovací buňky</w:t>
            </w: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v rozsahu evidovaných údajů: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Evidence osobních údajů klienta (</w:t>
            </w:r>
            <w:r w:rsidRPr="001B626A">
              <w:rPr>
                <w:rFonts w:ascii="Times New Roman" w:hAnsi="Times New Roman"/>
                <w:sz w:val="20"/>
              </w:rPr>
              <w:t>jméno, příjmení, datum narození/RČ</w:t>
            </w:r>
            <w:r w:rsidR="003A68E3" w:rsidRPr="001B626A">
              <w:rPr>
                <w:rFonts w:ascii="Times New Roman" w:hAnsi="Times New Roman"/>
                <w:sz w:val="20"/>
              </w:rPr>
              <w:t>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Generátor čísla klienta,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Zaměstnání </w:t>
            </w:r>
            <w:r w:rsidR="00BA73B6">
              <w:rPr>
                <w:rFonts w:ascii="Times New Roman" w:hAnsi="Times New Roman"/>
                <w:sz w:val="20"/>
              </w:rPr>
              <w:t xml:space="preserve">nebo evidence na Úřadu práce </w:t>
            </w:r>
            <w:r w:rsidRPr="001B626A">
              <w:rPr>
                <w:rFonts w:ascii="Times New Roman" w:hAnsi="Times New Roman"/>
                <w:sz w:val="20"/>
              </w:rPr>
              <w:t>(minulá</w:t>
            </w:r>
            <w:r w:rsidR="00BA73B6">
              <w:rPr>
                <w:rFonts w:ascii="Times New Roman" w:hAnsi="Times New Roman"/>
                <w:sz w:val="20"/>
              </w:rPr>
              <w:t xml:space="preserve"> a</w:t>
            </w:r>
            <w:r w:rsidRPr="001B626A">
              <w:rPr>
                <w:rFonts w:ascii="Times New Roman" w:hAnsi="Times New Roman"/>
                <w:sz w:val="20"/>
              </w:rPr>
              <w:t xml:space="preserve"> aktuální)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Finanční situace (příjmy, dávky), </w:t>
            </w:r>
            <w:r w:rsidR="00BA73B6">
              <w:rPr>
                <w:rFonts w:ascii="Times New Roman" w:hAnsi="Times New Roman"/>
                <w:sz w:val="20"/>
              </w:rPr>
              <w:t xml:space="preserve">způsob </w:t>
            </w:r>
            <w:r w:rsidRPr="001B626A">
              <w:rPr>
                <w:rFonts w:ascii="Times New Roman" w:hAnsi="Times New Roman"/>
                <w:sz w:val="20"/>
              </w:rPr>
              <w:t>úhrad</w:t>
            </w:r>
            <w:r w:rsidR="00BA73B6">
              <w:rPr>
                <w:rFonts w:ascii="Times New Roman" w:hAnsi="Times New Roman"/>
                <w:sz w:val="20"/>
              </w:rPr>
              <w:t>y</w:t>
            </w:r>
            <w:r w:rsidRPr="001B626A">
              <w:rPr>
                <w:rFonts w:ascii="Times New Roman" w:hAnsi="Times New Roman"/>
                <w:sz w:val="20"/>
              </w:rPr>
              <w:t xml:space="preserve"> </w:t>
            </w:r>
            <w:r w:rsidR="00BA73B6">
              <w:rPr>
                <w:rFonts w:ascii="Times New Roman" w:hAnsi="Times New Roman"/>
                <w:sz w:val="20"/>
              </w:rPr>
              <w:t>pronájmu</w:t>
            </w:r>
            <w:r w:rsidRPr="001B626A">
              <w:rPr>
                <w:rFonts w:ascii="Times New Roman" w:hAnsi="Times New Roman"/>
                <w:sz w:val="20"/>
              </w:rPr>
              <w:t xml:space="preserve"> buňky (</w:t>
            </w:r>
            <w:r w:rsidR="00BA73B6">
              <w:rPr>
                <w:rFonts w:ascii="Times New Roman" w:hAnsi="Times New Roman"/>
                <w:sz w:val="20"/>
              </w:rPr>
              <w:t xml:space="preserve">1) </w:t>
            </w:r>
            <w:r w:rsidRPr="001B626A">
              <w:rPr>
                <w:rFonts w:ascii="Times New Roman" w:hAnsi="Times New Roman"/>
                <w:sz w:val="20"/>
              </w:rPr>
              <w:t xml:space="preserve">Dávky </w:t>
            </w:r>
            <w:r w:rsidR="00BD1D1B">
              <w:rPr>
                <w:rFonts w:ascii="Times New Roman" w:hAnsi="Times New Roman"/>
                <w:sz w:val="20"/>
              </w:rPr>
              <w:t>hmotné nouze</w:t>
            </w:r>
            <w:r w:rsidRPr="001B626A">
              <w:rPr>
                <w:rFonts w:ascii="Times New Roman" w:hAnsi="Times New Roman"/>
                <w:sz w:val="20"/>
              </w:rPr>
              <w:t xml:space="preserve">, </w:t>
            </w:r>
            <w:r w:rsidR="00BA73B6">
              <w:rPr>
                <w:rFonts w:ascii="Times New Roman" w:hAnsi="Times New Roman"/>
                <w:sz w:val="20"/>
              </w:rPr>
              <w:t xml:space="preserve">2) </w:t>
            </w:r>
            <w:r w:rsidRPr="001B626A">
              <w:rPr>
                <w:rFonts w:ascii="Times New Roman" w:hAnsi="Times New Roman"/>
                <w:sz w:val="20"/>
              </w:rPr>
              <w:t>zaměstnání</w:t>
            </w:r>
            <w:r w:rsidR="00BA73B6">
              <w:rPr>
                <w:rFonts w:ascii="Times New Roman" w:hAnsi="Times New Roman"/>
                <w:sz w:val="20"/>
              </w:rPr>
              <w:t xml:space="preserve"> nebo jiný zdroj příjmu</w:t>
            </w:r>
            <w:r w:rsidRPr="001B626A">
              <w:rPr>
                <w:rFonts w:ascii="Times New Roman" w:hAnsi="Times New Roman"/>
                <w:sz w:val="20"/>
              </w:rPr>
              <w:t>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Zadluženost – komu/za co, v jaké výši, splaceno – kdy, potvrzení doloženo </w:t>
            </w:r>
            <w:proofErr w:type="spellStart"/>
            <w:r w:rsidRPr="001B626A">
              <w:rPr>
                <w:rFonts w:ascii="Times New Roman" w:hAnsi="Times New Roman"/>
                <w:sz w:val="20"/>
              </w:rPr>
              <w:t>MěÚ</w:t>
            </w:r>
            <w:proofErr w:type="spellEnd"/>
            <w:r w:rsidRPr="001B626A">
              <w:rPr>
                <w:rFonts w:ascii="Times New Roman" w:hAnsi="Times New Roman"/>
                <w:sz w:val="20"/>
              </w:rPr>
              <w:t xml:space="preserve">. 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Typ stávajícího bydlení – I, II, III stupeň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Datum zaevidování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Sociální patologie v rodině (závislosti, násilí, </w:t>
            </w:r>
            <w:r w:rsidR="00BD1D1B">
              <w:rPr>
                <w:rFonts w:ascii="Times New Roman" w:hAnsi="Times New Roman"/>
                <w:sz w:val="20"/>
              </w:rPr>
              <w:t>výkon trestu odnětí svobody</w:t>
            </w:r>
            <w:r w:rsidR="00766532">
              <w:rPr>
                <w:rFonts w:ascii="Times New Roman" w:hAnsi="Times New Roman"/>
                <w:sz w:val="20"/>
              </w:rPr>
              <w:t xml:space="preserve"> – dále také jako „VTOS“</w:t>
            </w:r>
            <w:r w:rsidRPr="001B626A">
              <w:rPr>
                <w:rFonts w:ascii="Times New Roman" w:hAnsi="Times New Roman"/>
                <w:sz w:val="20"/>
              </w:rPr>
              <w:t>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Projednáno s vedoucími </w:t>
            </w:r>
            <w:r w:rsidR="00BE467B">
              <w:rPr>
                <w:rFonts w:ascii="Times New Roman" w:hAnsi="Times New Roman"/>
                <w:sz w:val="20"/>
              </w:rPr>
              <w:t xml:space="preserve">a návrh na přidělení buňky </w:t>
            </w:r>
            <w:r w:rsidRPr="001B626A">
              <w:rPr>
                <w:rFonts w:ascii="Times New Roman" w:hAnsi="Times New Roman"/>
                <w:sz w:val="20"/>
              </w:rPr>
              <w:t>– dne, schváleno</w:t>
            </w:r>
            <w:r w:rsidRPr="001B626A">
              <w:rPr>
                <w:rFonts w:ascii="Times New Roman" w:hAnsi="Times New Roman"/>
                <w:sz w:val="20"/>
                <w:lang w:val="en-US"/>
              </w:rPr>
              <w:t>/</w:t>
            </w:r>
            <w:r w:rsidRPr="001B626A">
              <w:rPr>
                <w:rFonts w:ascii="Times New Roman" w:hAnsi="Times New Roman"/>
                <w:sz w:val="20"/>
              </w:rPr>
              <w:t>neschváleno, odůvodnění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Datum uzavření smlouvy</w:t>
            </w:r>
            <w:r w:rsidR="000F3770">
              <w:rPr>
                <w:rFonts w:ascii="Times New Roman" w:hAnsi="Times New Roman"/>
                <w:sz w:val="20"/>
              </w:rPr>
              <w:t xml:space="preserve"> o ubytování</w:t>
            </w:r>
          </w:p>
          <w:p w:rsidR="001B626A" w:rsidRPr="001B626A" w:rsidRDefault="001B626A" w:rsidP="003A68E3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Datum ukončení smlouvy </w:t>
            </w:r>
            <w:r w:rsidR="00BA73B6">
              <w:rPr>
                <w:rFonts w:ascii="Times New Roman" w:hAnsi="Times New Roman"/>
                <w:sz w:val="20"/>
              </w:rPr>
              <w:t xml:space="preserve">o ubytování </w:t>
            </w:r>
            <w:r w:rsidRPr="001B626A">
              <w:rPr>
                <w:rFonts w:ascii="Times New Roman" w:hAnsi="Times New Roman"/>
                <w:sz w:val="20"/>
              </w:rPr>
              <w:t>+ důvod ukončení</w:t>
            </w:r>
            <w:r w:rsidR="00BA73B6">
              <w:rPr>
                <w:rFonts w:ascii="Times New Roman" w:hAnsi="Times New Roman"/>
                <w:sz w:val="20"/>
              </w:rPr>
              <w:t xml:space="preserve"> 1) uplynutí stanovené max. lhůty, 2) porušení pravidel, 3) nalezení jiné formy bydlení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Evidence jednotlivých ubytovacích buněk včetně stavu </w:t>
            </w:r>
            <w:r w:rsidR="00BA73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(ne)obsazenosti </w:t>
            </w: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buňky.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Doplnění evidovaných informací do šablon dokumentů:</w:t>
            </w:r>
          </w:p>
          <w:p w:rsidR="00BA73B6" w:rsidRDefault="00BA73B6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Žádost o přidělení buňky</w:t>
            </w:r>
          </w:p>
          <w:p w:rsidR="00BE467B" w:rsidRDefault="00BE467B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na přidělení buňky</w:t>
            </w:r>
          </w:p>
          <w:p w:rsid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Výzva k uzavření nájemní smlouvy </w:t>
            </w:r>
            <w:r w:rsidR="000C700D">
              <w:rPr>
                <w:rFonts w:ascii="Times New Roman" w:hAnsi="Times New Roman"/>
                <w:sz w:val="20"/>
              </w:rPr>
              <w:t>pro Městskou realitní kancelář m</w:t>
            </w:r>
            <w:r w:rsidRPr="001B626A">
              <w:rPr>
                <w:rFonts w:ascii="Times New Roman" w:hAnsi="Times New Roman"/>
                <w:sz w:val="20"/>
              </w:rPr>
              <w:t>ěsta Příbram (dále také jako „</w:t>
            </w:r>
            <w:proofErr w:type="spellStart"/>
            <w:r w:rsidRPr="001B626A">
              <w:rPr>
                <w:rFonts w:ascii="Times New Roman" w:hAnsi="Times New Roman"/>
                <w:sz w:val="20"/>
              </w:rPr>
              <w:t>MěRK</w:t>
            </w:r>
            <w:proofErr w:type="spellEnd"/>
            <w:r w:rsidRPr="001B626A">
              <w:rPr>
                <w:rFonts w:ascii="Times New Roman" w:hAnsi="Times New Roman"/>
                <w:sz w:val="20"/>
              </w:rPr>
              <w:t>“)</w:t>
            </w:r>
            <w:r w:rsidR="00BA73B6">
              <w:rPr>
                <w:rFonts w:ascii="Times New Roman" w:hAnsi="Times New Roman"/>
                <w:sz w:val="20"/>
              </w:rPr>
              <w:t xml:space="preserve"> </w:t>
            </w:r>
          </w:p>
          <w:p w:rsidR="00BE467B" w:rsidRPr="001B626A" w:rsidRDefault="00BE467B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Program sociální práce </w:t>
            </w:r>
          </w:p>
          <w:p w:rsidR="00BE467B" w:rsidRPr="003A68E3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Protokol</w:t>
            </w:r>
            <w:r w:rsidR="00BE467B">
              <w:rPr>
                <w:rFonts w:ascii="Times New Roman" w:hAnsi="Times New Roman"/>
                <w:sz w:val="20"/>
              </w:rPr>
              <w:t xml:space="preserve"> </w:t>
            </w:r>
          </w:p>
          <w:p w:rsidR="001B626A" w:rsidRPr="003A68E3" w:rsidRDefault="00BE467B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Sdělení </w:t>
            </w:r>
            <w:proofErr w:type="spellStart"/>
            <w:r>
              <w:rPr>
                <w:rFonts w:ascii="Times New Roman" w:hAnsi="Times New Roman"/>
                <w:sz w:val="20"/>
              </w:rPr>
              <w:t>MěRK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(změna úhrady pronájmu)</w:t>
            </w:r>
          </w:p>
          <w:p w:rsidR="00BE467B" w:rsidRPr="001B626A" w:rsidRDefault="00BE467B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Výzva k ukončení pronájmu </w:t>
            </w:r>
            <w:proofErr w:type="spellStart"/>
            <w:r>
              <w:rPr>
                <w:rFonts w:ascii="Times New Roman" w:hAnsi="Times New Roman"/>
                <w:sz w:val="20"/>
              </w:rPr>
              <w:t>MěRK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Agenda </w:t>
            </w:r>
            <w:r w:rsidRPr="001B626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Sociálních bytů</w:t>
            </w: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– evidence žadatelů o </w:t>
            </w: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sociální bydlení v rozsahu evidovaných údajů: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Evidence osobních údajů klienta (jméno, příjmení, datum narození/RČ)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Generátor čísla žádosti,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Počet osob v domácnosti (včetně nezletilých dětí, handicapovaných, seniorů)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Zaměstnání </w:t>
            </w:r>
            <w:r w:rsidR="00BE467B">
              <w:rPr>
                <w:rFonts w:ascii="Times New Roman" w:hAnsi="Times New Roman"/>
                <w:sz w:val="20"/>
              </w:rPr>
              <w:t xml:space="preserve">a evidence na Úřadu práce </w:t>
            </w:r>
            <w:r w:rsidRPr="001B626A">
              <w:rPr>
                <w:rFonts w:ascii="Times New Roman" w:hAnsi="Times New Roman"/>
                <w:sz w:val="20"/>
              </w:rPr>
              <w:t>(minulá, i aktuální)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Finanční situace (příjmy, dávky), datum doložení, 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Zadluženost – komu/za co, výše v Kč, splaceno – datum, potvrzení doloženo </w:t>
            </w:r>
            <w:proofErr w:type="spellStart"/>
            <w:r w:rsidRPr="001B626A">
              <w:rPr>
                <w:rFonts w:ascii="Times New Roman" w:hAnsi="Times New Roman"/>
                <w:sz w:val="20"/>
              </w:rPr>
              <w:t>MěÚ</w:t>
            </w:r>
            <w:proofErr w:type="spellEnd"/>
            <w:r w:rsidRPr="001B626A">
              <w:rPr>
                <w:rFonts w:ascii="Times New Roman" w:hAnsi="Times New Roman"/>
                <w:sz w:val="20"/>
              </w:rPr>
              <w:t xml:space="preserve">. 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Typ stávajícího bydlení – I, II, III stupeň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Datum zaevidování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Stanoviska </w:t>
            </w:r>
            <w:r w:rsidR="00503293">
              <w:rPr>
                <w:rFonts w:ascii="Times New Roman" w:hAnsi="Times New Roman"/>
                <w:sz w:val="20"/>
              </w:rPr>
              <w:t>OSVZ/</w:t>
            </w:r>
            <w:r w:rsidRPr="001B626A">
              <w:rPr>
                <w:rFonts w:ascii="Times New Roman" w:hAnsi="Times New Roman"/>
                <w:sz w:val="20"/>
              </w:rPr>
              <w:t>OSPOD, Ú</w:t>
            </w:r>
            <w:r w:rsidR="00BD1D1B">
              <w:rPr>
                <w:rFonts w:ascii="Times New Roman" w:hAnsi="Times New Roman"/>
                <w:sz w:val="20"/>
              </w:rPr>
              <w:t xml:space="preserve">řad </w:t>
            </w:r>
            <w:r w:rsidR="003A68E3">
              <w:rPr>
                <w:rFonts w:ascii="Times New Roman" w:hAnsi="Times New Roman"/>
                <w:sz w:val="20"/>
              </w:rPr>
              <w:t>práce</w:t>
            </w:r>
            <w:r w:rsidR="003A68E3" w:rsidRPr="001B626A">
              <w:rPr>
                <w:rFonts w:ascii="Times New Roman" w:hAnsi="Times New Roman"/>
                <w:sz w:val="20"/>
              </w:rPr>
              <w:t xml:space="preserve">, </w:t>
            </w:r>
            <w:r w:rsidR="003A68E3">
              <w:rPr>
                <w:rFonts w:ascii="Times New Roman" w:hAnsi="Times New Roman"/>
                <w:sz w:val="20"/>
              </w:rPr>
              <w:t>sociální</w:t>
            </w:r>
            <w:r w:rsidR="00BD1D1B" w:rsidRPr="00766532">
              <w:rPr>
                <w:rFonts w:ascii="Times New Roman" w:hAnsi="Times New Roman"/>
                <w:sz w:val="20"/>
              </w:rPr>
              <w:t xml:space="preserve"> služby</w:t>
            </w:r>
            <w:r w:rsidR="00BE467B">
              <w:rPr>
                <w:rFonts w:ascii="Times New Roman" w:hAnsi="Times New Roman"/>
                <w:sz w:val="20"/>
              </w:rPr>
              <w:t>, R</w:t>
            </w:r>
            <w:r w:rsidR="00503293">
              <w:rPr>
                <w:rFonts w:ascii="Times New Roman" w:hAnsi="Times New Roman"/>
                <w:sz w:val="20"/>
              </w:rPr>
              <w:t>ealitní kanceláře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Datum uzavření smlouvy s </w:t>
            </w:r>
            <w:r w:rsidR="00503293">
              <w:rPr>
                <w:rFonts w:ascii="Times New Roman" w:hAnsi="Times New Roman"/>
                <w:sz w:val="20"/>
              </w:rPr>
              <w:t>poskytovatelem sociální služ</w:t>
            </w:r>
            <w:r w:rsidRPr="001B626A">
              <w:rPr>
                <w:rFonts w:ascii="Times New Roman" w:hAnsi="Times New Roman"/>
                <w:sz w:val="20"/>
              </w:rPr>
              <w:t>by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Sociální patologie v rodině (závislosti, násilí, VTOS)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Požadavky na byt – velikost, lokalita, </w:t>
            </w:r>
            <w:r w:rsidR="009E7761" w:rsidRPr="001B626A">
              <w:rPr>
                <w:rFonts w:ascii="Times New Roman" w:hAnsi="Times New Roman"/>
                <w:sz w:val="20"/>
              </w:rPr>
              <w:t>bezbariérovost</w:t>
            </w:r>
            <w:r w:rsidRPr="001B626A">
              <w:rPr>
                <w:rFonts w:ascii="Times New Roman" w:hAnsi="Times New Roman"/>
                <w:sz w:val="20"/>
              </w:rPr>
              <w:t xml:space="preserve"> atp.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Projednán</w:t>
            </w:r>
            <w:r w:rsidR="00503293">
              <w:rPr>
                <w:rFonts w:ascii="Times New Roman" w:hAnsi="Times New Roman"/>
                <w:sz w:val="20"/>
              </w:rPr>
              <w:t>o</w:t>
            </w:r>
            <w:r w:rsidRPr="001B626A">
              <w:rPr>
                <w:rFonts w:ascii="Times New Roman" w:hAnsi="Times New Roman"/>
                <w:sz w:val="20"/>
              </w:rPr>
              <w:t xml:space="preserve"> v</w:t>
            </w:r>
            <w:r w:rsidR="00503293">
              <w:rPr>
                <w:rFonts w:ascii="Times New Roman" w:hAnsi="Times New Roman"/>
                <w:sz w:val="20"/>
              </w:rPr>
              <w:t xml:space="preserve"> odborné 1) platformě, 2) odborné </w:t>
            </w:r>
            <w:r w:rsidR="003A68E3">
              <w:rPr>
                <w:rFonts w:ascii="Times New Roman" w:hAnsi="Times New Roman"/>
                <w:sz w:val="20"/>
              </w:rPr>
              <w:t>k</w:t>
            </w:r>
            <w:r w:rsidR="003A68E3" w:rsidRPr="001B626A">
              <w:rPr>
                <w:rFonts w:ascii="Times New Roman" w:hAnsi="Times New Roman"/>
                <w:sz w:val="20"/>
              </w:rPr>
              <w:t>omisi –</w:t>
            </w:r>
            <w:r w:rsidRPr="001B626A">
              <w:rPr>
                <w:rFonts w:ascii="Times New Roman" w:hAnsi="Times New Roman"/>
                <w:sz w:val="20"/>
              </w:rPr>
              <w:t xml:space="preserve"> datum projednání, doporučeno X nedoporučeno, odůvodnění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Projednán</w:t>
            </w:r>
            <w:r w:rsidR="00503293">
              <w:rPr>
                <w:rFonts w:ascii="Times New Roman" w:hAnsi="Times New Roman"/>
                <w:sz w:val="20"/>
              </w:rPr>
              <w:t>o</w:t>
            </w:r>
            <w:r w:rsidRPr="001B626A">
              <w:rPr>
                <w:rFonts w:ascii="Times New Roman" w:hAnsi="Times New Roman"/>
                <w:sz w:val="20"/>
              </w:rPr>
              <w:t xml:space="preserve"> v RM – datum projednání, schváleno X neschváleno, odůvodnění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Datum uzavření nájemní smlouvy, Datum ukončení nájemní smlouvy</w:t>
            </w:r>
            <w:r w:rsidR="00503293">
              <w:rPr>
                <w:rFonts w:ascii="Times New Roman" w:hAnsi="Times New Roman"/>
                <w:sz w:val="20"/>
              </w:rPr>
              <w:t xml:space="preserve"> 1) uplynutí stanovené max. lhůty, 2) porušení pravidel, 3) nalezení jiné formy bydlení</w:t>
            </w:r>
          </w:p>
          <w:p w:rsidR="001B626A" w:rsidRPr="001B626A" w:rsidRDefault="001B626A" w:rsidP="003A68E3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Evidence úkonu kontroly </w:t>
            </w:r>
            <w:r w:rsidR="00503293">
              <w:rPr>
                <w:rFonts w:ascii="Times New Roman" w:hAnsi="Times New Roman"/>
                <w:sz w:val="20"/>
              </w:rPr>
              <w:t>plnění pravidel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Doplnění evidovaných informací do šablon dokumentů:</w:t>
            </w:r>
          </w:p>
          <w:p w:rsidR="00BE64C2" w:rsidRDefault="00BE64C2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Seznámení s pravidly přidělení a užívání sociálního bytu (SB)</w:t>
            </w:r>
          </w:p>
          <w:p w:rsid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Dotazník pro přidělení SB</w:t>
            </w:r>
          </w:p>
          <w:p w:rsidR="00BE64C2" w:rsidRDefault="00BE64C2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Program sociální práce</w:t>
            </w:r>
          </w:p>
          <w:p w:rsidR="00BE64C2" w:rsidRPr="001B626A" w:rsidRDefault="00BE64C2" w:rsidP="00BE64C2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Návrh OSVZ na přidělení </w:t>
            </w:r>
            <w:r>
              <w:rPr>
                <w:rFonts w:ascii="Times New Roman" w:hAnsi="Times New Roman"/>
                <w:sz w:val="20"/>
              </w:rPr>
              <w:t>SB</w:t>
            </w:r>
          </w:p>
          <w:p w:rsidR="001B626A" w:rsidRPr="001B626A" w:rsidRDefault="00BE64C2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Protokol</w:t>
            </w:r>
            <w:r w:rsidR="001B626A" w:rsidRPr="001B626A">
              <w:rPr>
                <w:rFonts w:ascii="Times New Roman" w:hAnsi="Times New Roman"/>
                <w:sz w:val="20"/>
              </w:rPr>
              <w:t xml:space="preserve"> o přidělení bytu RM</w:t>
            </w:r>
          </w:p>
          <w:p w:rsid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Výzva k uzavření nájemní smlouvy </w:t>
            </w:r>
            <w:proofErr w:type="spellStart"/>
            <w:r w:rsidR="00BE64C2">
              <w:rPr>
                <w:rFonts w:ascii="Times New Roman" w:hAnsi="Times New Roman"/>
                <w:sz w:val="20"/>
              </w:rPr>
              <w:t>MěRK</w:t>
            </w:r>
            <w:proofErr w:type="spellEnd"/>
          </w:p>
          <w:p w:rsidR="00BE64C2" w:rsidRPr="001B626A" w:rsidRDefault="00BE64C2" w:rsidP="00BE64C2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Oznámení o provedení šetření</w:t>
            </w:r>
          </w:p>
          <w:p w:rsid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Úřední protokol</w:t>
            </w:r>
          </w:p>
          <w:p w:rsidR="00BE64C2" w:rsidRPr="001B626A" w:rsidRDefault="00BE64C2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Návrh na neprodloužení nájemní smlouvy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Agenda </w:t>
            </w:r>
            <w:r w:rsidRPr="001B626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Evidence hlášenek sociálních bytů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Datum doručení + automatické vygenerování evidenčního čísla hlášenky – datumové pole 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Popis bytu – adresa, velikost, </w:t>
            </w:r>
            <w:proofErr w:type="spellStart"/>
            <w:r w:rsidRPr="001B626A">
              <w:rPr>
                <w:rFonts w:ascii="Times New Roman" w:hAnsi="Times New Roman"/>
                <w:sz w:val="20"/>
              </w:rPr>
              <w:t>č.bytu</w:t>
            </w:r>
            <w:proofErr w:type="spellEnd"/>
            <w:r w:rsidRPr="001B626A">
              <w:rPr>
                <w:rFonts w:ascii="Times New Roman" w:hAnsi="Times New Roman"/>
                <w:sz w:val="20"/>
              </w:rPr>
              <w:t xml:space="preserve">/patro, </w:t>
            </w:r>
            <w:r w:rsidRPr="001B626A">
              <w:rPr>
                <w:rFonts w:ascii="Times New Roman" w:hAnsi="Times New Roman"/>
                <w:sz w:val="20"/>
              </w:rPr>
              <w:lastRenderedPageBreak/>
              <w:t>poznámky (patro, výtah, bezbariérovost, atp.) – připojení dotčeného objektu z evidence bytů ve stávající aplikaci PROXIO-ENO</w:t>
            </w:r>
          </w:p>
          <w:p w:rsidR="001B626A" w:rsidRPr="001B626A" w:rsidRDefault="001B626A" w:rsidP="001B626A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Vrácena zpět </w:t>
            </w:r>
            <w:proofErr w:type="spellStart"/>
            <w:r w:rsidRPr="001B626A">
              <w:rPr>
                <w:rFonts w:ascii="Times New Roman" w:hAnsi="Times New Roman"/>
                <w:sz w:val="20"/>
              </w:rPr>
              <w:t>MěRK</w:t>
            </w:r>
            <w:proofErr w:type="spellEnd"/>
            <w:r w:rsidRPr="001B626A">
              <w:rPr>
                <w:rFonts w:ascii="Times New Roman" w:hAnsi="Times New Roman"/>
                <w:sz w:val="20"/>
              </w:rPr>
              <w:t xml:space="preserve"> – důvod, datum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B626A" w:rsidRPr="001B626A" w:rsidTr="00983225">
        <w:tc>
          <w:tcPr>
            <w:tcW w:w="709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B626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B626A" w:rsidRPr="001B626A" w:rsidRDefault="001B626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 xml:space="preserve">Agenda </w:t>
            </w:r>
            <w:r w:rsidRPr="001B626A">
              <w:rPr>
                <w:rFonts w:ascii="Times New Roman" w:hAnsi="Times New Roman"/>
                <w:b/>
                <w:sz w:val="20"/>
              </w:rPr>
              <w:t>Evidence smlouvy dle § 91 odst. 6 zákona č.108/2006 Sb.</w:t>
            </w:r>
            <w:r w:rsidRPr="001B626A">
              <w:rPr>
                <w:rFonts w:ascii="Times New Roman" w:hAnsi="Times New Roman"/>
                <w:sz w:val="20"/>
              </w:rPr>
              <w:t xml:space="preserve"> </w:t>
            </w:r>
          </w:p>
          <w:p w:rsidR="001B626A" w:rsidRDefault="001B626A" w:rsidP="00EC3569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1B626A">
              <w:rPr>
                <w:rFonts w:ascii="Times New Roman" w:hAnsi="Times New Roman"/>
                <w:sz w:val="20"/>
              </w:rPr>
              <w:t>Podpora procesu, kdy uživatel sociální služby není schopen sám jednat</w:t>
            </w:r>
            <w:r w:rsidR="00EC3569">
              <w:rPr>
                <w:rFonts w:ascii="Times New Roman" w:hAnsi="Times New Roman"/>
                <w:sz w:val="20"/>
              </w:rPr>
              <w:t xml:space="preserve"> o poskytnutí sociální služby</w:t>
            </w:r>
            <w:r w:rsidRPr="001B626A">
              <w:rPr>
                <w:rFonts w:ascii="Times New Roman" w:hAnsi="Times New Roman"/>
                <w:sz w:val="20"/>
              </w:rPr>
              <w:t>, smlouvu za něj podepisuje město.</w:t>
            </w:r>
          </w:p>
          <w:p w:rsidR="00EC3569" w:rsidRDefault="00EC3569" w:rsidP="003A68E3">
            <w:pPr>
              <w:pStyle w:val="19anodst"/>
              <w:numPr>
                <w:ilvl w:val="0"/>
                <w:numId w:val="43"/>
              </w:numPr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Datum doručení smlouvy na město</w:t>
            </w:r>
          </w:p>
          <w:p w:rsidR="00EC3569" w:rsidRDefault="00EC3569" w:rsidP="003A68E3">
            <w:pPr>
              <w:pStyle w:val="19anodst"/>
              <w:numPr>
                <w:ilvl w:val="0"/>
                <w:numId w:val="43"/>
              </w:numPr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Datum potvrzení lékaře o neschopnosti klienta samostatně se rozhodovat a jednat</w:t>
            </w:r>
          </w:p>
          <w:p w:rsidR="00EC3569" w:rsidRPr="001B626A" w:rsidRDefault="00EC3569" w:rsidP="003A68E3">
            <w:pPr>
              <w:pStyle w:val="19anodst"/>
              <w:numPr>
                <w:ilvl w:val="0"/>
                <w:numId w:val="43"/>
              </w:numPr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Datum vyřazení smlouvy + důvod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B626A" w:rsidRPr="001B626A" w:rsidRDefault="001B626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1A3000" w:rsidRDefault="001A3000">
      <w:pPr>
        <w:spacing w:after="0"/>
        <w:jc w:val="left"/>
        <w:rPr>
          <w:lang w:eastAsia="cs-CZ"/>
        </w:rPr>
      </w:pPr>
    </w:p>
    <w:p w:rsidR="001A3000" w:rsidRDefault="001A3000">
      <w:pPr>
        <w:spacing w:after="0"/>
        <w:jc w:val="left"/>
        <w:rPr>
          <w:lang w:eastAsia="cs-CZ"/>
        </w:rPr>
      </w:pPr>
      <w:r>
        <w:rPr>
          <w:lang w:eastAsia="cs-CZ"/>
        </w:rPr>
        <w:br w:type="page"/>
      </w:r>
    </w:p>
    <w:p w:rsidR="001B626A" w:rsidRPr="001B626A" w:rsidRDefault="00DA6DE1" w:rsidP="001B626A">
      <w:pPr>
        <w:pStyle w:val="Normln-Odstavec"/>
      </w:pPr>
      <w:bookmarkStart w:id="4" w:name="_Toc479251401"/>
      <w:r>
        <w:lastRenderedPageBreak/>
        <w:t>K2 – Zápis</w:t>
      </w:r>
      <w:r w:rsidR="001B626A" w:rsidRPr="001B626A">
        <w:t xml:space="preserve"> do ISEP /rozšíření agendového systému PROXIO-Správní delikty o zápis do ISEP/</w:t>
      </w:r>
      <w:bookmarkEnd w:id="4"/>
      <w:r w:rsidR="001B626A" w:rsidRPr="001B626A">
        <w:t xml:space="preserve">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DA6DE1" w:rsidRPr="00DA6DE1" w:rsidTr="00983225">
        <w:tc>
          <w:tcPr>
            <w:tcW w:w="709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lef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 xml:space="preserve">Rozšíření stávajícího systému o nové funkce pro efektivní naplnění povinností plynoucích z novely zákona č. 200/1990 Sb., o přestupcích, ve znění novely zákona č. 204/2015. </w:t>
            </w:r>
          </w:p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 xml:space="preserve">Rozšíření umožní provést opis z Informačního systému evidence přestupků (dále také jako „ISEP“) i zápis do ISEP za vyžití dat evidovaných v agendě bez nutnosti jejich přepisu do systému </w:t>
            </w:r>
            <w:proofErr w:type="spellStart"/>
            <w:r w:rsidRPr="00DA6DE1">
              <w:rPr>
                <w:rFonts w:ascii="Times New Roman" w:hAnsi="Times New Roman"/>
                <w:sz w:val="20"/>
              </w:rPr>
              <w:t>CzechPOINT</w:t>
            </w:r>
            <w:proofErr w:type="spellEnd"/>
            <w:r w:rsidRPr="00DA6DE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b/>
                <w:sz w:val="20"/>
              </w:rPr>
              <w:t>Získání OPISU</w:t>
            </w:r>
            <w:r w:rsidRPr="00DA6DE1">
              <w:rPr>
                <w:rFonts w:ascii="Times New Roman" w:hAnsi="Times New Roman"/>
                <w:sz w:val="20"/>
              </w:rPr>
              <w:t xml:space="preserve"> z ISEP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Vytvoření žádosti o opis ze zaevidovaného případu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Ověření osoby, pro kterou je OPIS požadován vůči ISZR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Lustrace osoby a získání OPISU z Evidence přestupků včetně tisku dokumentu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Ověření recidivy vůči projednávanému přestupku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Uložení dokumentu k případu a do spisové služby úřadu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b/>
                <w:sz w:val="20"/>
              </w:rPr>
              <w:t>Provedení ZÁPISU</w:t>
            </w:r>
            <w:r w:rsidRPr="00DA6DE1">
              <w:rPr>
                <w:rFonts w:ascii="Times New Roman" w:hAnsi="Times New Roman"/>
                <w:sz w:val="20"/>
              </w:rPr>
              <w:t xml:space="preserve"> do ISEP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Ověření osoby, pro kterou je pořizován ZÁPIS vůči ISZR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Převzetí zapisovaných údajů z agendového subsystému PROXIO–Přestupky a jejich využití pro provedení ZÁPISU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Provedení samotného ZÁPISU do Evidence přestupků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Vytvoření dokumentu Potvrzení o zápisu a jeho uložení k případu a do spisové služby úřadu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b/>
                <w:sz w:val="20"/>
              </w:rPr>
              <w:t>Možnost EDITACE</w:t>
            </w:r>
            <w:r w:rsidRPr="00DA6DE1">
              <w:rPr>
                <w:rFonts w:ascii="Times New Roman" w:hAnsi="Times New Roman"/>
                <w:sz w:val="20"/>
              </w:rPr>
              <w:t xml:space="preserve"> údajů v ISEP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Umožnění editačních úkonů v evidenci přestupků: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 xml:space="preserve">Změna údajů na základě oprávněné námitky (§88a </w:t>
            </w:r>
            <w:proofErr w:type="spellStart"/>
            <w:r w:rsidRPr="00DA6DE1">
              <w:rPr>
                <w:rFonts w:ascii="Times New Roman" w:hAnsi="Times New Roman"/>
                <w:sz w:val="20"/>
              </w:rPr>
              <w:t>PřestZ</w:t>
            </w:r>
            <w:proofErr w:type="spellEnd"/>
            <w:r w:rsidRPr="00DA6DE1">
              <w:rPr>
                <w:rFonts w:ascii="Times New Roman" w:hAnsi="Times New Roman"/>
                <w:sz w:val="20"/>
              </w:rPr>
              <w:t>)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Oprava chybného zápisu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Doplnění údajů k sankci v případě změny Rozhodnutí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Vyřazení zápisu (§ 16k odst.1 z. č. 269/1994 Sb., o Rejstříku trestů.)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Zrušení na základě zrušení Rozhodnutí dle § 94 z. č. 200/1990 Sb., o přestupcích.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DA6DE1">
              <w:rPr>
                <w:rFonts w:ascii="Times New Roman" w:hAnsi="Times New Roman"/>
                <w:sz w:val="20"/>
              </w:rPr>
              <w:t>Zmylnění</w:t>
            </w:r>
            <w:proofErr w:type="spellEnd"/>
            <w:r w:rsidRPr="00DA6DE1">
              <w:rPr>
                <w:rFonts w:ascii="Times New Roman" w:hAnsi="Times New Roman"/>
                <w:sz w:val="20"/>
              </w:rPr>
              <w:t xml:space="preserve"> omylem zaslaného původního zápisu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b/>
                <w:sz w:val="20"/>
              </w:rPr>
              <w:t>Generování kontrolní sestavy</w:t>
            </w:r>
            <w:r w:rsidRPr="00DA6DE1">
              <w:rPr>
                <w:rFonts w:ascii="Times New Roman" w:hAnsi="Times New Roman"/>
                <w:sz w:val="20"/>
              </w:rPr>
              <w:t xml:space="preserve"> provedených zápisů s uvedením: 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 xml:space="preserve">identifikace záznamů určených k zápisu do ISEP, 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datem nabytí právní moci,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identifikace subjektu, jehož se zápis týká (jméno, příjmení, datum narození)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 xml:space="preserve">informací, zda bylo zapsáno v zákonem stanovené lhůtě nebo ne, 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identifikace zapisující osoby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v případě zapsaného záznamu zobrazit ID zápisu</w:t>
            </w:r>
          </w:p>
          <w:p w:rsidR="00DA6DE1" w:rsidRPr="00DA6DE1" w:rsidRDefault="00DA6DE1" w:rsidP="00DA6DE1">
            <w:pPr>
              <w:pStyle w:val="19anodst"/>
              <w:numPr>
                <w:ilvl w:val="0"/>
                <w:numId w:val="12"/>
              </w:numPr>
              <w:tabs>
                <w:tab w:val="clear" w:pos="567"/>
                <w:tab w:val="left" w:pos="275"/>
              </w:tabs>
              <w:spacing w:before="40"/>
              <w:ind w:left="275" w:hanging="275"/>
              <w:jc w:val="left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možnost volby období, ke kterému je generována sestava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A3000">
              <w:rPr>
                <w:rFonts w:ascii="Times New Roman" w:hAnsi="Times New Roman"/>
                <w:b/>
                <w:sz w:val="20"/>
              </w:rPr>
              <w:t>Logování provedených dotazů</w:t>
            </w:r>
            <w:r w:rsidRPr="00DA6DE1">
              <w:rPr>
                <w:rFonts w:ascii="Times New Roman" w:hAnsi="Times New Roman"/>
                <w:sz w:val="20"/>
              </w:rPr>
              <w:t xml:space="preserve"> do ISEP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435036" w:rsidRPr="00CB36BF" w:rsidRDefault="00435036">
      <w:pPr>
        <w:spacing w:after="0"/>
        <w:jc w:val="left"/>
        <w:rPr>
          <w:lang w:eastAsia="cs-CZ"/>
        </w:rPr>
      </w:pPr>
    </w:p>
    <w:p w:rsidR="00712DBD" w:rsidRPr="00CB36BF" w:rsidRDefault="00712DBD">
      <w:pPr>
        <w:spacing w:after="0"/>
        <w:jc w:val="left"/>
        <w:rPr>
          <w:lang w:eastAsia="cs-CZ"/>
        </w:rPr>
      </w:pPr>
    </w:p>
    <w:p w:rsidR="00DA6DE1" w:rsidRDefault="00DA6DE1" w:rsidP="00DA6DE1">
      <w:pPr>
        <w:pStyle w:val="Normln-Odstavec"/>
      </w:pPr>
      <w:bookmarkStart w:id="5" w:name="_Toc479251402"/>
      <w:r>
        <w:t xml:space="preserve">K3 – </w:t>
      </w:r>
      <w:r w:rsidR="0028069D">
        <w:t>S</w:t>
      </w:r>
      <w:r>
        <w:t>ilniční hospodářství vč. zvláštního užívání komunikací</w:t>
      </w:r>
      <w:bookmarkEnd w:id="5"/>
      <w:r>
        <w:t xml:space="preserve">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DA6DE1" w:rsidRPr="00DA6DE1" w:rsidTr="00983225">
        <w:tc>
          <w:tcPr>
            <w:tcW w:w="709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DA6DE1" w:rsidRPr="00DA6DE1" w:rsidRDefault="00DA6DE1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Odstavecseseznamem"/>
              <w:ind w:left="0"/>
              <w:rPr>
                <w:rFonts w:ascii="Times New Roman" w:hAnsi="Times New Roman"/>
                <w:szCs w:val="20"/>
              </w:rPr>
            </w:pPr>
            <w:r w:rsidRPr="00DA6DE1">
              <w:rPr>
                <w:rFonts w:ascii="Times New Roman" w:hAnsi="Times New Roman"/>
                <w:szCs w:val="20"/>
              </w:rPr>
              <w:t>Agenda </w:t>
            </w:r>
            <w:r w:rsidRPr="00DA6DE1">
              <w:rPr>
                <w:rFonts w:ascii="Times New Roman" w:hAnsi="Times New Roman"/>
                <w:b/>
                <w:szCs w:val="20"/>
              </w:rPr>
              <w:t>Silniční hospodářství</w:t>
            </w:r>
            <w:r w:rsidRPr="00DA6DE1">
              <w:rPr>
                <w:rFonts w:ascii="Times New Roman" w:hAnsi="Times New Roman"/>
                <w:szCs w:val="20"/>
              </w:rPr>
              <w:t xml:space="preserve"> pro centrální evidenci správních řízení vedených ve věcech pozemních komunikací. </w:t>
            </w:r>
          </w:p>
          <w:p w:rsidR="00DA6DE1" w:rsidRPr="00DA6DE1" w:rsidRDefault="00DA6DE1" w:rsidP="00983225">
            <w:pPr>
              <w:pStyle w:val="Odstavecseseznamem"/>
              <w:ind w:left="0"/>
              <w:rPr>
                <w:rFonts w:ascii="Times New Roman" w:hAnsi="Times New Roman"/>
                <w:szCs w:val="20"/>
              </w:rPr>
            </w:pPr>
            <w:r w:rsidRPr="00DA6DE1">
              <w:rPr>
                <w:rFonts w:ascii="Times New Roman" w:hAnsi="Times New Roman"/>
                <w:szCs w:val="20"/>
              </w:rPr>
              <w:t>Vymezeno zákonem:</w:t>
            </w:r>
          </w:p>
          <w:p w:rsidR="00DA6DE1" w:rsidRPr="00DA6DE1" w:rsidRDefault="00DA6DE1" w:rsidP="00DA6DE1">
            <w:pPr>
              <w:pStyle w:val="Odstavecseseznamem"/>
              <w:numPr>
                <w:ilvl w:val="0"/>
                <w:numId w:val="15"/>
              </w:numPr>
              <w:ind w:left="567" w:hanging="283"/>
              <w:contextualSpacing w:val="0"/>
              <w:rPr>
                <w:rFonts w:ascii="Times New Roman" w:hAnsi="Times New Roman"/>
                <w:szCs w:val="20"/>
              </w:rPr>
            </w:pPr>
            <w:r w:rsidRPr="00DA6DE1">
              <w:rPr>
                <w:rFonts w:ascii="Times New Roman" w:hAnsi="Times New Roman"/>
                <w:szCs w:val="20"/>
              </w:rPr>
              <w:t xml:space="preserve">Zákon č. 361/2000 Sb., o provozu na pozemních komunikacích, ve znění pozdějších předpisů, </w:t>
            </w:r>
          </w:p>
          <w:p w:rsidR="00DA6DE1" w:rsidRPr="00DA6DE1" w:rsidRDefault="00DA6DE1" w:rsidP="00DA6DE1">
            <w:pPr>
              <w:pStyle w:val="Odstavecseseznamem"/>
              <w:numPr>
                <w:ilvl w:val="0"/>
                <w:numId w:val="15"/>
              </w:numPr>
              <w:ind w:left="567" w:hanging="283"/>
              <w:contextualSpacing w:val="0"/>
              <w:rPr>
                <w:rFonts w:ascii="Times New Roman" w:hAnsi="Times New Roman"/>
                <w:szCs w:val="20"/>
              </w:rPr>
            </w:pPr>
            <w:r w:rsidRPr="00DA6DE1">
              <w:rPr>
                <w:rFonts w:ascii="Times New Roman" w:hAnsi="Times New Roman"/>
                <w:szCs w:val="20"/>
              </w:rPr>
              <w:t>Zákon č. 13/1997 Sb., o pozemních komunikacích, ve znění pozdějších předpisů</w:t>
            </w:r>
          </w:p>
          <w:p w:rsidR="00DA6DE1" w:rsidRPr="00DA6DE1" w:rsidRDefault="00DA6DE1" w:rsidP="00DA6DE1">
            <w:pPr>
              <w:pStyle w:val="Odstavecseseznamem"/>
              <w:numPr>
                <w:ilvl w:val="0"/>
                <w:numId w:val="15"/>
              </w:numPr>
              <w:ind w:left="567" w:hanging="283"/>
              <w:contextualSpacing w:val="0"/>
              <w:rPr>
                <w:rFonts w:ascii="Times New Roman" w:hAnsi="Times New Roman"/>
                <w:szCs w:val="20"/>
              </w:rPr>
            </w:pPr>
            <w:r w:rsidRPr="00DA6DE1">
              <w:rPr>
                <w:rFonts w:ascii="Times New Roman" w:hAnsi="Times New Roman"/>
                <w:szCs w:val="20"/>
              </w:rPr>
              <w:t xml:space="preserve">Zákon č. 500/2004 Sb., správní řád, ve znění pozdějších předpisů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Evidence jednotlivých správních řízení, včetně sledování lhůt pro vyřízení.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Založení nového případu na základě podané žádosti zaevidované ve spisové službě nebo založení nového případu z moci úřední.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Evidence kompletních informací o účastnících řízení, dotčených orgánech a ostatních, včetně připomínek, námitek a stanovisek s možností ověření na základní registry.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892C17">
            <w:pPr>
              <w:jc w:val="left"/>
              <w:rPr>
                <w:sz w:val="20"/>
                <w:szCs w:val="20"/>
              </w:rPr>
            </w:pPr>
            <w:r w:rsidRPr="00DA6DE1">
              <w:rPr>
                <w:sz w:val="20"/>
                <w:szCs w:val="20"/>
              </w:rPr>
              <w:t>Generování výsledných dokumentů dle předdefinovaných šablon, do kterých se dotahují údaje evidované v daném případu.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Zaznamenání průběhu řízení formou úkonů.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Zaevidování předpisu pro správní poplatek a přenos do ekonomického systému.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A6DE1" w:rsidRPr="00DA6DE1" w:rsidTr="00983225">
        <w:tc>
          <w:tcPr>
            <w:tcW w:w="709" w:type="dxa"/>
            <w:shd w:val="clear" w:color="auto" w:fill="auto"/>
            <w:vAlign w:val="center"/>
          </w:tcPr>
          <w:p w:rsidR="00DA6DE1" w:rsidRPr="00DA6DE1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A6DE1" w:rsidRPr="00DA6DE1" w:rsidRDefault="00DA6DE1" w:rsidP="001A3000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A6DE1">
              <w:rPr>
                <w:rFonts w:ascii="Times New Roman" w:hAnsi="Times New Roman"/>
                <w:sz w:val="20"/>
              </w:rPr>
              <w:t>Automatické generování variabilního symbolu pro každý evidovaný případ</w:t>
            </w:r>
            <w:r w:rsidR="00A554B8">
              <w:rPr>
                <w:rFonts w:ascii="Times New Roman" w:hAnsi="Times New Roman"/>
                <w:sz w:val="20"/>
              </w:rPr>
              <w:t xml:space="preserve"> pro účel stanovení </w:t>
            </w:r>
            <w:r w:rsidR="00A554B8">
              <w:rPr>
                <w:rFonts w:ascii="Times New Roman" w:hAnsi="Times New Roman"/>
                <w:sz w:val="20"/>
              </w:rPr>
              <w:lastRenderedPageBreak/>
              <w:t>správního poplatku.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A6DE1" w:rsidRPr="00DA6DE1" w:rsidRDefault="00DA6DE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DA6DE1" w:rsidRDefault="0028069D" w:rsidP="00DA6DE1">
      <w:pPr>
        <w:pStyle w:val="Normln-Odstavec"/>
      </w:pPr>
      <w:bookmarkStart w:id="6" w:name="_Toc479251403"/>
      <w:r>
        <w:lastRenderedPageBreak/>
        <w:t xml:space="preserve">K4 – </w:t>
      </w:r>
      <w:r w:rsidR="00092DDB">
        <w:t>P</w:t>
      </w:r>
      <w:r w:rsidR="00DA6DE1" w:rsidRPr="00DA6DE1">
        <w:t>latforma pro prezentaci agendových a provozních dat v mapových podkladech</w:t>
      </w:r>
      <w:bookmarkEnd w:id="6"/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28069D" w:rsidRPr="0028069D" w:rsidTr="00983225">
        <w:tc>
          <w:tcPr>
            <w:tcW w:w="709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Interaktivní mapová aplikace pro zobrazení libovolných parcel, budov či jednotek v agendových systémech, kde budou tyto informace používány – agenda </w:t>
            </w:r>
            <w:r w:rsidRPr="00092DDB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Evidence majetku, Volební agenda, 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Silniční hospodářství.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V interaktivní mapě ve volební agendě zvýraznění adresy vybraného voliče, včetně zvýraznění adresy jeho volební a hlasovací místnosti</w:t>
            </w:r>
            <w:r w:rsidR="00C5779B">
              <w:rPr>
                <w:rFonts w:ascii="Times New Roman" w:hAnsi="Times New Roman"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C5779B" w:rsidP="00C5779B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Zpřístupnění mapy volebních okrsků široké veřejnosti s možností vyhledávání podle adresy a čísla volebního okrsku – zobrazení hranic příslušného volebního okrsku, ve kterém se adresa nachází, včetně zobrazení volební a hlasovací místnosti tohoto volebního okrsku.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C5779B">
      <w:pPr>
        <w:pStyle w:val="Normln-Odstavec"/>
        <w:numPr>
          <w:ilvl w:val="0"/>
          <w:numId w:val="0"/>
        </w:numPr>
      </w:pPr>
    </w:p>
    <w:p w:rsidR="0028069D" w:rsidRPr="0028069D" w:rsidRDefault="00177F9A" w:rsidP="00441627">
      <w:pPr>
        <w:pStyle w:val="Normln-Odstavec"/>
      </w:pPr>
      <w:r>
        <w:t>K5 – Připojení</w:t>
      </w:r>
      <w:r w:rsidR="0028069D" w:rsidRPr="0028069D">
        <w:t xml:space="preserve"> k </w:t>
      </w:r>
      <w:r w:rsidR="008466ED" w:rsidRPr="0028069D">
        <w:t>ISZR,</w:t>
      </w:r>
      <w:r w:rsidR="0028069D" w:rsidRPr="0028069D">
        <w:t xml:space="preserve"> </w:t>
      </w:r>
      <w:r w:rsidR="008466ED">
        <w:t xml:space="preserve">tj. </w:t>
      </w:r>
      <w:r w:rsidR="0028069D" w:rsidRPr="0028069D">
        <w:t xml:space="preserve">rozšíření systému PROXIO-XR o centrální připojení všech </w:t>
      </w:r>
      <w:r w:rsidR="00812171">
        <w:t xml:space="preserve">stávajících </w:t>
      </w:r>
      <w:r w:rsidR="00122C01">
        <w:t xml:space="preserve">agend </w:t>
      </w:r>
      <w:r w:rsidR="0028069D" w:rsidRPr="0028069D">
        <w:t>a spisové služby</w:t>
      </w:r>
      <w:r w:rsidR="00812171">
        <w:t xml:space="preserve"> zadavatele</w:t>
      </w:r>
      <w:r w:rsidR="0028069D" w:rsidRPr="0028069D">
        <w:t xml:space="preserve"> k základním registrům</w:t>
      </w:r>
      <w:r w:rsidR="008466ED">
        <w:t>.</w:t>
      </w:r>
      <w:r w:rsidR="00812171">
        <w:t xml:space="preserve"> Seznam stávajících agendových systémů je uveden v</w:t>
      </w:r>
      <w:r w:rsidR="00B43E6F">
        <w:t xml:space="preserve"> kap. 2.4 </w:t>
      </w:r>
      <w:r w:rsidR="00B43E6F" w:rsidRPr="00B43E6F">
        <w:t>Popis stávajícího SW prostředí</w:t>
      </w:r>
      <w:r w:rsidR="00B43E6F">
        <w:t>, bod 6.</w:t>
      </w:r>
      <w:r w:rsidR="00122C01">
        <w:t xml:space="preserve"> Kompletní seznam agend pro připojení musí být připraven v rámci </w:t>
      </w:r>
      <w:proofErr w:type="spellStart"/>
      <w:r w:rsidR="00122C01">
        <w:t>předimplementační</w:t>
      </w:r>
      <w:proofErr w:type="spellEnd"/>
      <w:r w:rsidR="00122C01">
        <w:t xml:space="preserve"> analýzy.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28069D" w:rsidRPr="0028069D" w:rsidTr="00983225">
        <w:tc>
          <w:tcPr>
            <w:tcW w:w="709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28069D" w:rsidRPr="0028069D" w:rsidRDefault="0028069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Přidělování oprávnění k agendám a činnostním rolím prostřednictvím stávajícího identitního systému</w:t>
            </w:r>
            <w:r w:rsidR="009902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PROXIO-EOS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Přidělování přístupu k agendám a činnostním rolím, funkčnímu místu (organizační roli) nebo na zařazení pracovníka do funkčního místa</w:t>
            </w:r>
            <w:r w:rsidR="009902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="009902B6"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prostřednictvím stávajícího identitního systému</w:t>
            </w:r>
            <w:r w:rsidR="009902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PROXIO-EOS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. </w:t>
            </w:r>
          </w:p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V případě přidělení oprávnění k funkčnímu místu, propadá oprávnění na osobu přiřazenou k funkčnímu místu. </w:t>
            </w:r>
          </w:p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V případě přiřazení oprávnění na zařazení pracovníka do funkčního místa, se změnou pracovníka se oprávnění odstraní.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Načtení dat z Registru práv a povinností (dále také jako „RPP“) do identitního systému tak, aby bylo možné v těchto agendách a činnostních rolích fulltextově vyhledávat a přiřazovat oprávněným.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902B6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Poskytnutí jednoduché aplikace, která </w:t>
            </w:r>
            <w:r w:rsidR="009902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zajistí 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přístup k ISZR do základních registrů RUIAN, ROB (ISC, ISEO) a ROS. Oprávnění přístupu bude řízeno identitním systémem</w:t>
            </w:r>
            <w:r w:rsidR="009902B6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PROXIO-EOS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. V případě neoprávněného přístupu není možné se ani do ISZR dotázat, dotaz bude zamítnut ještě 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před jeho odesláním do ISZR.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28069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Logování přístupů k ISZR podle stanovených zákonných norem – logování dotazů a odpovědí s možností konfigurace úrovně logování a automatické odstraňování starších dotazů.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28069D" w:rsidRPr="0028069D" w:rsidTr="00983225">
        <w:tc>
          <w:tcPr>
            <w:tcW w:w="709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28069D" w:rsidRPr="0028069D" w:rsidRDefault="009902B6" w:rsidP="009902B6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Zajištění </w:t>
            </w:r>
            <w:r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přístupů k ISZR </w:t>
            </w:r>
            <w:r w:rsidR="0028069D"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i pro jiné aplikace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(v budoucnu nasazované)</w:t>
            </w:r>
            <w:r w:rsidR="0028069D"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, logování dotazů a odpovědí. Veškeré přístupy budou řízeny identitním systémem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PROXIO-EOS</w:t>
            </w:r>
            <w:r w:rsidR="0028069D" w:rsidRPr="0028069D">
              <w:rPr>
                <w:rFonts w:ascii="Times New Roman" w:hAnsi="Times New Roman"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28069D" w:rsidRPr="0028069D" w:rsidRDefault="0028069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C5779B">
      <w:pPr>
        <w:pStyle w:val="Normln-Odstavec"/>
        <w:numPr>
          <w:ilvl w:val="0"/>
          <w:numId w:val="0"/>
        </w:numPr>
      </w:pPr>
    </w:p>
    <w:p w:rsidR="00177F9A" w:rsidRPr="00177F9A" w:rsidRDefault="00177F9A" w:rsidP="00177F9A">
      <w:pPr>
        <w:pStyle w:val="Normln-Odstavec"/>
      </w:pPr>
      <w:r>
        <w:t>K6 – Modernizace</w:t>
      </w:r>
      <w:r w:rsidRPr="00177F9A">
        <w:t xml:space="preserve"> </w:t>
      </w:r>
      <w:r w:rsidR="004F77AB">
        <w:t xml:space="preserve">stávající </w:t>
      </w:r>
      <w:r w:rsidRPr="00177F9A">
        <w:t xml:space="preserve">elektronické spisové služby e-spis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177F9A" w:rsidRPr="00D00121" w:rsidTr="00983225">
        <w:tc>
          <w:tcPr>
            <w:tcW w:w="709" w:type="dxa"/>
            <w:shd w:val="clear" w:color="auto" w:fill="B8CCE4"/>
          </w:tcPr>
          <w:p w:rsidR="00177F9A" w:rsidRPr="00D00121" w:rsidRDefault="00177F9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177F9A" w:rsidRPr="00D00121" w:rsidRDefault="00177F9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177F9A" w:rsidRPr="00D00121" w:rsidRDefault="00177F9A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177F9A" w:rsidRPr="00D00121" w:rsidRDefault="00177F9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177F9A" w:rsidRPr="00D00121" w:rsidRDefault="00177F9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177F9A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t>Statistiky</w:t>
            </w: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Modul </w:t>
            </w:r>
            <w:r w:rsidRPr="00D00121">
              <w:rPr>
                <w:b/>
                <w:sz w:val="20"/>
                <w:szCs w:val="20"/>
              </w:rPr>
              <w:t>Statistiky</w:t>
            </w:r>
            <w:r w:rsidRPr="00D00121">
              <w:rPr>
                <w:sz w:val="20"/>
                <w:szCs w:val="20"/>
              </w:rPr>
              <w:t xml:space="preserve"> umožňuje vytváření potřebných souhrnných výstupů ze spisové služby – dle evidovaných údajů o dokumentech zpracovávaných úřadem – minimálně v tomto rozsahu: </w:t>
            </w:r>
          </w:p>
          <w:p w:rsidR="00177F9A" w:rsidRPr="00D00121" w:rsidRDefault="00177F9A" w:rsidP="00177F9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/>
              <w:ind w:left="275" w:hanging="275"/>
              <w:rPr>
                <w:rFonts w:ascii="Times New Roman" w:hAnsi="Times New Roman"/>
                <w:szCs w:val="20"/>
              </w:rPr>
            </w:pPr>
            <w:r w:rsidRPr="00D00121">
              <w:rPr>
                <w:rFonts w:ascii="Times New Roman" w:hAnsi="Times New Roman"/>
                <w:szCs w:val="20"/>
              </w:rPr>
              <w:t xml:space="preserve">počty vyřízených dokumentů jednotlivých typů </w:t>
            </w:r>
          </w:p>
          <w:p w:rsidR="00177F9A" w:rsidRPr="00D00121" w:rsidRDefault="00177F9A" w:rsidP="00177F9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/>
              <w:ind w:left="275" w:hanging="275"/>
              <w:rPr>
                <w:rFonts w:ascii="Times New Roman" w:hAnsi="Times New Roman"/>
                <w:szCs w:val="20"/>
              </w:rPr>
            </w:pPr>
            <w:r w:rsidRPr="00D00121">
              <w:rPr>
                <w:rFonts w:ascii="Times New Roman" w:hAnsi="Times New Roman"/>
                <w:szCs w:val="20"/>
              </w:rPr>
              <w:t xml:space="preserve">počet vypravených dokumentů, </w:t>
            </w:r>
          </w:p>
          <w:p w:rsidR="00177F9A" w:rsidRPr="00D00121" w:rsidRDefault="00177F9A" w:rsidP="00177F9A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40"/>
              <w:ind w:left="275" w:hanging="275"/>
              <w:rPr>
                <w:rFonts w:ascii="Times New Roman" w:hAnsi="Times New Roman"/>
                <w:bCs/>
                <w:color w:val="000000" w:themeColor="text1"/>
                <w:szCs w:val="20"/>
              </w:rPr>
            </w:pPr>
            <w:r w:rsidRPr="00D00121">
              <w:rPr>
                <w:rFonts w:ascii="Times New Roman" w:hAnsi="Times New Roman"/>
                <w:szCs w:val="20"/>
              </w:rPr>
              <w:t>počet zpracovávaných dokumentů jednotlivými pracovníky.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Modul Statistiky současně umožní vytvářet statistický přehled dle vlastních potřeb úřadu.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Přehled je možné exportovat do textového</w:t>
            </w:r>
          </w:p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souboru pro další zpracování např. v tabulkovém editoru MS Excel.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t>Elektronická podatelna</w:t>
            </w: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 xml:space="preserve">Modul </w:t>
            </w:r>
            <w:r w:rsidRPr="00D00121">
              <w:rPr>
                <w:b/>
                <w:color w:val="000000"/>
                <w:sz w:val="20"/>
                <w:szCs w:val="20"/>
              </w:rPr>
              <w:t>Elektronická podatelna</w:t>
            </w:r>
            <w:r w:rsidRPr="00D00121">
              <w:rPr>
                <w:color w:val="000000"/>
                <w:sz w:val="20"/>
                <w:szCs w:val="20"/>
              </w:rPr>
              <w:t xml:space="preserve"> zajistí příjem a prvotní zpracování e-mailových podání, doručovaných na elektronické adresy podatelny, včetně příjmu a odesílání e-mailových zpráv opatřených uznávaným elektronickým podpisem dle zákona č. 227/2000 Sb. v platném znění.</w:t>
            </w:r>
            <w:r w:rsidRPr="00D00121">
              <w:rPr>
                <w:color w:val="00A5E9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Modul Elektronická podatelna kontroluje, zda e-mailové podání a v něm obsažené dokumenty, jsou opatřeny:</w:t>
            </w:r>
          </w:p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uznávaným elektronickým podpisem</w:t>
            </w:r>
          </w:p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uznávanou elektronickou značkou</w:t>
            </w:r>
          </w:p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kvalifikovaným časovým razítkem</w:t>
            </w:r>
          </w:p>
          <w:p w:rsidR="00177F9A" w:rsidRPr="00D00121" w:rsidRDefault="00177F9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D00121">
              <w:rPr>
                <w:rFonts w:ascii="Times New Roman" w:hAnsi="Times New Roman"/>
                <w:color w:val="000000"/>
                <w:sz w:val="20"/>
              </w:rPr>
              <w:t>· ověřuje jejich platnost (podle vyhlášky č. 212/2012 Sb.)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Elektronická podatelna zasílá potvrzení odesílateli podání o doručení e-mailového podání, o zamítnutí s uvedením důvodů zamítnutí přijetí, nebo o předání podání ke zpracování mimo spisovou službu organizace (přeposlání e-mailu).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Elektronická podatelna o výsledku kontroly a ověření e-mailového podání provede a ukládá záznam.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7F9A" w:rsidRPr="00D00121" w:rsidTr="00983225">
        <w:tc>
          <w:tcPr>
            <w:tcW w:w="709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7F9A" w:rsidRPr="00D00121" w:rsidRDefault="00177F9A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 xml:space="preserve">Doručené e-maily nesplňující požadavky organizace stanovené pro příjem podání prostřednictvím e-mailové adresy elektronické podatelny jsou na základě konfigurace přesměrovány automaticky nebo manuálně obsluhou e-podatelny na jinou určenou elektronickou adresu.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7F9A" w:rsidRPr="00D00121" w:rsidRDefault="00177F9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D001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Pověření zpracovatelé dokumentů v úřadě /uživatelé spisové služby e-spis/ připravují podklady pro elektronická vypravení, které zahrnou: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eastAsia="MS ??" w:hAnsi="Times New Roman"/>
                <w:color w:val="000000"/>
                <w:szCs w:val="20"/>
              </w:rPr>
            </w:pPr>
            <w:r w:rsidRPr="00D00121">
              <w:rPr>
                <w:rFonts w:ascii="Times New Roman" w:eastAsia="MS ??" w:hAnsi="Times New Roman"/>
                <w:color w:val="000000"/>
                <w:szCs w:val="20"/>
              </w:rPr>
              <w:t xml:space="preserve">popisné údaje (tzv. metadata) a 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eastAsia="MS ??" w:hAnsi="Times New Roman"/>
                <w:color w:val="000000"/>
                <w:szCs w:val="20"/>
              </w:rPr>
            </w:pPr>
            <w:r w:rsidRPr="00D00121">
              <w:rPr>
                <w:rFonts w:ascii="Times New Roman" w:eastAsia="MS ??" w:hAnsi="Times New Roman"/>
                <w:color w:val="000000"/>
                <w:szCs w:val="20"/>
              </w:rPr>
              <w:t xml:space="preserve">vlastní elektronický obsah určený k odeslání – elektronické přílohy. 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Elektronická podatelna automaticky zajistí: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eastAsia="MS ??" w:hAnsi="Times New Roman"/>
                <w:color w:val="000000"/>
                <w:szCs w:val="20"/>
              </w:rPr>
            </w:pPr>
            <w:r w:rsidRPr="00D00121">
              <w:rPr>
                <w:rFonts w:ascii="Times New Roman" w:eastAsia="MS ??" w:hAnsi="Times New Roman"/>
                <w:color w:val="000000"/>
                <w:szCs w:val="20"/>
              </w:rPr>
              <w:t xml:space="preserve">sestavení e-mailové zprávy a 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eastAsia="MS ??" w:hAnsi="Times New Roman"/>
                <w:color w:val="000000"/>
                <w:szCs w:val="20"/>
              </w:rPr>
            </w:pPr>
            <w:r w:rsidRPr="00D00121">
              <w:rPr>
                <w:rFonts w:ascii="Times New Roman" w:eastAsia="MS ??" w:hAnsi="Times New Roman"/>
                <w:color w:val="000000"/>
                <w:szCs w:val="20"/>
              </w:rPr>
              <w:t>její opatření elektronickou značkou organizace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eastAsia="MS ??" w:hAnsi="Times New Roman"/>
                <w:color w:val="000000"/>
                <w:szCs w:val="20"/>
              </w:rPr>
            </w:pPr>
            <w:r w:rsidRPr="00D00121">
              <w:rPr>
                <w:rFonts w:ascii="Times New Roman" w:eastAsia="MS ??" w:hAnsi="Times New Roman"/>
                <w:color w:val="000000"/>
                <w:szCs w:val="20"/>
              </w:rPr>
              <w:t>odeslání odchozí emailové zprávy prostřednictvím definovaného SMTP serveru určenému příjemci.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before="40"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Zároveň elektronická podatelna potvrdí a předá údaje o vypravení zpět do spisové služby e-spis, aby byl zpracovatel dokumentu informován o výsledku vypravení.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D001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K organizaci lze zřídit jeden nebo více kontaktů typu e-mail elektronické podatelny.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D001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Je požadováno podepisování a označování časovými razítky ke každému nebo jen k primárnímu kontaktu, a proto je nutné: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zadat do konfigurace Elektronické podatelny kvalifikovaný systémový certifikát vč. privátního klíče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vystavený na e-mailovou adresu elektronické podatelny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uložit do konfigurace heslo ke kvalifikovanému systémovému certifikátu2</w:t>
            </w:r>
          </w:p>
          <w:p w:rsidR="00D00121" w:rsidRPr="00D00121" w:rsidRDefault="00D00121" w:rsidP="00D00121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· zadat do konfigurace Elektronické podatelny údaje vztahující se k autoritě časových razítek.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t>Automatizace procesů – Zrychlení procesů předávání a přebírání do spisovny</w:t>
            </w: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3A68E3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Modul </w:t>
            </w:r>
            <w:r w:rsidRPr="00D0012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Automatizace procesů</w:t>
            </w: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="003A68E3"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umožní správci</w:t>
            </w: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elektronické spisové služby e-spis</w:t>
            </w:r>
            <w:r w:rsidR="00764A7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vytvářet strukturovaná pravidla na základě </w:t>
            </w:r>
            <w:r w:rsidR="003A68E3">
              <w:rPr>
                <w:rFonts w:ascii="Times New Roman" w:hAnsi="Times New Roman"/>
                <w:bCs/>
                <w:color w:val="000000" w:themeColor="text1"/>
                <w:sz w:val="20"/>
              </w:rPr>
              <w:t>v</w:t>
            </w: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yhodnocování zvolených kritérií nad objekty dokumentů, spisů nebo ukládacích jednotek.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Modul umožní jednoduché řetězení procesů nad objekty spisové služby, tedy vytváření</w:t>
            </w:r>
          </w:p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procesních workflow nad dokumenty, spisy nebo ukládacími jednotkami.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V modulu Automatizace procesů bude možné aplikovat tyto procesy: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· úprava profilu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lastRenderedPageBreak/>
              <w:t>· vyřízení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· předání spisovně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· předání externí aplikaci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· předání oběhem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· založení spisu</w:t>
            </w:r>
          </w:p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sz w:val="20"/>
              </w:rPr>
              <w:t>· založení odpovědi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lastRenderedPageBreak/>
              <w:t>Šablony profilových položek</w:t>
            </w: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Modul </w:t>
            </w:r>
            <w:r w:rsidRPr="00D00121">
              <w:rPr>
                <w:b/>
                <w:sz w:val="20"/>
                <w:szCs w:val="20"/>
              </w:rPr>
              <w:t>Šablony</w:t>
            </w:r>
            <w:r w:rsidRPr="00D00121">
              <w:rPr>
                <w:sz w:val="20"/>
                <w:szCs w:val="20"/>
              </w:rPr>
              <w:t xml:space="preserve"> musí rozšířit funkčnost spisové služby e-spis o možnost vytvářet šablony profilových položek dokumentů, jejichž vyplnění je nutným předpokladem pro následné vyřízení dokumentů.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before="40" w:after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K dokumentu mohou být přidána klíčová slova, podle kterých je možné dokumenty dále vyhledávat a řadit.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t>Automat ISDS</w:t>
            </w: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 xml:space="preserve">Modul </w:t>
            </w:r>
            <w:r w:rsidRPr="00D00121">
              <w:rPr>
                <w:b/>
                <w:color w:val="000000"/>
                <w:sz w:val="20"/>
                <w:szCs w:val="20"/>
              </w:rPr>
              <w:t>Automatického stahování datových zprá</w:t>
            </w:r>
            <w:r w:rsidRPr="00D00121">
              <w:rPr>
                <w:color w:val="000000"/>
                <w:sz w:val="20"/>
                <w:szCs w:val="20"/>
              </w:rPr>
              <w:t>v umožní nastavit časové okamžiky (periodu) automatického načtení datových zpráv (obálek) z datové schránky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konkrétnímu uživateli (podatelna) v systému spisové služby e-spis.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 xml:space="preserve">Modul </w:t>
            </w:r>
            <w:r w:rsidRPr="00D00121">
              <w:rPr>
                <w:b/>
                <w:color w:val="000000"/>
                <w:sz w:val="20"/>
                <w:szCs w:val="20"/>
              </w:rPr>
              <w:t>Automatického odesílání datových zpráv</w:t>
            </w:r>
            <w:r w:rsidRPr="00D00121">
              <w:rPr>
                <w:color w:val="000000"/>
                <w:sz w:val="20"/>
                <w:szCs w:val="20"/>
              </w:rPr>
              <w:t xml:space="preserve"> umožní nastavit časové okamžiky (periodu) automatického odesílání datových zpráv ze systému spisové služby.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D00121">
              <w:rPr>
                <w:color w:val="000000"/>
                <w:sz w:val="20"/>
                <w:szCs w:val="20"/>
              </w:rPr>
              <w:t>Okamžik stahování/odesílání musí být možno nastavit pro: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59" w:hanging="284"/>
              <w:rPr>
                <w:rFonts w:ascii="Times New Roman" w:hAnsi="Times New Roman"/>
                <w:color w:val="000000"/>
                <w:szCs w:val="20"/>
              </w:rPr>
            </w:pPr>
            <w:r w:rsidRPr="00D00121">
              <w:rPr>
                <w:rFonts w:ascii="Times New Roman" w:hAnsi="Times New Roman"/>
                <w:color w:val="000000"/>
                <w:szCs w:val="20"/>
              </w:rPr>
              <w:t>Vybrané kalendářní dny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59" w:hanging="284"/>
              <w:rPr>
                <w:rFonts w:ascii="Times New Roman" w:hAnsi="Times New Roman"/>
                <w:color w:val="000000"/>
                <w:szCs w:val="20"/>
              </w:rPr>
            </w:pPr>
            <w:r w:rsidRPr="00D00121">
              <w:rPr>
                <w:rFonts w:ascii="Times New Roman" w:hAnsi="Times New Roman"/>
                <w:color w:val="000000"/>
                <w:szCs w:val="20"/>
              </w:rPr>
              <w:t>Všechny kalendářní dny</w:t>
            </w:r>
          </w:p>
          <w:p w:rsidR="00D00121" w:rsidRPr="00D00121" w:rsidRDefault="00D00121" w:rsidP="00D00121">
            <w:pPr>
              <w:pStyle w:val="Odstavecseseznamem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559" w:hanging="284"/>
              <w:rPr>
                <w:rFonts w:ascii="Times New Roman" w:hAnsi="Times New Roman"/>
                <w:color w:val="000000"/>
                <w:szCs w:val="20"/>
              </w:rPr>
            </w:pPr>
            <w:r w:rsidRPr="00D00121">
              <w:rPr>
                <w:rFonts w:ascii="Times New Roman" w:hAnsi="Times New Roman"/>
                <w:color w:val="000000"/>
                <w:szCs w:val="20"/>
              </w:rPr>
              <w:t>Vybrané hodiny</w:t>
            </w:r>
          </w:p>
          <w:p w:rsidR="00D00121" w:rsidRPr="00D00121" w:rsidRDefault="00D00121" w:rsidP="00D00121">
            <w:pPr>
              <w:pStyle w:val="19anodst"/>
              <w:numPr>
                <w:ilvl w:val="0"/>
                <w:numId w:val="19"/>
              </w:numPr>
              <w:ind w:left="559" w:hanging="284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color w:val="000000"/>
                <w:sz w:val="20"/>
              </w:rPr>
              <w:t>Všechny celé hodiny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8815" w:type="dxa"/>
            <w:gridSpan w:val="5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sz w:val="20"/>
              </w:rPr>
            </w:pPr>
            <w:r w:rsidRPr="00D00121">
              <w:rPr>
                <w:rFonts w:ascii="Times New Roman" w:hAnsi="Times New Roman"/>
                <w:b/>
                <w:sz w:val="20"/>
              </w:rPr>
              <w:t>Ověřování kvalifikovaného elektronického podpisu dle eIDAS</w:t>
            </w: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Systém musí disponovat nástrojem pro ověřování elektronického podpisu založeném na Digital </w:t>
            </w:r>
            <w:proofErr w:type="spellStart"/>
            <w:r w:rsidRPr="00D00121">
              <w:rPr>
                <w:sz w:val="20"/>
                <w:szCs w:val="20"/>
              </w:rPr>
              <w:t>Signature</w:t>
            </w:r>
            <w:proofErr w:type="spellEnd"/>
            <w:r w:rsidRPr="00D00121">
              <w:rPr>
                <w:sz w:val="20"/>
                <w:szCs w:val="20"/>
              </w:rPr>
              <w:t xml:space="preserve"> </w:t>
            </w:r>
            <w:proofErr w:type="spellStart"/>
            <w:r w:rsidRPr="00D00121">
              <w:rPr>
                <w:sz w:val="20"/>
                <w:szCs w:val="20"/>
              </w:rPr>
              <w:t>Service</w:t>
            </w:r>
            <w:proofErr w:type="spellEnd"/>
            <w:r w:rsidRPr="00D00121">
              <w:rPr>
                <w:sz w:val="20"/>
                <w:szCs w:val="20"/>
              </w:rPr>
              <w:t xml:space="preserve"> (DSS), který vznikl v rámci programu ISA Evropské komise. </w:t>
            </w:r>
          </w:p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 xml:space="preserve">Ověřování musí probíhat v souladu s článkem 32 nařízení eIDAS a souvisejícími normami pro ověřování kvalifikovaných elektronických podpisů.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00121" w:rsidRPr="00D00121" w:rsidTr="00983225">
        <w:tc>
          <w:tcPr>
            <w:tcW w:w="709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00121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00121" w:rsidRPr="00D00121" w:rsidRDefault="00D00121" w:rsidP="00983225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Systém musí zajistit mimo jiné přístup k autoritám poskytujícím data potřebná pro ověření platnosti podpisů, jako</w:t>
            </w:r>
          </w:p>
          <w:p w:rsidR="00D00121" w:rsidRPr="00D00121" w:rsidRDefault="00D00121" w:rsidP="00983225">
            <w:pPr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D00121">
              <w:rPr>
                <w:sz w:val="20"/>
                <w:szCs w:val="20"/>
              </w:rPr>
              <w:t>jsou seznamy důvěryhodných služeb a seznamy zneplatněných certifikátů.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00121" w:rsidRPr="00D00121" w:rsidRDefault="00D00121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C7001" w:rsidRPr="00707D0A" w:rsidTr="00441627"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1C7001" w:rsidRDefault="001C7001" w:rsidP="001C7001">
            <w:pPr>
              <w:pStyle w:val="19anodst"/>
              <w:spacing w:before="40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1C700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Usnesení</w:t>
            </w:r>
          </w:p>
        </w:tc>
      </w:tr>
      <w:tr w:rsidR="001C7001" w:rsidRPr="00707D0A" w:rsidTr="001C7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01" w:rsidRPr="001C7001" w:rsidRDefault="001C7001" w:rsidP="001C700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1C7001">
              <w:rPr>
                <w:sz w:val="20"/>
                <w:szCs w:val="20"/>
              </w:rPr>
              <w:t xml:space="preserve">Sběr podkladů k jednání: Evidence připravených bodů, košilka bodu, typ jednání (Rada města, Zastupitelstvo města, komise, projektový tým apod.), preferovaný termín jednání, předkladatel, typové materiály včetně povinných příloh, tvorba a redakce návrhu usnesení, šablony dokumentů. </w:t>
            </w:r>
            <w:r w:rsidRPr="001C7001">
              <w:rPr>
                <w:sz w:val="20"/>
                <w:szCs w:val="20"/>
              </w:rPr>
              <w:lastRenderedPageBreak/>
              <w:t>Systém umožní správu číselníků (typy jednání, seznamy účastníků, distribuční seznamy).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C7001" w:rsidRPr="00707D0A" w:rsidTr="001C7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01" w:rsidRPr="001C7001" w:rsidRDefault="001C7001" w:rsidP="001C700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1C7001">
              <w:rPr>
                <w:sz w:val="20"/>
                <w:szCs w:val="20"/>
              </w:rPr>
              <w:t>Příprava programu jednání: Evidence a správa termínů pro typ jednání, sestavení programu z připravených bodů jednání, přidělení pořadového čísla bodu, určení kapacity jednání, rezervace bodu programu, přesun bodu v programu, převzetí podkladů usnesení do nového bodu jednání.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C7001" w:rsidRPr="00707D0A" w:rsidTr="001C7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01" w:rsidRPr="001C7001" w:rsidRDefault="001C7001" w:rsidP="001C700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1C7001">
              <w:rPr>
                <w:sz w:val="20"/>
                <w:szCs w:val="20"/>
              </w:rPr>
              <w:t xml:space="preserve">Redakce bodů jednání a usnesení: Potvrzení a zamítnutí bodu, přesun bodu na jiný termín jednání.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C7001" w:rsidRPr="00707D0A" w:rsidTr="001C7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01" w:rsidRPr="001C7001" w:rsidRDefault="001C7001" w:rsidP="001C700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1C7001">
              <w:rPr>
                <w:sz w:val="20"/>
                <w:szCs w:val="20"/>
              </w:rPr>
              <w:t>Distribuce podkladů k jednání: Vytvoření a distribuce pozvánky, programu, bodů jednání emailem, distribuce podkladových materiálů (vytvoření off-line balíčku s podklady), tisk podkladů.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C7001" w:rsidRPr="00707D0A" w:rsidTr="001C70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001" w:rsidRPr="001C7001" w:rsidRDefault="001C7001" w:rsidP="001C700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1C7001">
              <w:rPr>
                <w:sz w:val="20"/>
                <w:szCs w:val="20"/>
              </w:rPr>
              <w:t>Zápis z jednání a usnesení: Úprava programu vložením nových bodů a změnou pořadí bodů, redakce usnesení, vytvoření strukturovaného zápisu jednání, doplnění výsledků hlasování, přidělení čísel, předání výsledků schůze ke schválení, uzamčení zápisu proti modifikaci, tvorba PDF, tisk zápisu, zveřejnění zápisu a usnesení, podpora automatického zveřejnění zápisu a usnesení na webu města.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001" w:rsidRPr="00707D0A" w:rsidRDefault="001C7001" w:rsidP="0044162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892C17">
      <w:pPr>
        <w:pStyle w:val="Normln-Odstavec"/>
        <w:numPr>
          <w:ilvl w:val="0"/>
          <w:numId w:val="0"/>
        </w:numPr>
      </w:pPr>
    </w:p>
    <w:p w:rsidR="00B830C9" w:rsidRPr="00B830C9" w:rsidRDefault="00A7070D" w:rsidP="004F77AB">
      <w:pPr>
        <w:pStyle w:val="Normln-Odstavec"/>
      </w:pPr>
      <w:r>
        <w:t xml:space="preserve">K7 – </w:t>
      </w:r>
      <w:r w:rsidR="004F77AB" w:rsidRPr="004F77AB">
        <w:t xml:space="preserve">Sjednocení oprávnění </w:t>
      </w:r>
      <w:r w:rsidR="004F77AB">
        <w:t>(ř</w:t>
      </w:r>
      <w:r>
        <w:t>ízení</w:t>
      </w:r>
      <w:r w:rsidR="00B830C9" w:rsidRPr="00B830C9">
        <w:t xml:space="preserve"> spisové služby identitním systémem PROXIO-EOS</w:t>
      </w:r>
      <w:r w:rsidR="004F77AB">
        <w:t>)</w:t>
      </w:r>
      <w:r w:rsidR="00B830C9" w:rsidRPr="00B830C9">
        <w:t xml:space="preserve">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B830C9" w:rsidRPr="00B830C9" w:rsidTr="00983225">
        <w:tc>
          <w:tcPr>
            <w:tcW w:w="709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Automatizovaný přenos organizační struktury z identitního systému PROXIO-EOS do spisové služby e-spis.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Nastavení přístupových práv pro spisovou službu v identitním systému.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Automatizovaný přenos nastavených oprávnění z identitního systému do spisové služby e-spis.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892C17">
      <w:pPr>
        <w:pStyle w:val="Normln-Odstavec"/>
        <w:numPr>
          <w:ilvl w:val="0"/>
          <w:numId w:val="0"/>
        </w:numPr>
      </w:pPr>
    </w:p>
    <w:p w:rsidR="00B830C9" w:rsidRPr="00B830C9" w:rsidRDefault="004F77AB" w:rsidP="00B830C9">
      <w:pPr>
        <w:pStyle w:val="Normln-Odstavec"/>
      </w:pPr>
      <w:r>
        <w:t>K8 – Rozhraní</w:t>
      </w:r>
      <w:r w:rsidR="00B830C9" w:rsidRPr="00B830C9">
        <w:t xml:space="preserve"> API /úprava API rozhraní mezi PROXIO a spisovou službou/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B830C9" w:rsidRPr="00B830C9" w:rsidTr="00983225">
        <w:tc>
          <w:tcPr>
            <w:tcW w:w="709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lef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B830C9" w:rsidRPr="00B830C9" w:rsidRDefault="00B830C9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 xml:space="preserve">Integrace bude provedena za využití rozhraní dle národního standardu (NSESS) a Best </w:t>
            </w:r>
            <w:proofErr w:type="spellStart"/>
            <w:r w:rsidRPr="00B830C9">
              <w:rPr>
                <w:rFonts w:ascii="Times New Roman" w:hAnsi="Times New Roman"/>
                <w:color w:val="000000"/>
                <w:sz w:val="20"/>
              </w:rPr>
              <w:t>practices</w:t>
            </w:r>
            <w:proofErr w:type="spellEnd"/>
            <w:r w:rsidRPr="00B830C9">
              <w:rPr>
                <w:rFonts w:ascii="Times New Roman" w:hAnsi="Times New Roman"/>
                <w:color w:val="000000"/>
                <w:sz w:val="20"/>
              </w:rPr>
              <w:t>. Technologicky bude rozhraní řešeno webovými službami.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 xml:space="preserve">Uživatel je pro PROXIO i e-spis identifikován svým doménovým uživatelským jménem (login) nebo identifikátorem uživatele v EOS.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 xml:space="preserve">Rozhraní na straně PROXIO musí poskytovat funkce umožňující minimálně postoupení dokumentu, postoupení spisu, převzetí informace </w:t>
            </w:r>
            <w:r w:rsidRPr="00B830C9">
              <w:rPr>
                <w:rFonts w:ascii="Times New Roman" w:hAnsi="Times New Roman"/>
                <w:color w:val="000000"/>
                <w:sz w:val="20"/>
              </w:rPr>
              <w:lastRenderedPageBreak/>
              <w:t>o vypravení a doručení dokumentu. Tyto funkce bude volat e-spis za účelem aktivního předání informací do PROXIO.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 xml:space="preserve">Rozhraní na straně e-spis musí poskytovat funkce umožňující minimálně: </w:t>
            </w:r>
          </w:p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color w:val="000000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>založení dokumentu, založení spisu, zařazení dokumentu do spisu, přidání přílohy dokumentu a souboru přílohy, založení vypravení, načtení profilu dokumentu, načtení příloh dokumentu a načtení souborů příloh, načtení profilu spisu, načtení seznamu dokumentů ve spisu, zrušení přílohy dokumentu, zrušení dokumentu, změnu zpracovatele dokumentu a spisu, změnu profilu dokumentu, změnu profilu spisu, uzavření a otevření spisu, vyřízení dokumentu, postoupení dokumentu,  vrácení dokumentu a spisu do správy e-spis.  </w:t>
            </w:r>
          </w:p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>Tyto funkce bude volat PROXIO za účelem předávání informací do e-spis.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>PROXIO musí umožnit oprávněnému uživateli („správce dokumentů“) přidělit postoupený dokument či spis konkrétnímu uživateli PROXIO. Oprávnění správce dokumentů je uživateli přiděleno v EOS a umožní zobrazit všechny postoupené dokumenty a spisy.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>Je přípustné, aby uživatel pracoval v PROXIO i e-spis. Řešení integrace nemusí umožnit plnou obsluhu spisové služby e-spis z PROXIO.  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B830C9" w:rsidRPr="00B830C9" w:rsidTr="00983225">
        <w:tc>
          <w:tcPr>
            <w:tcW w:w="709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B830C9" w:rsidRPr="00B830C9" w:rsidRDefault="00B830C9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B830C9">
              <w:rPr>
                <w:rFonts w:ascii="Times New Roman" w:hAnsi="Times New Roman"/>
                <w:color w:val="000000"/>
                <w:sz w:val="20"/>
              </w:rPr>
              <w:t xml:space="preserve">PROXIO umožní vyhledat a ověřit existenci datové schránky subjektu v systému datových schránek ISDS.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B830C9" w:rsidRPr="00B830C9" w:rsidRDefault="00B830C9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892C17">
      <w:pPr>
        <w:pStyle w:val="Normln-Odstavec"/>
        <w:numPr>
          <w:ilvl w:val="0"/>
          <w:numId w:val="0"/>
        </w:numPr>
      </w:pPr>
    </w:p>
    <w:p w:rsidR="0028069D" w:rsidRDefault="00A7070D" w:rsidP="00707D0A">
      <w:pPr>
        <w:pStyle w:val="Normln-Odstavec"/>
      </w:pPr>
      <w:r>
        <w:t>K9 – Elektronická</w:t>
      </w:r>
      <w:r w:rsidR="00707D0A" w:rsidRPr="00707D0A">
        <w:t xml:space="preserve"> úřední deska</w:t>
      </w:r>
      <w:r w:rsidR="009902B6">
        <w:t xml:space="preserve"> integrovaná s</w:t>
      </w:r>
      <w:r w:rsidR="00764A74">
        <w:t xml:space="preserve"> již provozovaným </w:t>
      </w:r>
      <w:r w:rsidR="009902B6">
        <w:t xml:space="preserve">modulem </w:t>
      </w:r>
      <w:proofErr w:type="spellStart"/>
      <w:r w:rsidR="009902B6">
        <w:t>eDeska</w:t>
      </w:r>
      <w:proofErr w:type="spellEnd"/>
      <w:r w:rsidR="009902B6">
        <w:t xml:space="preserve"> </w:t>
      </w:r>
      <w:r w:rsidR="00764A74">
        <w:t xml:space="preserve">spisové služby e-spis automaticky zobrazující obsah modulu 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707D0A" w:rsidRPr="00707D0A" w:rsidTr="00983225">
        <w:tc>
          <w:tcPr>
            <w:tcW w:w="709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Část HW: </w:t>
            </w:r>
            <w:r w:rsidR="00707D0A" w:rsidRPr="0070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Požadavkem jsou 2 kusy digitální úřední desky v podobě </w:t>
            </w:r>
            <w:r w:rsidR="00707D0A" w:rsidRPr="00707D0A">
              <w:rPr>
                <w:rFonts w:ascii="Times New Roman" w:hAnsi="Times New Roman" w:cs="Times New Roman"/>
                <w:sz w:val="20"/>
                <w:szCs w:val="20"/>
              </w:rPr>
              <w:t xml:space="preserve">LCD dotykového panelu </w:t>
            </w:r>
            <w:r w:rsidR="00707D0A" w:rsidRPr="00707D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 displejem o úhlopříčce 55“ umístěného na zeď s ovládáním </w:t>
            </w:r>
            <w:r w:rsidR="00707D0A" w:rsidRPr="00707D0A">
              <w:rPr>
                <w:rFonts w:ascii="Times New Roman" w:hAnsi="Times New Roman" w:cs="Times New Roman"/>
                <w:sz w:val="20"/>
                <w:szCs w:val="20"/>
              </w:rPr>
              <w:t>dotykem na LCD obrazovku.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HW: 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Rozlišení: </w:t>
            </w:r>
            <w:proofErr w:type="spellStart"/>
            <w:r w:rsidR="00707D0A" w:rsidRPr="00707D0A">
              <w:rPr>
                <w:rFonts w:ascii="Times New Roman" w:hAnsi="Times New Roman"/>
                <w:sz w:val="20"/>
              </w:rPr>
              <w:t>FullHD</w:t>
            </w:r>
            <w:proofErr w:type="spellEnd"/>
            <w:r w:rsidR="00707D0A" w:rsidRPr="00707D0A">
              <w:rPr>
                <w:rFonts w:ascii="Times New Roman" w:hAnsi="Times New Roman"/>
                <w:sz w:val="20"/>
              </w:rPr>
              <w:t xml:space="preserve"> 1920 x 1080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HW: </w:t>
            </w:r>
            <w:r w:rsidR="00707D0A" w:rsidRPr="00707D0A">
              <w:rPr>
                <w:rFonts w:ascii="Times New Roman" w:hAnsi="Times New Roman"/>
                <w:sz w:val="20"/>
              </w:rPr>
              <w:t>Rozhraní: LAN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Operační systém: Windows 7 </w:t>
            </w:r>
            <w:proofErr w:type="spellStart"/>
            <w:r w:rsidR="00707D0A" w:rsidRPr="00707D0A">
              <w:rPr>
                <w:rFonts w:ascii="Times New Roman" w:hAnsi="Times New Roman"/>
                <w:sz w:val="20"/>
              </w:rPr>
              <w:t>Embedded</w:t>
            </w:r>
            <w:proofErr w:type="spellEnd"/>
            <w:r w:rsidR="00E5425A">
              <w:rPr>
                <w:rFonts w:ascii="Times New Roman" w:hAnsi="Times New Roman"/>
                <w:sz w:val="20"/>
              </w:rPr>
              <w:t xml:space="preserve"> nebo novější</w:t>
            </w:r>
            <w:r w:rsidR="00701B3C">
              <w:rPr>
                <w:rFonts w:ascii="Times New Roman" w:hAnsi="Times New Roman"/>
                <w:sz w:val="20"/>
              </w:rPr>
              <w:t>;</w:t>
            </w:r>
          </w:p>
          <w:p w:rsidR="00701B3C" w:rsidRPr="00707D0A" w:rsidRDefault="00701B3C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Zadavatel umožňuje nabídnout rovnocenné řešení plně kompatibilní s popsaným stávajícím prostředím zadavatele.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Digitální úřední deska musí disponovat SW aplikací, která je zabezpečeným internetovým prohlížečem a zprostředkovává požadované informace např. z internetu, </w:t>
            </w:r>
            <w:r w:rsidR="00707D0A" w:rsidRPr="00707D0A">
              <w:rPr>
                <w:rFonts w:ascii="Times New Roman" w:hAnsi="Times New Roman"/>
                <w:sz w:val="20"/>
              </w:rPr>
              <w:lastRenderedPageBreak/>
              <w:t xml:space="preserve">intranetu, rovněž z aplikace „Úřední deska spisové služby e-spis“ v požadovaném formátu a grafice.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sz w:val="20"/>
              </w:rPr>
              <w:t>Digitální úřední deska musí umožnit přehledné uspořádání a vyhledávání dokumentů podle zvolených kategorií, vyhledávání v dokumentech, zvětšování a předčítání pro slabozraké uživatele nebo odeslání na zadanou emailovou adresu.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sz w:val="20"/>
              </w:rPr>
              <w:t>Aplikace digitální úřední desky umožní v případě potřeby omezit přístup pouze na povolené internetové stránky a znemožní stahování souborů z webových stránek.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HW: </w:t>
            </w:r>
            <w:r w:rsidR="00707D0A" w:rsidRPr="00707D0A">
              <w:rPr>
                <w:rFonts w:ascii="Times New Roman" w:hAnsi="Times New Roman"/>
                <w:sz w:val="20"/>
              </w:rPr>
              <w:t>Digitální úřední desku lze přes internet vzdáleně vypínat, nastavovat je</w:t>
            </w:r>
            <w:r w:rsidR="00BF0EE3">
              <w:rPr>
                <w:rFonts w:ascii="Times New Roman" w:hAnsi="Times New Roman"/>
                <w:sz w:val="20"/>
              </w:rPr>
              <w:t>jí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 automatické zapnutí a vypnutí, restartovat a monitorovat je</w:t>
            </w:r>
            <w:r w:rsidR="00BF0EE3">
              <w:rPr>
                <w:rFonts w:ascii="Times New Roman" w:hAnsi="Times New Roman"/>
                <w:sz w:val="20"/>
              </w:rPr>
              <w:t>jí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 provozní stav.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9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sz w:val="20"/>
              </w:rPr>
              <w:t xml:space="preserve">V době, kdy s digitální úřední deskou nikdo aktivně nepracuje, se na obrazovce místo obrázkového spořiče spustí přehrávání provozovatelem </w:t>
            </w:r>
            <w:proofErr w:type="spellStart"/>
            <w:r w:rsidR="00707D0A" w:rsidRPr="00707D0A">
              <w:rPr>
                <w:rFonts w:ascii="Times New Roman" w:hAnsi="Times New Roman"/>
                <w:sz w:val="20"/>
              </w:rPr>
              <w:t>předkonfigurovaných</w:t>
            </w:r>
            <w:proofErr w:type="spellEnd"/>
            <w:r w:rsidR="00707D0A" w:rsidRPr="00707D0A">
              <w:rPr>
                <w:rFonts w:ascii="Times New Roman" w:hAnsi="Times New Roman"/>
                <w:sz w:val="20"/>
              </w:rPr>
              <w:t xml:space="preserve"> digitálních médií, jako jsou obrázky, video, audio, web, PDF, PowerPoint, stream.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10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126633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Část SW: </w:t>
            </w:r>
            <w:r w:rsidR="00707D0A"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Digitální úřední deska podporuje tyto</w:t>
            </w:r>
            <w:r w:rsidR="00707D0A" w:rsidRPr="00707D0A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="00707D0A" w:rsidRPr="00707D0A">
              <w:rPr>
                <w:rFonts w:ascii="Times New Roman" w:hAnsi="Times New Roman"/>
                <w:bCs/>
                <w:color w:val="000000"/>
                <w:sz w:val="20"/>
              </w:rPr>
              <w:t xml:space="preserve">formáty přehrávaných médií: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videa (mp4,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wmv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mpeg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avi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mov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m4v, 3gp/3g2, mj2,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asf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flv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>obrázky (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jpg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png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gif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>animace (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swf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audio (mp3)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webové stránky (HTML, PHP, ASP, JSP, …)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streamované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 video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3"/>
              <w:ind w:left="275" w:hanging="275"/>
              <w:rPr>
                <w:rFonts w:ascii="Times New Roman" w:hAnsi="Times New Roman"/>
                <w:color w:val="000000"/>
                <w:szCs w:val="20"/>
              </w:rPr>
            </w:pP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Power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 Point (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ppt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pps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) </w:t>
            </w:r>
          </w:p>
          <w:p w:rsidR="00707D0A" w:rsidRPr="00707D0A" w:rsidRDefault="00707D0A" w:rsidP="00707D0A">
            <w:pPr>
              <w:pStyle w:val="Odstavecseseznamem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275" w:hanging="275"/>
              <w:rPr>
                <w:rFonts w:ascii="Times New Roman" w:hAnsi="Times New Roman"/>
                <w:bCs/>
                <w:color w:val="000000" w:themeColor="text1"/>
                <w:szCs w:val="20"/>
              </w:rPr>
            </w:pPr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Adobe </w:t>
            </w:r>
            <w:proofErr w:type="spellStart"/>
            <w:r w:rsidRPr="00707D0A">
              <w:rPr>
                <w:rFonts w:ascii="Times New Roman" w:hAnsi="Times New Roman"/>
                <w:color w:val="000000"/>
                <w:szCs w:val="20"/>
              </w:rPr>
              <w:t>Acrobat</w:t>
            </w:r>
            <w:proofErr w:type="spellEnd"/>
            <w:r w:rsidRPr="00707D0A">
              <w:rPr>
                <w:rFonts w:ascii="Times New Roman" w:hAnsi="Times New Roman"/>
                <w:color w:val="000000"/>
                <w:szCs w:val="20"/>
              </w:rPr>
              <w:t xml:space="preserve"> (pdf).</w:t>
            </w:r>
            <w:r w:rsidRPr="00707D0A"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892C17" w:rsidRDefault="00892C17" w:rsidP="00C5779B">
      <w:pPr>
        <w:pStyle w:val="Normln-Odstavec"/>
        <w:numPr>
          <w:ilvl w:val="0"/>
          <w:numId w:val="0"/>
        </w:numPr>
      </w:pPr>
    </w:p>
    <w:p w:rsidR="00707D0A" w:rsidRPr="00707D0A" w:rsidRDefault="00A7070D" w:rsidP="00707D0A">
      <w:pPr>
        <w:pStyle w:val="Normln-Odstavec"/>
      </w:pPr>
      <w:r>
        <w:t>K10 – Integrace</w:t>
      </w:r>
      <w:r w:rsidR="00707D0A" w:rsidRPr="00707D0A">
        <w:t xml:space="preserve"> subsystému VITA-Přestupky v dopr</w:t>
      </w:r>
      <w:r>
        <w:t>avě s ekonomickým systémem vč. v</w:t>
      </w:r>
      <w:r w:rsidR="00707D0A" w:rsidRPr="00707D0A">
        <w:t xml:space="preserve">ymáhání 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707D0A" w:rsidRPr="00707D0A" w:rsidTr="00983225">
        <w:tc>
          <w:tcPr>
            <w:tcW w:w="709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707D0A" w:rsidRPr="00707D0A" w:rsidRDefault="00707D0A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Ověření přestupce v Centrální evidenci partnerů (PROXIO–ESP), převzetí identifikačních údajů.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Založení nového záznamu přestupce do PROXIO–ESP.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1C7EC6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Založení případu do evidence pohledávek (v subsystému PROXIO-AGENDIO)</w:t>
            </w:r>
            <w:r w:rsidR="001C7EC6">
              <w:rPr>
                <w:rFonts w:ascii="Times New Roman" w:hAnsi="Times New Roman"/>
                <w:sz w:val="20"/>
                <w:lang w:eastAsia="en-US"/>
              </w:rPr>
              <w:t>.</w:t>
            </w:r>
            <w:r w:rsidRPr="00707D0A">
              <w:rPr>
                <w:rFonts w:ascii="Times New Roman" w:hAnsi="Times New Roman"/>
                <w:sz w:val="20"/>
                <w:lang w:eastAsia="en-US"/>
              </w:rPr>
              <w:t>, převzetí jednoznačného variabilního symbolu generovaného evidencí pohledávek do systému VITA-Přestupky v dopravě (dále také jen jako “VITA“).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 xml:space="preserve">Založení exekučního titulu (Rozhodnutí o udělení sankce) včetně předpisu pohledávky </w:t>
            </w:r>
            <w:r w:rsidRPr="00707D0A">
              <w:rPr>
                <w:rFonts w:ascii="Times New Roman" w:hAnsi="Times New Roman"/>
                <w:sz w:val="20"/>
                <w:lang w:eastAsia="en-US"/>
              </w:rPr>
              <w:lastRenderedPageBreak/>
              <w:t>s rozlišením druhu platby (pokuta, náklady řízení).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Založení úkonu nabytí právní moci a vykonatelnosti k již evidovanému exekučnímu titulu.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Založení úkonu Zrušení rozhodnutí. V případě zrušení rozhodnutí vydaného v systému VITA, systém VITA založí do PROXIO-AGENDIO úkon Zrušení rozhodnutí.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Zneplatnění/Storno předpisů pohledávek. V případě zrušení rozhodnutí v systému VITA je provedeno storno již evidovaných předpisů v PROXIO-AGENDIO.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07D0A" w:rsidRPr="00707D0A" w:rsidTr="00983225">
        <w:tc>
          <w:tcPr>
            <w:tcW w:w="709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8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707D0A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707D0A" w:rsidRPr="00707D0A" w:rsidRDefault="00707D0A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sz w:val="20"/>
              </w:rPr>
            </w:pPr>
            <w:r w:rsidRPr="00707D0A">
              <w:rPr>
                <w:rFonts w:ascii="Times New Roman" w:hAnsi="Times New Roman"/>
                <w:sz w:val="20"/>
                <w:lang w:eastAsia="en-US"/>
              </w:rPr>
              <w:t>Načtení aktuálního salda případu z PROXIO-AGENDIO. Systém VITA pro zvolený případ načte výši aktuálního salda pohledávek.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707D0A" w:rsidRPr="00707D0A" w:rsidRDefault="00707D0A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72702A" w:rsidRPr="00CB36BF" w:rsidRDefault="00725407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</w:t>
      </w:r>
      <w:r w:rsidR="0072702A" w:rsidRPr="00CB36BF">
        <w:rPr>
          <w:lang w:eastAsia="cs-CZ"/>
        </w:rPr>
        <w:t xml:space="preserve">ožadavky na </w:t>
      </w:r>
      <w:r w:rsidRPr="00CB36BF">
        <w:rPr>
          <w:lang w:eastAsia="cs-CZ"/>
        </w:rPr>
        <w:t xml:space="preserve">architekturu </w:t>
      </w:r>
      <w:r w:rsidR="0072702A" w:rsidRPr="00CB36BF">
        <w:rPr>
          <w:lang w:eastAsia="cs-CZ"/>
        </w:rPr>
        <w:t>technické</w:t>
      </w:r>
      <w:r w:rsidRPr="00CB36BF">
        <w:rPr>
          <w:lang w:eastAsia="cs-CZ"/>
        </w:rPr>
        <w:t>ho</w:t>
      </w:r>
      <w:r w:rsidR="0072702A" w:rsidRPr="00CB36BF">
        <w:rPr>
          <w:lang w:eastAsia="cs-CZ"/>
        </w:rPr>
        <w:t xml:space="preserve"> řešení</w:t>
      </w:r>
    </w:p>
    <w:p w:rsidR="00D823DA" w:rsidRPr="00CB36BF" w:rsidRDefault="00D823DA" w:rsidP="00E06448">
      <w:pPr>
        <w:pStyle w:val="Normln-Odstavec"/>
      </w:pPr>
      <w:r w:rsidRPr="00CB36BF">
        <w:t>Architektura komodit musí navržena tak, aby plně využívala a doplňovala stávající prostředky TC.</w:t>
      </w:r>
    </w:p>
    <w:p w:rsidR="00D25F8D" w:rsidRDefault="00D25F8D" w:rsidP="00E06448">
      <w:pPr>
        <w:pStyle w:val="Normln-Odstavec"/>
      </w:pPr>
      <w:r>
        <w:t>V rámci realizace</w:t>
      </w:r>
      <w:r w:rsidRPr="00D25F8D">
        <w:t xml:space="preserve"> </w:t>
      </w:r>
      <w:r>
        <w:t>dojde k rozšíření funkcionality těchto stávajících používaných subsystémů:</w:t>
      </w:r>
    </w:p>
    <w:p w:rsidR="00D25F8D" w:rsidRDefault="00D25F8D" w:rsidP="00D25F8D">
      <w:pPr>
        <w:pStyle w:val="Normln-Psmeno"/>
      </w:pPr>
      <w:r>
        <w:t>PROXIO-EOS, PROXIO-</w:t>
      </w:r>
      <w:r w:rsidR="00350DC2">
        <w:t>AGENDIO (</w:t>
      </w:r>
      <w:r>
        <w:t>část Sociální agendy, Silniční hospodářství a Správní delikty),</w:t>
      </w:r>
    </w:p>
    <w:p w:rsidR="00D25F8D" w:rsidRDefault="00D25F8D" w:rsidP="00D25F8D">
      <w:pPr>
        <w:pStyle w:val="Normln-Psmeno"/>
      </w:pPr>
      <w:r>
        <w:t>Spisová služba e-spis,</w:t>
      </w:r>
    </w:p>
    <w:p w:rsidR="00D25F8D" w:rsidRDefault="00D25F8D" w:rsidP="00D25F8D">
      <w:pPr>
        <w:pStyle w:val="Normln-Psmeno"/>
      </w:pPr>
      <w:r>
        <w:t>VITA-Přestupky,</w:t>
      </w:r>
    </w:p>
    <w:p w:rsidR="00D25F8D" w:rsidRDefault="00D25F8D" w:rsidP="00D25F8D">
      <w:pPr>
        <w:pStyle w:val="Normln-Odstavec"/>
        <w:numPr>
          <w:ilvl w:val="0"/>
          <w:numId w:val="0"/>
        </w:numPr>
      </w:pPr>
      <w:r>
        <w:t xml:space="preserve">a k implementaci nově dodávaných </w:t>
      </w:r>
      <w:r w:rsidR="00350DC2">
        <w:t>subsystémů</w:t>
      </w:r>
      <w:r w:rsidR="00243124">
        <w:t>.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D25F8D" w:rsidRPr="00D25F8D" w:rsidTr="00983225">
        <w:tc>
          <w:tcPr>
            <w:tcW w:w="709" w:type="dxa"/>
            <w:shd w:val="clear" w:color="auto" w:fill="B8CCE4"/>
          </w:tcPr>
          <w:p w:rsidR="00D25F8D" w:rsidRPr="00D25F8D" w:rsidRDefault="00D25F8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D25F8D" w:rsidRPr="00D25F8D" w:rsidRDefault="00D25F8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D25F8D" w:rsidRPr="00D25F8D" w:rsidRDefault="00D25F8D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D25F8D" w:rsidRPr="00D25F8D" w:rsidRDefault="00D25F8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D25F8D" w:rsidRPr="00D25F8D" w:rsidRDefault="00D25F8D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D25F8D" w:rsidRPr="00D25F8D" w:rsidTr="00983225">
        <w:tc>
          <w:tcPr>
            <w:tcW w:w="709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25F8D" w:rsidRPr="00D25F8D" w:rsidRDefault="00D25F8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sz w:val="20"/>
              </w:rPr>
              <w:t xml:space="preserve">Identita uživatelů a jejich uživatelská oprávnění budou spravovány centrálně.  Tato centrální správa identit je realizována prostřednictvím stávající </w:t>
            </w:r>
            <w:r w:rsidR="00350DC2" w:rsidRPr="00D25F8D">
              <w:rPr>
                <w:rFonts w:ascii="Times New Roman" w:hAnsi="Times New Roman"/>
                <w:sz w:val="20"/>
              </w:rPr>
              <w:t>aplikace PROXIO</w:t>
            </w:r>
            <w:r w:rsidRPr="00D25F8D">
              <w:rPr>
                <w:rFonts w:ascii="Times New Roman" w:hAnsi="Times New Roman"/>
                <w:sz w:val="20"/>
              </w:rPr>
              <w:t>-EOS v integraci s AD.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D25F8D" w:rsidRPr="00D25F8D" w:rsidTr="00983225">
        <w:tc>
          <w:tcPr>
            <w:tcW w:w="709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D25F8D" w:rsidRPr="00D25F8D" w:rsidRDefault="00D25F8D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D25F8D">
              <w:rPr>
                <w:rFonts w:ascii="Times New Roman" w:hAnsi="Times New Roman"/>
                <w:sz w:val="20"/>
              </w:rPr>
              <w:t xml:space="preserve">Popsané otevřené aplikační rozhraní pro obousměrnou komunikaci s dalšími aplikacemi IS </w:t>
            </w:r>
            <w:r w:rsidR="00350DC2" w:rsidRPr="00D25F8D">
              <w:rPr>
                <w:rFonts w:ascii="Times New Roman" w:hAnsi="Times New Roman"/>
                <w:sz w:val="20"/>
              </w:rPr>
              <w:t>zadavatele – na</w:t>
            </w:r>
            <w:r w:rsidRPr="00D25F8D">
              <w:rPr>
                <w:rFonts w:ascii="Times New Roman" w:hAnsi="Times New Roman"/>
                <w:sz w:val="20"/>
              </w:rPr>
              <w:t xml:space="preserve"> bázi Web </w:t>
            </w:r>
            <w:proofErr w:type="spellStart"/>
            <w:r w:rsidRPr="00D25F8D">
              <w:rPr>
                <w:rFonts w:ascii="Times New Roman" w:hAnsi="Times New Roman"/>
                <w:sz w:val="20"/>
              </w:rPr>
              <w:t>Services</w:t>
            </w:r>
            <w:proofErr w:type="spellEnd"/>
            <w:r w:rsidRPr="00D25F8D">
              <w:rPr>
                <w:rFonts w:ascii="Times New Roman" w:hAnsi="Times New Roman"/>
                <w:sz w:val="20"/>
              </w:rPr>
              <w:t xml:space="preserve"> (technologie SOAP).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D25F8D" w:rsidRPr="00D25F8D" w:rsidRDefault="00D25F8D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725407" w:rsidRPr="00CB36BF" w:rsidRDefault="00725407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bookmarkStart w:id="7" w:name="OLE_LINK13"/>
      <w:bookmarkStart w:id="8" w:name="OLE_LINK14"/>
      <w:r w:rsidRPr="00CB36BF">
        <w:rPr>
          <w:lang w:eastAsia="cs-CZ"/>
        </w:rPr>
        <w:t>Požadavky na kompatibilitu s ostatními systémy</w:t>
      </w:r>
    </w:p>
    <w:p w:rsidR="002A2F78" w:rsidRDefault="002A2F78" w:rsidP="002A2F78">
      <w:pPr>
        <w:pStyle w:val="Normln-Odstavec"/>
      </w:pPr>
      <w:r>
        <w:t xml:space="preserve">Integrace se zachovávanými aplikacemi zahrnuje také integraci s celostátními systémy. Pro všechny integrace zajistí zadavatel součinnost a nezbytné technické podmínky pro realizaci integrace, u datových integrací (import dat) zajistí vstupní data.  </w:t>
      </w:r>
    </w:p>
    <w:p w:rsidR="002A2F78" w:rsidRDefault="002A2F78" w:rsidP="002A2F78">
      <w:pPr>
        <w:pStyle w:val="Normln-Odstavec"/>
      </w:pPr>
      <w:r>
        <w:t xml:space="preserve">Spisová služba e-spis – cílem integrace je podpora zpracování doručených i vypravovaných dokumentů, které jsou evidovány ve spisové službě. Z agendových systémů budou do spisové služby zakládány zejména vlastní dokumenty včetně adresátů a příloh, dále bude využito služby pro ověření doručení dokumentu, zařazování do spisu a další. Z portálu </w:t>
      </w:r>
      <w:r>
        <w:lastRenderedPageBreak/>
        <w:t>občana budou do spisové služby zakládána elektronická podání</w:t>
      </w:r>
      <w:r w:rsidR="00CC14E1">
        <w:t xml:space="preserve">. </w:t>
      </w:r>
      <w:r>
        <w:t>Prostřednictvím spisové služby budou komunikovat nabízená řešení se systémem datových schránek (ISDS).</w:t>
      </w:r>
    </w:p>
    <w:p w:rsidR="002A2F78" w:rsidRPr="00706970" w:rsidRDefault="002A2F78" w:rsidP="002A2F78">
      <w:pPr>
        <w:pStyle w:val="Normln-Odstavec"/>
      </w:pPr>
      <w:r w:rsidRPr="00706970">
        <w:t xml:space="preserve">VITA-Přestupky v dopravě – tato integrace má za cíl zejména zajistit přenos informací o rozhodnutí do PROXIO a vymáhání za účelem správy a vymáhání pohledávek. Ze systému VITA bude předán exekuční titul (rozhodnutí) včetně odpovídajících předpisů pohledávek. Z PROXIO bude systému VITA poskytována informace o úhradě a vyrovnání. </w:t>
      </w:r>
    </w:p>
    <w:p w:rsidR="002A2F78" w:rsidRDefault="002A2F78" w:rsidP="00472BD0">
      <w:pPr>
        <w:pStyle w:val="Normln-Odstavec"/>
      </w:pPr>
      <w:r>
        <w:t xml:space="preserve">VITA–Stavební úřad – tato integrace má za cíl zejména zajistit přenos informací o rozhodnutí o pokutě (např. pořádková pokuta) do PROXIO a vymáhání za účelem správy a vymáhání pohledávek. Ze systému VITA bude předán exekuční titul (rozhodnutí) včetně odpovídajících předpisů pohledávek. Z PROXIO bude systému VITA poskytována informace o úhradě a vyrovnání. Integrace s PROXIO také podpoří evidenci a ověření zaplacení správního poplatku a získání informací o nemovitých objektech z PROXIO. </w:t>
      </w:r>
      <w:r w:rsidR="00472BD0" w:rsidRPr="00472BD0">
        <w:t>Dále bude systém poskytovat informace o stavech řízení pro konkrétní občany.</w:t>
      </w:r>
    </w:p>
    <w:p w:rsidR="002A2F78" w:rsidRDefault="002A2F78" w:rsidP="002A2F78">
      <w:pPr>
        <w:pStyle w:val="Normln-Odstavec"/>
      </w:pPr>
      <w:r>
        <w:t>eGovernment – tato oblast zahrnuje vazby na celostátní systémy. Jde o centrálně spravovanou vazbu na systém základních registrů (ISZR) pomocí komponenty PROXIO-XR, která zajistí využití dat základních registrů ve všech agendách IS města, vazbu na ISUI pro zajištění plnění funkce editora RUIAN. Kromě ISZR je předpokládáno využití i dalších externích zdrojů, které budou integrovány (ISKN, Insolvenční rejstřík, ISEP</w:t>
      </w:r>
      <w:r w:rsidR="00AB4324">
        <w:t>, NIA</w:t>
      </w:r>
      <w:r>
        <w:t>).</w:t>
      </w:r>
    </w:p>
    <w:p w:rsidR="00274EBF" w:rsidRPr="00274EBF" w:rsidRDefault="00274EBF" w:rsidP="00274EBF">
      <w:pPr>
        <w:pStyle w:val="Normln-Odstavec"/>
      </w:pPr>
      <w:r w:rsidRPr="00274EBF">
        <w:t xml:space="preserve">Všechny software komponenty dodávaného řešení musí disponovat otevřeným API rozhraním na bázi webových služeb (web </w:t>
      </w:r>
      <w:proofErr w:type="spellStart"/>
      <w:r w:rsidRPr="00274EBF">
        <w:t>services</w:t>
      </w:r>
      <w:proofErr w:type="spellEnd"/>
      <w:r w:rsidRPr="00274EBF">
        <w:t xml:space="preserve"> – SOAP), jehož dokumentace bude součástí dodávky.  Rozhraní umožní prostřednictvím v něm obsažených funkcí přístup k datům dodávaného systému/systémů pro čtení a zápis.</w:t>
      </w:r>
    </w:p>
    <w:p w:rsidR="00274EBF" w:rsidRPr="00274EBF" w:rsidRDefault="00274EBF" w:rsidP="00274EBF">
      <w:pPr>
        <w:pStyle w:val="Normln-Odstavec"/>
      </w:pPr>
      <w:r w:rsidRPr="00274EBF">
        <w:t xml:space="preserve">Všechny software komponenty dodávaného řešení budou integrovány se stávajícími software systémy zadavatele uvedenými v této příloze formou aplikačního rozhraní (API), není přípustné realizovat integraci na úrovni přímého přístupu do dat či formou exportu a importu dat. </w:t>
      </w:r>
    </w:p>
    <w:p w:rsidR="00274EBF" w:rsidRPr="00274EBF" w:rsidRDefault="00274EBF" w:rsidP="00274EBF">
      <w:pPr>
        <w:pStyle w:val="Normln-Odstavec"/>
      </w:pPr>
      <w:r w:rsidRPr="00274EBF">
        <w:t>Všechny software komponenty dodávaného řešení budou integrovány s následujícími subsystémy IS MÚ Příbram:</w:t>
      </w:r>
    </w:p>
    <w:p w:rsidR="00274EBF" w:rsidRPr="00916C7C" w:rsidRDefault="00274EBF" w:rsidP="00983225">
      <w:pPr>
        <w:pStyle w:val="Normln-Psmeno"/>
      </w:pPr>
      <w:r w:rsidRPr="00916C7C">
        <w:t>IDM PROXIO-</w:t>
      </w:r>
      <w:r w:rsidR="00916C7C" w:rsidRPr="00916C7C">
        <w:t>EOS</w:t>
      </w:r>
      <w:r w:rsidR="00916C7C">
        <w:t xml:space="preserve"> – nabízené</w:t>
      </w:r>
      <w:r w:rsidRPr="00916C7C">
        <w:t xml:space="preserve"> řešení využije IDM PROXIO-EOS jako referenční zdroj organizační struktury a identit (pracovníků) a pro autorizaci uživatelů. Autentizace uživatelů bude realizována proti </w:t>
      </w:r>
      <w:proofErr w:type="spellStart"/>
      <w:r w:rsidRPr="00916C7C">
        <w:t>Active</w:t>
      </w:r>
      <w:proofErr w:type="spellEnd"/>
      <w:r w:rsidRPr="00916C7C">
        <w:t xml:space="preserve"> </w:t>
      </w:r>
      <w:proofErr w:type="spellStart"/>
      <w:r w:rsidRPr="00916C7C">
        <w:t>Directory</w:t>
      </w:r>
      <w:proofErr w:type="spellEnd"/>
      <w:r w:rsidRPr="00916C7C">
        <w:t xml:space="preserve"> (AD). Nabízené řešení využije IDM PROXIO-EOS jako zdroj agend a činnostních rolí RPP a přidělení těchto činnostních rolí jednotlivým uživatelům.</w:t>
      </w:r>
      <w:r w:rsidR="00916C7C">
        <w:t xml:space="preserve"> </w:t>
      </w:r>
      <w:r w:rsidRPr="00916C7C">
        <w:t>Není přípustná samostatná správa organizační struktury, uživatelů a jejich oprávnění, agend a činnostních rolí RPP a jejich přidělení uživatelům v nabízeném řešení.</w:t>
      </w:r>
    </w:p>
    <w:p w:rsidR="00274EBF" w:rsidRPr="00916C7C" w:rsidRDefault="00274EBF" w:rsidP="00983225">
      <w:pPr>
        <w:pStyle w:val="Normln-Psmeno"/>
      </w:pPr>
      <w:r w:rsidRPr="00916C7C">
        <w:t>Centrální správa komunikace s ISZR – PROXIO-XR</w:t>
      </w:r>
      <w:r w:rsidR="00916C7C">
        <w:t xml:space="preserve">. </w:t>
      </w:r>
      <w:r w:rsidRPr="00916C7C">
        <w:t xml:space="preserve">Nabízené řešení nebude komunikovat s ISZR přímo a pro komunikaci využije již provozovaný subsystém PROXIO-XR. Integrace bude probíhat formou volání služeb PROXIO-XR, které je realizované technologií webových </w:t>
      </w:r>
      <w:r w:rsidR="00122A4E" w:rsidRPr="00916C7C">
        <w:t>služeb – SOAP</w:t>
      </w:r>
      <w:r w:rsidRPr="00916C7C">
        <w:t>. Nabízené řešení zajistí, že nebudou prováděny dotazy pod činnostními rolemi, které nemá uživatel přidělené v IDM PROXIO-</w:t>
      </w:r>
      <w:r w:rsidR="00122A4E" w:rsidRPr="00916C7C">
        <w:t>EOS.</w:t>
      </w:r>
      <w:r w:rsidR="00122A4E">
        <w:t xml:space="preserve"> </w:t>
      </w:r>
      <w:r w:rsidRPr="00916C7C">
        <w:t xml:space="preserve">Zjištění činnostních rolí předělených uživateli z PROXIO-EOS bude probíhat stejným režimem jako zjištění a aktualizace autorizačních informaci z PROXIO-EOS. Nabízené řešení nebude provádět vlastní logování přístupu do základních registrů. Toto logování zajistí PROXIO-XR. Požadované řešení zajistí vyplnění potřebných údajů (mimo jiné činnostní role a důvod přístupu) při volání služeb PROXIO-XR. Nabízené řešení využije v IS MÚ existující lokální kopii registru RUIAN pro vyhledání a ověření adresy, jako zdroj číselníků, pro zjištění souřadnice adresy apod.  </w:t>
      </w:r>
    </w:p>
    <w:p w:rsidR="00274EBF" w:rsidRPr="00916C7C" w:rsidRDefault="00274EBF" w:rsidP="00983225">
      <w:pPr>
        <w:pStyle w:val="Normln-Psmeno"/>
      </w:pPr>
      <w:r w:rsidRPr="00916C7C">
        <w:lastRenderedPageBreak/>
        <w:t>Agendový systém PROXIO</w:t>
      </w:r>
      <w:r w:rsidR="00E06448">
        <w:t xml:space="preserve">. </w:t>
      </w:r>
      <w:r w:rsidRPr="00916C7C">
        <w:t xml:space="preserve">Nabízené řešení bude komunikovat s agendovým systémem PROXIO formou volání služeb PROXIO, které jsou realizované technologií webových </w:t>
      </w:r>
      <w:r w:rsidR="00E06448" w:rsidRPr="00916C7C">
        <w:t>služeb – SOAP</w:t>
      </w:r>
      <w:r w:rsidR="00E06448">
        <w:t xml:space="preserve">. </w:t>
      </w:r>
      <w:r w:rsidRPr="00916C7C">
        <w:t>Režim komunikace nabízeného řešení s PROXIO bude synchronní v celém rozsahu integrace.</w:t>
      </w:r>
    </w:p>
    <w:p w:rsidR="00274EBF" w:rsidRPr="00916C7C" w:rsidRDefault="00274EBF" w:rsidP="00983225">
      <w:pPr>
        <w:pStyle w:val="Normln-Psmeno"/>
      </w:pPr>
      <w:r w:rsidRPr="00916C7C">
        <w:t>Ekonomický subsystém PROXIO-</w:t>
      </w:r>
      <w:r w:rsidR="00E06448" w:rsidRPr="00916C7C">
        <w:t>NAV</w:t>
      </w:r>
      <w:r w:rsidR="00E06448">
        <w:t xml:space="preserve"> – zpracování</w:t>
      </w:r>
      <w:r w:rsidRPr="00916C7C">
        <w:t xml:space="preserve"> plateb a párování na předpisy proběhne v ekonomickém subsystému PROXIO-NAV.</w:t>
      </w:r>
    </w:p>
    <w:p w:rsidR="00274EBF" w:rsidRPr="00E06448" w:rsidRDefault="00E06448" w:rsidP="00983225">
      <w:pPr>
        <w:pStyle w:val="Normln-Psmeno"/>
      </w:pPr>
      <w:r>
        <w:t>Spisová služba e-spis – integrace</w:t>
      </w:r>
      <w:r w:rsidR="00274EBF" w:rsidRPr="00E06448">
        <w:t xml:space="preserve"> nabízeného řešení se spisovou službou úřadu bude probíhat formou volání služeb rozhraní spisové služby, které je realizované technologií webových </w:t>
      </w:r>
      <w:r w:rsidRPr="00E06448">
        <w:t>služeb – SOAP</w:t>
      </w:r>
      <w:r w:rsidR="00274EBF" w:rsidRPr="00E06448">
        <w:t>.</w:t>
      </w:r>
      <w:r>
        <w:t xml:space="preserve"> </w:t>
      </w:r>
      <w:r w:rsidR="00274EBF" w:rsidRPr="00E06448">
        <w:t>Při integraci nesmí docházet ke vzájemné synchronizaci informací (kopírování dokumentů a spisů) mezi dodaným řešením a spisovou službou. Spisy a dokumenty vznikají a jsou uloženy primárně ve spisové službě. Dokumenty vznikající v nabízeném řešení jsou ukládány do spisové služby a nejsou duplikovány do nabízeného řešení. Dokumenty a spisy jsou v nabízeném řešení zpřístupněny načtením v reálném čase prostřednictvím rozhraní. Nabízené řešení nebude komunikovat přímo s ISDS a pro komunikaci využije spisovou službu (např. vypravení do datové schránky, zjištění vypravení či doručení apod.).</w:t>
      </w:r>
      <w:r>
        <w:t xml:space="preserve"> </w:t>
      </w:r>
      <w:r w:rsidR="00274EBF" w:rsidRPr="00E06448">
        <w:t>Integrace umožní minimálně</w:t>
      </w:r>
      <w:r>
        <w:t xml:space="preserve"> následující funkčnost</w:t>
      </w:r>
      <w:r w:rsidR="00274EBF" w:rsidRPr="00E06448">
        <w:t>:</w:t>
      </w:r>
    </w:p>
    <w:p w:rsidR="00274EBF" w:rsidRPr="00E06448" w:rsidRDefault="00274EBF" w:rsidP="00E06448">
      <w:pPr>
        <w:pStyle w:val="Normln-msk"/>
      </w:pPr>
      <w:r w:rsidRPr="00E06448">
        <w:t>získání č.j. ze spisové služby,</w:t>
      </w:r>
    </w:p>
    <w:p w:rsidR="00274EBF" w:rsidRPr="00E06448" w:rsidRDefault="00274EBF" w:rsidP="00E06448">
      <w:pPr>
        <w:pStyle w:val="Normln-msk"/>
      </w:pPr>
      <w:r w:rsidRPr="00E06448">
        <w:t>založení dokumentu do spisové služby včetně příloh (elektronické „soubory“),</w:t>
      </w:r>
    </w:p>
    <w:p w:rsidR="00274EBF" w:rsidRPr="00E06448" w:rsidRDefault="00274EBF" w:rsidP="00E06448">
      <w:pPr>
        <w:pStyle w:val="Normln-msk"/>
      </w:pPr>
      <w:r w:rsidRPr="00E06448">
        <w:t>založení zásilek k dokumentu pro vypravení adresátům včetně interního vypravení a vypravení prostřednictvím ISDS,</w:t>
      </w:r>
    </w:p>
    <w:p w:rsidR="00274EBF" w:rsidRPr="00E06448" w:rsidRDefault="00274EBF" w:rsidP="00E06448">
      <w:pPr>
        <w:pStyle w:val="Normln-msk"/>
      </w:pPr>
      <w:r w:rsidRPr="00E06448">
        <w:t>zobrazení obsahu spisu (dokumentů ve spisu) načtením v reálném čase ze spisové služby,</w:t>
      </w:r>
    </w:p>
    <w:p w:rsidR="00274EBF" w:rsidRPr="00E06448" w:rsidRDefault="00274EBF" w:rsidP="00E06448">
      <w:pPr>
        <w:pStyle w:val="Normln-msk"/>
      </w:pPr>
      <w:r w:rsidRPr="00E06448">
        <w:t>zobrazení dokumentu včetně příloh načtením v reálném čase ze spisové služby,</w:t>
      </w:r>
    </w:p>
    <w:p w:rsidR="00274EBF" w:rsidRPr="00E06448" w:rsidRDefault="00274EBF" w:rsidP="00E06448">
      <w:pPr>
        <w:pStyle w:val="Normln-msk"/>
      </w:pPr>
      <w:r w:rsidRPr="00E06448">
        <w:t xml:space="preserve">vyhledání spisu </w:t>
      </w:r>
      <w:r w:rsidR="00172D64" w:rsidRPr="00E06448">
        <w:t>anebo</w:t>
      </w:r>
      <w:r w:rsidRPr="00E06448">
        <w:t xml:space="preserve"> dokumentu ze spisové služby minimálně na základě spisové z</w:t>
      </w:r>
      <w:r w:rsidR="00172D64">
        <w:t>načky, č.j. (pouze u dokumentu)</w:t>
      </w:r>
      <w:r w:rsidRPr="00E06448">
        <w:t>, věci,</w:t>
      </w:r>
    </w:p>
    <w:p w:rsidR="00274EBF" w:rsidRPr="00E06448" w:rsidRDefault="00274EBF" w:rsidP="00E06448">
      <w:pPr>
        <w:pStyle w:val="Normln-msk"/>
      </w:pPr>
      <w:r w:rsidRPr="00E06448">
        <w:t>ověření existence aktivní datové schránky adresáta,</w:t>
      </w:r>
    </w:p>
    <w:p w:rsidR="00274EBF" w:rsidRDefault="00274EBF" w:rsidP="00E06448">
      <w:pPr>
        <w:pStyle w:val="Normln-msk"/>
      </w:pPr>
      <w:r w:rsidRPr="00E06448">
        <w:t>vyřízení dokumentu a uzavření spisu, znovuotevření dokumentu a spisu.</w:t>
      </w:r>
    </w:p>
    <w:p w:rsidR="00706970" w:rsidRPr="00E06448" w:rsidRDefault="005C7EA3" w:rsidP="00F04617">
      <w:pPr>
        <w:pStyle w:val="Normln-Odstavec"/>
        <w:spacing w:after="0"/>
        <w:jc w:val="left"/>
      </w:pPr>
      <w:r>
        <w:t>Další požadavky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172D64" w:rsidRPr="00172D64" w:rsidTr="00983225">
        <w:tc>
          <w:tcPr>
            <w:tcW w:w="709" w:type="dxa"/>
            <w:shd w:val="clear" w:color="auto" w:fill="B8CCE4"/>
          </w:tcPr>
          <w:p w:rsidR="00172D64" w:rsidRPr="00172D64" w:rsidRDefault="00172D64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172D64" w:rsidRPr="00172D64" w:rsidRDefault="00172D64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172D64" w:rsidRPr="00172D64" w:rsidRDefault="00172D64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172D64" w:rsidRPr="00172D64" w:rsidRDefault="00172D64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172D64" w:rsidRPr="00172D64" w:rsidRDefault="00172D64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172D64" w:rsidRPr="00172D64" w:rsidTr="00983225">
        <w:tc>
          <w:tcPr>
            <w:tcW w:w="709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2D64" w:rsidRPr="00172D64" w:rsidRDefault="00172D64" w:rsidP="00983225">
            <w:pPr>
              <w:pStyle w:val="19anodst"/>
              <w:spacing w:before="40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Nabízené řešení využije IDM PROXIO-EOS jako referenční zdroj organizační struktury, identit pracovníků a pro autorizaci uživatelů. Platí za předpokladu, že tyto informace jsou v dané aplikaci využívány.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2D64" w:rsidRPr="00172D64" w:rsidTr="00983225">
        <w:tc>
          <w:tcPr>
            <w:tcW w:w="709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2D64" w:rsidRPr="00172D64" w:rsidRDefault="00172D64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Nabízené řešení bude komunikovat s ISZR prostřednictvím PROXIO-XR. Platí za předpokladu, že tyto informace jsou v dané aplikaci využívány.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2D64" w:rsidRPr="00172D64" w:rsidTr="00983225">
        <w:tc>
          <w:tcPr>
            <w:tcW w:w="709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2D64" w:rsidRPr="00172D64" w:rsidRDefault="00172D64" w:rsidP="00CC14E1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Nabízené řešení bude komunikovat s agen</w:t>
            </w:r>
            <w:r w:rsidR="00CC14E1">
              <w:rPr>
                <w:rFonts w:ascii="Times New Roman" w:hAnsi="Times New Roman"/>
                <w:bCs/>
                <w:color w:val="000000" w:themeColor="text1"/>
                <w:sz w:val="20"/>
              </w:rPr>
              <w:t>d</w:t>
            </w: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ovým systémem PROXIO-AGENDIO. Platí za předpokladu, že tyto informace jsou z dané aplikace do AGENDIO předávány.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172D64" w:rsidRPr="00172D64" w:rsidTr="00983225">
        <w:tc>
          <w:tcPr>
            <w:tcW w:w="709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172D64" w:rsidRPr="00172D64" w:rsidRDefault="00172D64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172D64">
              <w:rPr>
                <w:rFonts w:ascii="Times New Roman" w:hAnsi="Times New Roman"/>
                <w:bCs/>
                <w:color w:val="000000" w:themeColor="text1"/>
                <w:sz w:val="20"/>
              </w:rPr>
              <w:t>Nabízené řešení bude integrováno se spisovou službou e-spis. Platí za předpokladu, že tyto informace jsou v dané aplikaci využívány.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172D64" w:rsidRPr="00172D64" w:rsidRDefault="00172D64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274EBF" w:rsidRDefault="00274EBF" w:rsidP="003F7EA6">
      <w:pPr>
        <w:pStyle w:val="Normln-Odstavec"/>
        <w:numPr>
          <w:ilvl w:val="0"/>
          <w:numId w:val="0"/>
        </w:numPr>
      </w:pPr>
    </w:p>
    <w:p w:rsidR="00725407" w:rsidRPr="00CB36BF" w:rsidRDefault="00725407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typy klientů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04158F" w:rsidRPr="0004158F" w:rsidTr="00983225">
        <w:tc>
          <w:tcPr>
            <w:tcW w:w="709" w:type="dxa"/>
            <w:shd w:val="clear" w:color="auto" w:fill="B8CCE4"/>
          </w:tcPr>
          <w:p w:rsidR="0004158F" w:rsidRPr="0004158F" w:rsidRDefault="0004158F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04158F" w:rsidRPr="0004158F" w:rsidRDefault="0004158F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04158F" w:rsidRPr="0004158F" w:rsidRDefault="0004158F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04158F" w:rsidRPr="0004158F" w:rsidRDefault="0004158F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04158F" w:rsidRPr="0004158F" w:rsidRDefault="0004158F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04158F" w:rsidRPr="0004158F" w:rsidTr="00983225">
        <w:tc>
          <w:tcPr>
            <w:tcW w:w="709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4158F" w:rsidRPr="0004158F" w:rsidRDefault="0004158F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  <w:highlight w:val="yellow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Zobrazení mapy a mapových podkladů primárně zobrazovat v internetovém prohlížeči.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4158F" w:rsidRPr="0004158F" w:rsidTr="00983225">
        <w:tc>
          <w:tcPr>
            <w:tcW w:w="709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04158F" w:rsidRPr="0004158F" w:rsidRDefault="0004158F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4158F">
              <w:rPr>
                <w:rFonts w:ascii="Times New Roman" w:hAnsi="Times New Roman"/>
                <w:bCs/>
                <w:color w:val="000000" w:themeColor="text1"/>
                <w:sz w:val="20"/>
              </w:rPr>
              <w:t>Digitální úřední deska v podobě 2x LCD dotykového panelu s displejem o úhlopříčce 55“ s ovládáním dotykem na LCD obrazovku.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4158F" w:rsidRPr="0004158F" w:rsidRDefault="0004158F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725407" w:rsidRPr="00CB36BF" w:rsidRDefault="00725407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bezpečnost informací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630"/>
        <w:gridCol w:w="4182"/>
        <w:gridCol w:w="1276"/>
        <w:gridCol w:w="1018"/>
      </w:tblGrid>
      <w:tr w:rsidR="003F7EA6" w:rsidRPr="003F7EA6" w:rsidTr="00983225">
        <w:tc>
          <w:tcPr>
            <w:tcW w:w="709" w:type="dxa"/>
            <w:shd w:val="clear" w:color="auto" w:fill="B8CCE4"/>
          </w:tcPr>
          <w:p w:rsidR="003F7EA6" w:rsidRPr="003F7EA6" w:rsidRDefault="003F7EA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630" w:type="dxa"/>
            <w:shd w:val="clear" w:color="auto" w:fill="B8CCE4"/>
          </w:tcPr>
          <w:p w:rsidR="003F7EA6" w:rsidRPr="003F7EA6" w:rsidRDefault="003F7EA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182" w:type="dxa"/>
            <w:shd w:val="clear" w:color="auto" w:fill="B8CCE4"/>
          </w:tcPr>
          <w:p w:rsidR="003F7EA6" w:rsidRPr="003F7EA6" w:rsidRDefault="003F7EA6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76" w:type="dxa"/>
            <w:shd w:val="clear" w:color="auto" w:fill="B8CCE4"/>
          </w:tcPr>
          <w:p w:rsidR="003F7EA6" w:rsidRPr="003F7EA6" w:rsidRDefault="003F7EA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18" w:type="dxa"/>
            <w:shd w:val="clear" w:color="auto" w:fill="B8CCE4"/>
            <w:vAlign w:val="center"/>
          </w:tcPr>
          <w:p w:rsidR="003F7EA6" w:rsidRPr="003F7EA6" w:rsidRDefault="003F7EA6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3F7EA6" w:rsidRPr="003F7EA6" w:rsidTr="00983225">
        <w:tc>
          <w:tcPr>
            <w:tcW w:w="709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3F7EA6" w:rsidRPr="003F7EA6" w:rsidRDefault="003F7EA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sz w:val="20"/>
              </w:rPr>
              <w:t>Přihlašování k aplikacím prostřednictvím SSO (Single Sign-On) – jednou přihlášeného uživatele už není potřeba znovu ověřovat.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3F7EA6" w:rsidRPr="003F7EA6" w:rsidTr="00983225">
        <w:tc>
          <w:tcPr>
            <w:tcW w:w="709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3F7EA6" w:rsidRPr="003F7EA6" w:rsidRDefault="003F7EA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sz w:val="20"/>
              </w:rPr>
              <w:t>Řízení přístupových práv aplikací a jejich nastavování z jednoho místa PROXIO-EOS.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3F7EA6" w:rsidRPr="003F7EA6" w:rsidTr="00983225">
        <w:tc>
          <w:tcPr>
            <w:tcW w:w="709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3F7EA6" w:rsidRPr="003F7EA6" w:rsidRDefault="003F7EA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3F7EA6">
              <w:rPr>
                <w:rFonts w:ascii="Times New Roman" w:hAnsi="Times New Roman"/>
                <w:sz w:val="20"/>
              </w:rPr>
              <w:t xml:space="preserve">Ověřování uživatele – autentizace – prostřednictvím </w:t>
            </w:r>
            <w:proofErr w:type="spellStart"/>
            <w:r w:rsidRPr="003F7EA6">
              <w:rPr>
                <w:rFonts w:ascii="Times New Roman" w:hAnsi="Times New Roman"/>
                <w:sz w:val="20"/>
              </w:rPr>
              <w:t>Active</w:t>
            </w:r>
            <w:proofErr w:type="spellEnd"/>
            <w:r w:rsidRPr="003F7EA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F7EA6">
              <w:rPr>
                <w:rFonts w:ascii="Times New Roman" w:hAnsi="Times New Roman"/>
                <w:sz w:val="20"/>
              </w:rPr>
              <w:t>Directory</w:t>
            </w:r>
            <w:proofErr w:type="spellEnd"/>
            <w:r w:rsidRPr="003F7EA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3F7EA6" w:rsidRPr="003F7EA6" w:rsidTr="00983225">
        <w:tc>
          <w:tcPr>
            <w:tcW w:w="709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3F7EA6" w:rsidRPr="003F7EA6" w:rsidRDefault="003F7EA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3F7EA6">
              <w:rPr>
                <w:rFonts w:ascii="Times New Roman" w:hAnsi="Times New Roman"/>
                <w:sz w:val="20"/>
              </w:rPr>
              <w:t>Načtení oprávnění uživatele v aplikaci – autorizace – z IDM systému PROXIO-EOS.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3F7EA6" w:rsidRPr="003F7EA6" w:rsidTr="00983225">
        <w:tc>
          <w:tcPr>
            <w:tcW w:w="709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F7EA6">
              <w:rPr>
                <w:rFonts w:ascii="Times New Roman" w:hAnsi="Times New Roman"/>
                <w:bCs/>
                <w:color w:val="000000" w:themeColor="text1"/>
                <w:sz w:val="20"/>
              </w:rPr>
              <w:t>Požadované</w:t>
            </w:r>
          </w:p>
        </w:tc>
        <w:tc>
          <w:tcPr>
            <w:tcW w:w="4182" w:type="dxa"/>
            <w:shd w:val="clear" w:color="auto" w:fill="auto"/>
          </w:tcPr>
          <w:p w:rsidR="003F7EA6" w:rsidRPr="003F7EA6" w:rsidRDefault="003F7EA6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3F7EA6">
              <w:rPr>
                <w:rFonts w:ascii="Times New Roman" w:hAnsi="Times New Roman"/>
                <w:sz w:val="20"/>
              </w:rPr>
              <w:t xml:space="preserve">Bezpečnost uložených dat v souladu s nařízením Evropské unie GDPR (General Data </w:t>
            </w:r>
            <w:proofErr w:type="spellStart"/>
            <w:r w:rsidRPr="003F7EA6">
              <w:rPr>
                <w:rFonts w:ascii="Times New Roman" w:hAnsi="Times New Roman"/>
                <w:sz w:val="20"/>
              </w:rPr>
              <w:t>Protection</w:t>
            </w:r>
            <w:proofErr w:type="spellEnd"/>
            <w:r w:rsidRPr="003F7EA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F7EA6">
              <w:rPr>
                <w:rFonts w:ascii="Times New Roman" w:hAnsi="Times New Roman"/>
                <w:sz w:val="20"/>
              </w:rPr>
              <w:t>Regulation</w:t>
            </w:r>
            <w:proofErr w:type="spellEnd"/>
            <w:r w:rsidRPr="003F7EA6">
              <w:rPr>
                <w:rFonts w:ascii="Times New Roman" w:hAnsi="Times New Roman"/>
                <w:sz w:val="20"/>
              </w:rPr>
              <w:t>).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3F7EA6" w:rsidRPr="003F7EA6" w:rsidRDefault="003F7EA6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FA6597" w:rsidRPr="007D130A" w:rsidRDefault="00FA6597" w:rsidP="00FA6597">
      <w:pPr>
        <w:pStyle w:val="Nadpis3"/>
      </w:pPr>
      <w:bookmarkStart w:id="9" w:name="_Toc479251440"/>
      <w:r w:rsidRPr="007D130A">
        <w:t>Požadavky na licence</w:t>
      </w:r>
      <w:bookmarkEnd w:id="9"/>
      <w:r>
        <w:t xml:space="preserve"> </w:t>
      </w:r>
    </w:p>
    <w:p w:rsidR="00FA6597" w:rsidRPr="005C7EA3" w:rsidRDefault="00DC07C2" w:rsidP="005C7EA3">
      <w:pPr>
        <w:pStyle w:val="Normln-Odstavec"/>
        <w:jc w:val="left"/>
      </w:pPr>
      <w:r>
        <w:t>Dodavatel</w:t>
      </w:r>
      <w:r w:rsidR="00FA6597" w:rsidRPr="005C7EA3">
        <w:t xml:space="preserve"> ve své nabídce výslovně uvede počty dodávaných licencí a úplné licenční podmínky, dle následující tabulky:</w:t>
      </w:r>
    </w:p>
    <w:tbl>
      <w:tblPr>
        <w:tblW w:w="8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969"/>
        <w:gridCol w:w="2147"/>
        <w:gridCol w:w="2044"/>
      </w:tblGrid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A6597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ind w:left="0" w:firstLine="0"/>
              <w:rPr>
                <w:rFonts w:ascii="Times New Roman" w:hAnsi="Times New Roman" w:cs="Times New Roman"/>
                <w:b/>
              </w:rPr>
            </w:pPr>
            <w:r w:rsidRPr="00FA6597">
              <w:rPr>
                <w:rFonts w:ascii="Times New Roman" w:hAnsi="Times New Roman" w:cs="Times New Roman"/>
                <w:b/>
              </w:rPr>
              <w:t>Komponenta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A6597">
              <w:rPr>
                <w:rFonts w:ascii="Times New Roman" w:hAnsi="Times New Roman" w:cs="Times New Roman"/>
                <w:b/>
              </w:rPr>
              <w:t>Minimální počet požadovaných licencí /kusů dodávky/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A6597">
              <w:rPr>
                <w:rFonts w:ascii="Times New Roman" w:hAnsi="Times New Roman" w:cs="Times New Roman"/>
                <w:b/>
              </w:rPr>
              <w:t>Naplnění počtu požadovaných licencí</w:t>
            </w:r>
          </w:p>
        </w:tc>
      </w:tr>
      <w:tr w:rsidR="00FA6597" w:rsidRPr="00FA6597" w:rsidTr="00FB5132">
        <w:tc>
          <w:tcPr>
            <w:tcW w:w="8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FA6597" w:rsidRPr="00FA6597" w:rsidRDefault="00FA6597" w:rsidP="0054417C">
            <w:pPr>
              <w:pStyle w:val="Marbesnormln"/>
              <w:spacing w:beforeLines="20" w:afterLines="20"/>
              <w:contextualSpacing/>
              <w:jc w:val="left"/>
              <w:rPr>
                <w:b/>
              </w:rPr>
            </w:pPr>
            <w:r w:rsidRPr="00FA6597">
              <w:rPr>
                <w:b/>
              </w:rPr>
              <w:t>Modernizace agend</w:t>
            </w: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97" w:rsidRPr="00FA6597" w:rsidRDefault="00FA6597" w:rsidP="00CC14E1">
            <w:pPr>
              <w:pStyle w:val="OdrkaEQerven"/>
              <w:tabs>
                <w:tab w:val="clear" w:pos="567"/>
                <w:tab w:val="left" w:pos="708"/>
              </w:tabs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Sociální agend</w:t>
            </w:r>
            <w:r w:rsidR="00CC14E1">
              <w:rPr>
                <w:rFonts w:ascii="Times New Roman" w:hAnsi="Times New Roman" w:cs="Times New Roman"/>
              </w:rPr>
              <w:t>y</w:t>
            </w:r>
            <w:r w:rsidRPr="00FA65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Zápis do ISEP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Silniční hospodářství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97" w:rsidRPr="00FA6597" w:rsidRDefault="005C7EA3" w:rsidP="00CC14E1">
            <w:pPr>
              <w:pStyle w:val="OdrkaEQerven"/>
              <w:tabs>
                <w:tab w:val="clear" w:pos="567"/>
                <w:tab w:val="left" w:pos="708"/>
              </w:tabs>
              <w:spacing w:after="0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5C7EA3">
              <w:rPr>
                <w:rFonts w:ascii="Times New Roman" w:hAnsi="Times New Roman" w:cs="Times New Roman"/>
              </w:rPr>
              <w:t>Integrace mapových podkladů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597" w:rsidRPr="00FA6597" w:rsidRDefault="00FA6597" w:rsidP="00FB5132">
            <w:pPr>
              <w:pStyle w:val="OdrkaEQerven"/>
              <w:tabs>
                <w:tab w:val="clear" w:pos="567"/>
                <w:tab w:val="left" w:pos="708"/>
              </w:tabs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Připojení k ISZR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Modernizace spisové služby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Sjednocení oprávnění</w:t>
            </w:r>
            <w:r w:rsidR="00CC14E1">
              <w:rPr>
                <w:rFonts w:ascii="Times New Roman" w:hAnsi="Times New Roman" w:cs="Times New Roman"/>
              </w:rPr>
              <w:t xml:space="preserve"> </w:t>
            </w:r>
            <w:r w:rsidR="00CC14E1" w:rsidRPr="00CC14E1">
              <w:rPr>
                <w:rFonts w:ascii="Times New Roman" w:hAnsi="Times New Roman" w:cs="Times New Roman"/>
              </w:rPr>
              <w:t>včetně uživatelů spisové služby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Rozhraní API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 xml:space="preserve">Multilicence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97" w:rsidRPr="00FA6597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Elektronická úřední deska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FA6597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1</w:t>
            </w:r>
            <w:r w:rsidR="00CC14E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FA6597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 w:rsidRPr="00FA6597">
              <w:rPr>
                <w:rFonts w:ascii="Times New Roman" w:hAnsi="Times New Roman" w:cs="Times New Roman"/>
              </w:rPr>
              <w:t>Integrace přestupků VITA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FA6597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  <w:tr w:rsidR="00CC14E1" w:rsidRPr="00FA6597" w:rsidTr="00FB513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CC14E1" w:rsidP="0054417C">
            <w:pPr>
              <w:pStyle w:val="OdrkaEQerven"/>
              <w:tabs>
                <w:tab w:val="clear" w:pos="567"/>
                <w:tab w:val="left" w:pos="708"/>
              </w:tabs>
              <w:spacing w:beforeLines="20" w:afterLines="20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1C9" w:rsidRDefault="00CC14E1" w:rsidP="0054417C">
            <w:pPr>
              <w:pStyle w:val="OdrkaEQerven"/>
              <w:tabs>
                <w:tab w:val="clear" w:pos="567"/>
                <w:tab w:val="left" w:pos="708"/>
              </w:tabs>
              <w:spacing w:beforeLines="60" w:afterLines="2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Usnesení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CC14E1" w:rsidP="0054417C">
            <w:pPr>
              <w:spacing w:beforeLines="20" w:afterLines="20"/>
              <w:jc w:val="center"/>
              <w:rPr>
                <w:sz w:val="20"/>
                <w:szCs w:val="20"/>
              </w:rPr>
            </w:pPr>
            <w:r w:rsidRPr="00FA6597">
              <w:rPr>
                <w:sz w:val="20"/>
                <w:szCs w:val="20"/>
              </w:rPr>
              <w:t>Multilicence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1C9" w:rsidRDefault="00E501C9" w:rsidP="0054417C">
            <w:pPr>
              <w:pStyle w:val="Marbesnormln"/>
              <w:spacing w:beforeLines="20" w:afterLines="20"/>
              <w:contextualSpacing/>
              <w:jc w:val="center"/>
            </w:pPr>
          </w:p>
        </w:tc>
      </w:tr>
    </w:tbl>
    <w:p w:rsidR="00E024D6" w:rsidRDefault="00E024D6" w:rsidP="00E024D6">
      <w:pPr>
        <w:pStyle w:val="Normln-Odstavec"/>
        <w:jc w:val="left"/>
      </w:pPr>
      <w:r>
        <w:t xml:space="preserve">Multilicence umožní využití systému pro všechny zaměstnance úřadu bez dalších omezení. </w:t>
      </w:r>
    </w:p>
    <w:p w:rsidR="00555A9E" w:rsidRDefault="00555A9E" w:rsidP="00904DFF">
      <w:pPr>
        <w:rPr>
          <w:lang w:eastAsia="cs-CZ"/>
        </w:rPr>
      </w:pPr>
    </w:p>
    <w:p w:rsidR="00555A9E" w:rsidRDefault="00555A9E">
      <w:pPr>
        <w:spacing w:after="0"/>
        <w:jc w:val="left"/>
        <w:rPr>
          <w:rFonts w:ascii="Arial" w:hAnsi="Arial"/>
          <w:b/>
          <w:bCs/>
          <w:i/>
          <w:iCs/>
          <w:sz w:val="28"/>
          <w:szCs w:val="28"/>
          <w:lang w:eastAsia="cs-CZ"/>
        </w:rPr>
      </w:pPr>
      <w:r>
        <w:rPr>
          <w:lang w:eastAsia="cs-CZ"/>
        </w:rPr>
        <w:br w:type="page"/>
      </w:r>
    </w:p>
    <w:p w:rsidR="00A14308" w:rsidRPr="00296E07" w:rsidRDefault="00530341" w:rsidP="004036D6">
      <w:pPr>
        <w:pStyle w:val="Nadpis2"/>
        <w:jc w:val="left"/>
        <w:rPr>
          <w:lang w:eastAsia="cs-CZ"/>
        </w:rPr>
      </w:pPr>
      <w:r w:rsidRPr="00296E07">
        <w:rPr>
          <w:lang w:eastAsia="cs-CZ"/>
        </w:rPr>
        <w:lastRenderedPageBreak/>
        <w:t>H</w:t>
      </w:r>
      <w:r w:rsidR="00A14308" w:rsidRPr="00296E07">
        <w:rPr>
          <w:lang w:eastAsia="cs-CZ"/>
        </w:rPr>
        <w:t>odnocen</w:t>
      </w:r>
      <w:r w:rsidRPr="00296E07">
        <w:rPr>
          <w:lang w:eastAsia="cs-CZ"/>
        </w:rPr>
        <w:t>é</w:t>
      </w:r>
      <w:r w:rsidR="00A14308" w:rsidRPr="00296E07">
        <w:rPr>
          <w:lang w:eastAsia="cs-CZ"/>
        </w:rPr>
        <w:t xml:space="preserve"> parametr</w:t>
      </w:r>
      <w:r w:rsidRPr="00296E07">
        <w:rPr>
          <w:lang w:eastAsia="cs-CZ"/>
        </w:rPr>
        <w:t>y</w:t>
      </w:r>
      <w:r w:rsidR="00A14308" w:rsidRPr="00296E07">
        <w:rPr>
          <w:lang w:eastAsia="cs-CZ"/>
        </w:rPr>
        <w:t xml:space="preserve"> technického řešení</w:t>
      </w:r>
    </w:p>
    <w:p w:rsidR="00BC7951" w:rsidRPr="00296E07" w:rsidRDefault="00BC7951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296E07">
        <w:rPr>
          <w:lang w:eastAsia="cs-CZ"/>
        </w:rPr>
        <w:t>Požadavky na vlastnosti technického řešení</w:t>
      </w:r>
    </w:p>
    <w:p w:rsidR="00DC07C2" w:rsidRDefault="00DC07C2" w:rsidP="00DC07C2">
      <w:pPr>
        <w:pStyle w:val="Normln-Odstavec"/>
        <w:jc w:val="left"/>
      </w:pPr>
      <w:r w:rsidRPr="00A20D99">
        <w:t xml:space="preserve">Zadavatel </w:t>
      </w:r>
      <w:r>
        <w:t xml:space="preserve">stanoví </w:t>
      </w:r>
      <w:r w:rsidRPr="00A20D99">
        <w:t xml:space="preserve">kromě splnění minimálních povinných parametrů také další </w:t>
      </w:r>
      <w:r>
        <w:t xml:space="preserve">požadavky na </w:t>
      </w:r>
      <w:r w:rsidRPr="00A20D99">
        <w:t xml:space="preserve">funkční vlastnosti nabízeného řešení. Na rozdíl od povinných parametrů není </w:t>
      </w:r>
      <w:r>
        <w:t>dodavatel</w:t>
      </w:r>
      <w:r w:rsidRPr="00A20D99">
        <w:t xml:space="preserve"> při nesplnění některého z požadovaného hodnoceného parametru vyloučen</w:t>
      </w:r>
      <w:r>
        <w:t>, může však za jejich splnění získat body při hodnocení nabídek</w:t>
      </w:r>
      <w:r w:rsidRPr="00A20D99">
        <w:t>. Způsob hodnocení je uveden v ZD.</w:t>
      </w: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87"/>
        <w:gridCol w:w="43"/>
        <w:gridCol w:w="4181"/>
        <w:gridCol w:w="1247"/>
        <w:gridCol w:w="30"/>
        <w:gridCol w:w="1018"/>
      </w:tblGrid>
      <w:tr w:rsidR="0069243B" w:rsidRPr="0069243B" w:rsidTr="00983225">
        <w:tc>
          <w:tcPr>
            <w:tcW w:w="709" w:type="dxa"/>
            <w:shd w:val="clear" w:color="auto" w:fill="B8CCE4"/>
          </w:tcPr>
          <w:p w:rsidR="0069243B" w:rsidRPr="0069243B" w:rsidRDefault="0069243B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Č.</w:t>
            </w:r>
          </w:p>
        </w:tc>
        <w:tc>
          <w:tcPr>
            <w:tcW w:w="1587" w:type="dxa"/>
            <w:shd w:val="clear" w:color="auto" w:fill="B8CCE4"/>
          </w:tcPr>
          <w:p w:rsidR="0069243B" w:rsidRPr="0069243B" w:rsidRDefault="0069243B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Povinnost</w:t>
            </w:r>
          </w:p>
        </w:tc>
        <w:tc>
          <w:tcPr>
            <w:tcW w:w="4224" w:type="dxa"/>
            <w:gridSpan w:val="2"/>
            <w:shd w:val="clear" w:color="auto" w:fill="B8CCE4"/>
          </w:tcPr>
          <w:p w:rsidR="0069243B" w:rsidRPr="0069243B" w:rsidRDefault="0069243B" w:rsidP="00983225">
            <w:pPr>
              <w:pStyle w:val="19anodst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Požadavek</w:t>
            </w:r>
          </w:p>
        </w:tc>
        <w:tc>
          <w:tcPr>
            <w:tcW w:w="1247" w:type="dxa"/>
            <w:shd w:val="clear" w:color="auto" w:fill="B8CCE4"/>
          </w:tcPr>
          <w:p w:rsidR="0069243B" w:rsidRPr="0069243B" w:rsidRDefault="0069243B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Naplněn</w:t>
            </w:r>
          </w:p>
        </w:tc>
        <w:tc>
          <w:tcPr>
            <w:tcW w:w="1048" w:type="dxa"/>
            <w:gridSpan w:val="2"/>
            <w:shd w:val="clear" w:color="auto" w:fill="B8CCE4"/>
            <w:vAlign w:val="center"/>
          </w:tcPr>
          <w:p w:rsidR="0069243B" w:rsidRPr="0069243B" w:rsidRDefault="0069243B" w:rsidP="00983225">
            <w:pPr>
              <w:pStyle w:val="19anodst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</w:rPr>
              <w:t>Kapitola nabídky</w:t>
            </w:r>
          </w:p>
        </w:tc>
      </w:tr>
      <w:tr w:rsidR="0069243B" w:rsidRPr="0069243B" w:rsidTr="00983225">
        <w:tc>
          <w:tcPr>
            <w:tcW w:w="8815" w:type="dxa"/>
            <w:gridSpan w:val="7"/>
            <w:shd w:val="clear" w:color="auto" w:fill="auto"/>
            <w:vAlign w:val="center"/>
          </w:tcPr>
          <w:p w:rsidR="0069243B" w:rsidRPr="0069243B" w:rsidRDefault="00092DD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K3 - </w:t>
            </w:r>
            <w:r w:rsidR="0069243B" w:rsidRPr="0069243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Silniční hospodářství vč. zvláštního užívání komunikací</w:t>
            </w: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CC14E1">
              <w:rPr>
                <w:rFonts w:ascii="Times New Roman" w:hAnsi="Times New Roman"/>
                <w:b/>
                <w:sz w:val="20"/>
              </w:rPr>
              <w:t>Orientační zákres a zobrazení</w:t>
            </w:r>
            <w:r w:rsidRPr="0069243B">
              <w:rPr>
                <w:rFonts w:ascii="Times New Roman" w:hAnsi="Times New Roman"/>
                <w:sz w:val="20"/>
              </w:rPr>
              <w:t xml:space="preserve"> záboru, uzavírky, objížďky v mapových podkladech</w:t>
            </w:r>
            <w:r w:rsidR="00092DDB">
              <w:rPr>
                <w:rFonts w:ascii="Times New Roman" w:hAnsi="Times New Roman"/>
                <w:sz w:val="20"/>
              </w:rPr>
              <w:t xml:space="preserve"> s grafickým (barevným) rozlišením typu zvláštního užívání.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92DDB" w:rsidRPr="0069243B" w:rsidTr="00983225">
        <w:tc>
          <w:tcPr>
            <w:tcW w:w="709" w:type="dxa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092DDB" w:rsidRPr="00092DDB" w:rsidRDefault="00092DD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CC14E1">
              <w:rPr>
                <w:rFonts w:ascii="Times New Roman" w:hAnsi="Times New Roman"/>
                <w:b/>
                <w:sz w:val="20"/>
              </w:rPr>
              <w:t>Evidence ochranné lhůty</w:t>
            </w:r>
            <w:r w:rsidRPr="00092DDB">
              <w:rPr>
                <w:rFonts w:ascii="Times New Roman" w:hAnsi="Times New Roman"/>
                <w:sz w:val="20"/>
              </w:rPr>
              <w:t xml:space="preserve"> pro jednotlivé typy záborů.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092DDB" w:rsidRPr="0069243B" w:rsidTr="00983225">
        <w:tc>
          <w:tcPr>
            <w:tcW w:w="709" w:type="dxa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092DDB" w:rsidRPr="00092DDB" w:rsidRDefault="00092DD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CC14E1">
              <w:rPr>
                <w:rFonts w:ascii="Times New Roman" w:hAnsi="Times New Roman"/>
                <w:b/>
                <w:sz w:val="20"/>
              </w:rPr>
              <w:t>Vytvoření podkladů pro výpočet místního poplatku</w:t>
            </w:r>
            <w:r w:rsidRPr="00092DDB">
              <w:rPr>
                <w:rFonts w:ascii="Times New Roman" w:hAnsi="Times New Roman"/>
                <w:sz w:val="20"/>
              </w:rPr>
              <w:t xml:space="preserve"> z užívání veřejného prostranství a přenos těchto podkladů do agendového systému PROXIO-AGENDIO.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092DDB" w:rsidRPr="0069243B" w:rsidRDefault="00092DD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8815" w:type="dxa"/>
            <w:gridSpan w:val="7"/>
            <w:shd w:val="clear" w:color="auto" w:fill="auto"/>
            <w:vAlign w:val="center"/>
          </w:tcPr>
          <w:p w:rsidR="0069243B" w:rsidRPr="0069243B" w:rsidRDefault="00092DDB" w:rsidP="00092DDB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K4 - </w:t>
            </w:r>
            <w:r w:rsidRPr="00092DD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P</w:t>
            </w:r>
            <w:r w:rsidR="0069243B" w:rsidRPr="00092DD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latforma pro prezentaci agendových a provozních dat v mapových podkladech</w:t>
            </w: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Přehledová mapa objektů</w:t>
            </w: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, které jsou v majetku obce. V případě částečného vlastnického podílu zobrazení vybraných objektů jinou barvou.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Přehledová mapa objektů</w:t>
            </w: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, které jsou ve vlastnictví státu.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sz w:val="20"/>
              </w:rPr>
            </w:pP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Zobrazení rozdílů </w:t>
            </w: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v mapě mezi evidovaným majetkem ve vlastnictví obce a stavem zápisu vedeném na katastru nemovitostí (ČÚZK) – rozlišení objektů, které jsou navíc na ČÚZK. U totožných objektů v obou evidencích zvýraznit objekty, které se liší v porovnávaných údajích (podíl, výměra, druh pozemku).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892C17" w:rsidRPr="0069243B" w:rsidTr="00983225">
        <w:tc>
          <w:tcPr>
            <w:tcW w:w="709" w:type="dxa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892C17" w:rsidRPr="00892C17" w:rsidRDefault="00892C17" w:rsidP="00892C17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Zákres záboru</w:t>
            </w:r>
            <w:r w:rsidRPr="00892C1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veřejného prostranství dle informací o stavu řízení žádosti (povolené, rezervované).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892C17" w:rsidRPr="0069243B" w:rsidTr="00983225">
        <w:tc>
          <w:tcPr>
            <w:tcW w:w="709" w:type="dxa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892C17" w:rsidRPr="00892C17" w:rsidRDefault="00892C17" w:rsidP="00892C17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Možnost zobrazení zákresu</w:t>
            </w:r>
            <w:r w:rsidRPr="00892C1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r w:rsidR="00AC7EA7" w:rsidRPr="00AC7EA7">
              <w:rPr>
                <w:rFonts w:ascii="Times New Roman" w:hAnsi="Times New Roman"/>
                <w:bCs/>
                <w:color w:val="000000" w:themeColor="text1"/>
                <w:sz w:val="20"/>
              </w:rPr>
              <w:t>záboru</w:t>
            </w:r>
            <w:r w:rsidR="00AC7EA7" w:rsidRPr="00892C1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veřejného prostranství </w:t>
            </w:r>
            <w:r w:rsidRPr="00892C17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pro veřejnost </w:t>
            </w: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na web</w:t>
            </w:r>
            <w:r w:rsidR="00AC7EA7"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ových</w:t>
            </w:r>
            <w:r w:rsidRPr="00AC7EA7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stránkách měst</w:t>
            </w:r>
            <w:r w:rsidRPr="00892C17">
              <w:rPr>
                <w:rFonts w:ascii="Times New Roman" w:hAnsi="Times New Roman"/>
                <w:bCs/>
                <w:color w:val="000000" w:themeColor="text1"/>
                <w:sz w:val="20"/>
              </w:rPr>
              <w:t>a, s informacemi o důvodu a délce záboru.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892C17" w:rsidRPr="0069243B" w:rsidRDefault="00892C17" w:rsidP="00892C17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8815" w:type="dxa"/>
            <w:gridSpan w:val="7"/>
            <w:shd w:val="clear" w:color="auto" w:fill="auto"/>
            <w:vAlign w:val="center"/>
          </w:tcPr>
          <w:p w:rsidR="0069243B" w:rsidRPr="0069243B" w:rsidRDefault="00D90195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K11 - </w:t>
            </w:r>
            <w:r w:rsidR="0069243B" w:rsidRPr="0069243B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Usnesení</w:t>
            </w: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B6C14" w:rsidRPr="0069243B" w:rsidRDefault="0069243B" w:rsidP="006B6C14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color w:val="000000"/>
                <w:sz w:val="20"/>
              </w:rPr>
              <w:t xml:space="preserve">Redakce bodů jednání a usnesení: </w:t>
            </w:r>
            <w:r w:rsidR="006B6C14" w:rsidRPr="006B6C14">
              <w:rPr>
                <w:rFonts w:ascii="Times New Roman" w:hAnsi="Times New Roman"/>
                <w:color w:val="000000"/>
                <w:sz w:val="20"/>
              </w:rPr>
              <w:t>Kontrola kompletnosti podkladů a případné u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pozornění na nepředané podklady k rezervovanému bodu</w:t>
            </w:r>
            <w:r w:rsidR="006B6C14" w:rsidRPr="0069243B">
              <w:rPr>
                <w:rFonts w:ascii="Times New Roman" w:hAnsi="Times New Roman"/>
                <w:color w:val="000000"/>
                <w:sz w:val="20"/>
              </w:rPr>
              <w:t>.</w:t>
            </w:r>
            <w:r w:rsidR="006B6C14" w:rsidRPr="0069243B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69243B" w:rsidRPr="0069243B" w:rsidRDefault="0069243B" w:rsidP="00983225">
            <w:pPr>
              <w:spacing w:before="240"/>
              <w:jc w:val="center"/>
              <w:rPr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color w:val="000000"/>
                <w:sz w:val="20"/>
              </w:rPr>
              <w:t>Distribuce podkladů k jedná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ní: 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Vytvoření email pozvánky obsahují odkaz (</w:t>
            </w:r>
            <w:proofErr w:type="spellStart"/>
            <w:r w:rsidRPr="0069243B">
              <w:rPr>
                <w:rFonts w:ascii="Times New Roman" w:hAnsi="Times New Roman"/>
                <w:color w:val="000000"/>
                <w:sz w:val="20"/>
              </w:rPr>
              <w:t>hyperlink</w:t>
            </w:r>
            <w:proofErr w:type="spellEnd"/>
            <w:r w:rsidRPr="0069243B">
              <w:rPr>
                <w:rFonts w:ascii="Times New Roman" w:hAnsi="Times New Roman"/>
                <w:color w:val="000000"/>
                <w:sz w:val="20"/>
              </w:rPr>
              <w:t>) na program jednání v podobě interaktivní web stránky</w:t>
            </w:r>
            <w:r w:rsidR="0018009F">
              <w:rPr>
                <w:rFonts w:ascii="Times New Roman" w:hAnsi="Times New Roman"/>
                <w:color w:val="000000"/>
                <w:sz w:val="20"/>
              </w:rPr>
              <w:t xml:space="preserve"> + odkaz na offline distribuční balíček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lastRenderedPageBreak/>
              <w:t>3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69243B" w:rsidRPr="0069243B" w:rsidRDefault="0069243B" w:rsidP="00983225">
            <w:pPr>
              <w:spacing w:before="240"/>
              <w:jc w:val="center"/>
              <w:rPr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Zápis z jednání a usnesení: 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Vytvoření veřejné a neveřejné verze včetně možnosti anonymizace údajů v textu usnesení.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69243B" w:rsidRPr="0069243B" w:rsidRDefault="0069243B" w:rsidP="00983225">
            <w:pPr>
              <w:spacing w:before="240"/>
              <w:jc w:val="center"/>
              <w:rPr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color w:val="000000"/>
                <w:sz w:val="2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práva úkolů, podpora workflow: 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Stanovení termínů úkolů, přidělení odpovědných osob, delegování úkolu dalším osobám.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69243B" w:rsidRPr="0069243B" w:rsidRDefault="0069243B" w:rsidP="00983225">
            <w:pPr>
              <w:spacing w:before="240"/>
              <w:jc w:val="center"/>
              <w:rPr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Správa úkolů, podpora workflow: 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Notifikace termínů a stavu úkolu, export úkolu do PDF nebo MS Word.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69243B" w:rsidRPr="0069243B" w:rsidTr="00983225">
        <w:tc>
          <w:tcPr>
            <w:tcW w:w="709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69243B" w:rsidRPr="0069243B" w:rsidRDefault="0069243B" w:rsidP="00983225">
            <w:pPr>
              <w:spacing w:before="240"/>
              <w:jc w:val="center"/>
              <w:rPr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69243B" w:rsidRPr="0069243B" w:rsidRDefault="0069243B" w:rsidP="00983225">
            <w:pPr>
              <w:pStyle w:val="19anodst"/>
              <w:spacing w:before="40"/>
              <w:jc w:val="left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69243B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Správa úkolů, podpora workflow: </w:t>
            </w:r>
            <w:r w:rsidRPr="0069243B">
              <w:rPr>
                <w:rFonts w:ascii="Times New Roman" w:hAnsi="Times New Roman"/>
                <w:color w:val="000000"/>
                <w:sz w:val="20"/>
              </w:rPr>
              <w:t>Zobrazení stavu a kompletní historie úkolu, kontrola průběžného plnění úkolů, žádost o změnu termínu, dokončení úkolu.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69243B" w:rsidRPr="0069243B" w:rsidRDefault="0069243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C5779B" w:rsidRPr="0069243B" w:rsidTr="00983225">
        <w:tc>
          <w:tcPr>
            <w:tcW w:w="709" w:type="dxa"/>
            <w:shd w:val="clear" w:color="auto" w:fill="auto"/>
            <w:vAlign w:val="center"/>
          </w:tcPr>
          <w:p w:rsidR="00C5779B" w:rsidRPr="0069243B" w:rsidRDefault="00C5779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</w:p>
        </w:tc>
        <w:tc>
          <w:tcPr>
            <w:tcW w:w="1630" w:type="dxa"/>
            <w:gridSpan w:val="2"/>
            <w:shd w:val="clear" w:color="auto" w:fill="auto"/>
          </w:tcPr>
          <w:p w:rsidR="00C5779B" w:rsidRDefault="00C5779B" w:rsidP="00983225">
            <w:pPr>
              <w:spacing w:before="24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C5779B" w:rsidRPr="0069243B" w:rsidRDefault="00C5779B" w:rsidP="00983225">
            <w:pPr>
              <w:spacing w:before="24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69243B">
              <w:rPr>
                <w:bCs/>
                <w:color w:val="000000" w:themeColor="text1"/>
                <w:sz w:val="20"/>
                <w:szCs w:val="20"/>
              </w:rPr>
              <w:t>Hodnocené</w:t>
            </w:r>
          </w:p>
        </w:tc>
        <w:tc>
          <w:tcPr>
            <w:tcW w:w="4181" w:type="dxa"/>
            <w:shd w:val="clear" w:color="auto" w:fill="auto"/>
          </w:tcPr>
          <w:p w:rsidR="00C5779B" w:rsidRPr="0069243B" w:rsidRDefault="00C5779B" w:rsidP="008E4750">
            <w:pPr>
              <w:pStyle w:val="19anodst"/>
              <w:spacing w:before="4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5779B">
              <w:rPr>
                <w:rFonts w:ascii="Times New Roman" w:hAnsi="Times New Roman"/>
                <w:b/>
                <w:sz w:val="20"/>
              </w:rPr>
              <w:t xml:space="preserve">Přehledy, historie a vyhledávání: </w:t>
            </w:r>
            <w:r w:rsidRPr="00C5779B">
              <w:rPr>
                <w:rFonts w:ascii="Times New Roman" w:hAnsi="Times New Roman"/>
                <w:sz w:val="20"/>
              </w:rPr>
              <w:t>Veřejné přehledy jednání, zveřejňované verze dokumentů (přehled jednání, zápis, usnesení, výsledky hlasování), přehledy zadaných úkolů podle přiřazení, zadavatele, jednání, odboru, období</w:t>
            </w:r>
            <w:r w:rsidR="008E4750">
              <w:rPr>
                <w:rFonts w:ascii="Times New Roman" w:hAnsi="Times New Roman"/>
                <w:sz w:val="20"/>
              </w:rPr>
              <w:t xml:space="preserve">; </w:t>
            </w:r>
            <w:r w:rsidRPr="00C5779B">
              <w:rPr>
                <w:rFonts w:ascii="Times New Roman" w:hAnsi="Times New Roman"/>
                <w:sz w:val="20"/>
              </w:rPr>
              <w:t xml:space="preserve"> vyřešené úkoly, zkontrolované</w:t>
            </w:r>
            <w:r w:rsidR="008E4750">
              <w:rPr>
                <w:rFonts w:ascii="Times New Roman" w:hAnsi="Times New Roman"/>
                <w:sz w:val="20"/>
              </w:rPr>
              <w:t xml:space="preserve"> úkoly</w:t>
            </w:r>
            <w:r w:rsidRPr="00C5779B">
              <w:rPr>
                <w:rFonts w:ascii="Times New Roman" w:hAnsi="Times New Roman"/>
                <w:sz w:val="20"/>
              </w:rPr>
              <w:t xml:space="preserve">, </w:t>
            </w:r>
            <w:r w:rsidR="008E4750">
              <w:rPr>
                <w:rFonts w:ascii="Times New Roman" w:hAnsi="Times New Roman"/>
                <w:sz w:val="20"/>
              </w:rPr>
              <w:t xml:space="preserve">úkoly </w:t>
            </w:r>
            <w:r w:rsidRPr="00C5779B">
              <w:rPr>
                <w:rFonts w:ascii="Times New Roman" w:hAnsi="Times New Roman"/>
                <w:sz w:val="20"/>
              </w:rPr>
              <w:t>v řešení.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C5779B" w:rsidRPr="0069243B" w:rsidRDefault="00C5779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C5779B" w:rsidRPr="0069243B" w:rsidRDefault="00C5779B" w:rsidP="00983225">
            <w:pPr>
              <w:pStyle w:val="19anodst"/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</w:tbl>
    <w:p w:rsidR="00BC7951" w:rsidRPr="00CB36BF" w:rsidRDefault="00BC7951" w:rsidP="00BC7951">
      <w:pPr>
        <w:pStyle w:val="Normln-Odstavec"/>
        <w:numPr>
          <w:ilvl w:val="0"/>
          <w:numId w:val="0"/>
        </w:numPr>
      </w:pPr>
    </w:p>
    <w:p w:rsidR="00DE2AB5" w:rsidRPr="00CB36BF" w:rsidRDefault="003A59EC" w:rsidP="00BC7951">
      <w:pPr>
        <w:pStyle w:val="Nadpis2"/>
        <w:rPr>
          <w:lang w:eastAsia="cs-CZ"/>
        </w:rPr>
      </w:pPr>
      <w:r w:rsidRPr="00CB36BF">
        <w:rPr>
          <w:lang w:eastAsia="cs-CZ"/>
        </w:rPr>
        <w:t>Implementační služby</w:t>
      </w:r>
    </w:p>
    <w:p w:rsidR="00D72323" w:rsidRPr="00CB36BF" w:rsidRDefault="00D72323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Obecné požadavky</w:t>
      </w:r>
    </w:p>
    <w:p w:rsidR="00D72323" w:rsidRPr="00CB36BF" w:rsidRDefault="00D72323" w:rsidP="003A51A4">
      <w:pPr>
        <w:pStyle w:val="Normln-Odstavec"/>
      </w:pPr>
      <w:r w:rsidRPr="00CB36BF">
        <w:t>Zadavatel požaduje provést minimálně následující implementační práce</w:t>
      </w:r>
      <w:r w:rsidR="003A51A4" w:rsidRPr="003A51A4">
        <w:t xml:space="preserve"> související s nabízeným řešením</w:t>
      </w:r>
      <w:r w:rsidRPr="00CB36BF">
        <w:t xml:space="preserve">. </w:t>
      </w:r>
      <w:r w:rsidR="00DC07C2">
        <w:t>Dodavatel</w:t>
      </w:r>
      <w:r w:rsidRPr="00CB36BF">
        <w:t xml:space="preserve"> je dále povinen zahrnout do nabídky veškeré další činnosti a prostředky, které jsou nezbytné pro provedení díla v rozsahu doporučeném výrobci a dle tzv. nejlepších praktik, i v </w:t>
      </w:r>
      <w:r w:rsidR="003A51A4" w:rsidRPr="00CB36BF">
        <w:t>případě,</w:t>
      </w:r>
      <w:r w:rsidRPr="00CB36BF">
        <w:t xml:space="preserve"> pokud nejsou explicitně uvedeny, ale jsou pro realizaci předmětu plnění podstatné. Implementační služby budou minimálně v následujícím rozsahu:</w:t>
      </w:r>
    </w:p>
    <w:p w:rsidR="00D72323" w:rsidRPr="00CB36BF" w:rsidRDefault="00D72323" w:rsidP="003A51A4">
      <w:pPr>
        <w:pStyle w:val="Normln-Psmeno"/>
      </w:pPr>
      <w:r w:rsidRPr="00CB36BF">
        <w:t xml:space="preserve">Zpracování </w:t>
      </w:r>
      <w:proofErr w:type="spellStart"/>
      <w:r w:rsidRPr="00CB36BF">
        <w:t>předimplementační</w:t>
      </w:r>
      <w:proofErr w:type="spellEnd"/>
      <w:r w:rsidRPr="00CB36BF">
        <w:t xml:space="preserve"> analýzy</w:t>
      </w:r>
      <w:r w:rsidR="00397D69" w:rsidRPr="00CB36BF">
        <w:t>,</w:t>
      </w:r>
    </w:p>
    <w:p w:rsidR="00D72323" w:rsidRPr="00CB36BF" w:rsidRDefault="00D72323" w:rsidP="003A51A4">
      <w:pPr>
        <w:pStyle w:val="Normln-Psmeno"/>
      </w:pPr>
      <w:r w:rsidRPr="00CB36BF">
        <w:t xml:space="preserve">Zpracování prováděcí </w:t>
      </w:r>
      <w:r w:rsidR="003A51A4" w:rsidRPr="00CB36BF">
        <w:t>dokumentace</w:t>
      </w:r>
      <w:r w:rsidR="003A51A4">
        <w:t xml:space="preserve"> </w:t>
      </w:r>
      <w:r w:rsidR="003A51A4" w:rsidRPr="003A51A4">
        <w:t>(detailní popis rozsahu a způsobu implementace nabízeného řešení),</w:t>
      </w:r>
    </w:p>
    <w:p w:rsidR="00D72323" w:rsidRPr="00CB36BF" w:rsidRDefault="00D72323" w:rsidP="003A51A4">
      <w:pPr>
        <w:pStyle w:val="Normln-Psmeno"/>
      </w:pPr>
      <w:r w:rsidRPr="00CB36BF">
        <w:t>Zajištění projektového vedení realizace předmětu plnění</w:t>
      </w:r>
      <w:r w:rsidR="00397D69" w:rsidRPr="00CB36BF">
        <w:t>,</w:t>
      </w:r>
    </w:p>
    <w:p w:rsidR="00F94CCF" w:rsidRPr="00783358" w:rsidRDefault="00F94CCF" w:rsidP="00F94CCF">
      <w:pPr>
        <w:pStyle w:val="Normln-Psmeno"/>
      </w:pPr>
      <w:r>
        <w:t xml:space="preserve">Dodávku </w:t>
      </w:r>
      <w:r w:rsidRPr="00783358">
        <w:t>licencí nabízeného řešení</w:t>
      </w:r>
      <w:r>
        <w:t>,</w:t>
      </w:r>
    </w:p>
    <w:p w:rsidR="00D72323" w:rsidRDefault="00D72323" w:rsidP="003A51A4">
      <w:pPr>
        <w:pStyle w:val="Normln-Psmeno"/>
      </w:pPr>
      <w:r w:rsidRPr="00CB36BF">
        <w:t>Kompletní implementaci řešení splňující povinné a nabízené hodnocené parametry technického řešení</w:t>
      </w:r>
      <w:r w:rsidR="005B13EF" w:rsidRPr="00CB36BF">
        <w:t>,</w:t>
      </w:r>
    </w:p>
    <w:p w:rsidR="00555A9E" w:rsidRDefault="00555A9E" w:rsidP="00555A9E">
      <w:pPr>
        <w:pStyle w:val="Normln-Psmeno"/>
      </w:pPr>
      <w:r>
        <w:t>Zpracování provozní dokumentace,</w:t>
      </w:r>
    </w:p>
    <w:p w:rsidR="00D72323" w:rsidRPr="00CB36BF" w:rsidRDefault="00D72323" w:rsidP="003A51A4">
      <w:pPr>
        <w:pStyle w:val="Normln-Psmeno"/>
      </w:pPr>
      <w:r w:rsidRPr="00CB36BF">
        <w:t>Provedení školení</w:t>
      </w:r>
      <w:r w:rsidR="003A51A4">
        <w:t xml:space="preserve"> obsluhy</w:t>
      </w:r>
      <w:r w:rsidR="005B13EF" w:rsidRPr="00CB36BF">
        <w:t>,</w:t>
      </w:r>
    </w:p>
    <w:p w:rsidR="00D72323" w:rsidRPr="00CB36BF" w:rsidRDefault="00D72323" w:rsidP="003A51A4">
      <w:pPr>
        <w:pStyle w:val="Normln-Psmeno"/>
      </w:pPr>
      <w:r w:rsidRPr="00CB36BF">
        <w:rPr>
          <w:rFonts w:ascii="Times" w:hAnsi="Times"/>
        </w:rPr>
        <w:t>Zajištění zkušebního provozu</w:t>
      </w:r>
      <w:r w:rsidR="00397D69" w:rsidRPr="00CB36BF">
        <w:rPr>
          <w:rFonts w:ascii="Times" w:hAnsi="Times"/>
        </w:rPr>
        <w:t>,</w:t>
      </w:r>
    </w:p>
    <w:p w:rsidR="00D72323" w:rsidRPr="00CB36BF" w:rsidRDefault="00D72323" w:rsidP="003A51A4">
      <w:pPr>
        <w:pStyle w:val="Normln-Psmeno"/>
      </w:pPr>
      <w:r w:rsidRPr="00CB36BF">
        <w:t>Provedení akceptačních testů</w:t>
      </w:r>
      <w:r w:rsidR="00397D69" w:rsidRPr="00CB36BF">
        <w:t>,</w:t>
      </w:r>
    </w:p>
    <w:p w:rsidR="00D72323" w:rsidRPr="00CB36BF" w:rsidRDefault="00D72323" w:rsidP="003A51A4">
      <w:pPr>
        <w:pStyle w:val="Normln-Psmeno"/>
      </w:pPr>
      <w:r w:rsidRPr="00CB36BF">
        <w:t>Předání do ostrého provozu</w:t>
      </w:r>
      <w:r w:rsidR="00397D69" w:rsidRPr="00CB36BF">
        <w:t>,</w:t>
      </w:r>
    </w:p>
    <w:p w:rsidR="00D72323" w:rsidRPr="00CB36BF" w:rsidRDefault="00D72323" w:rsidP="003A51A4">
      <w:pPr>
        <w:pStyle w:val="Normln-Psmeno"/>
      </w:pPr>
      <w:r w:rsidRPr="00CB36BF">
        <w:t>Zajištění ostatních služeb potřebných pro realizaci projektu</w:t>
      </w:r>
      <w:r w:rsidR="00397D69" w:rsidRPr="00CB36BF">
        <w:t>.</w:t>
      </w:r>
    </w:p>
    <w:p w:rsidR="004016F8" w:rsidRPr="00CB36BF" w:rsidRDefault="004016F8" w:rsidP="003A51A4">
      <w:pPr>
        <w:pStyle w:val="Normln-Odstavec"/>
      </w:pPr>
      <w:r w:rsidRPr="00CB36BF">
        <w:t>Náklady na provedení implementačních služeb musí být zahrnuty v nabídkové ceně k položce, ke které se vztahují a nelze je vyčíslit zvlášť.</w:t>
      </w:r>
    </w:p>
    <w:p w:rsidR="00D72323" w:rsidRPr="00CB36BF" w:rsidRDefault="00D72323" w:rsidP="003A51A4">
      <w:pPr>
        <w:pStyle w:val="Normln-Odstavec"/>
      </w:pPr>
      <w:r w:rsidRPr="00CB36BF">
        <w:lastRenderedPageBreak/>
        <w:t>Veškerá dokumentace musí být zhotovena výhradně v českém jazyce, bude dodána ve 2x kopiích v elektronické formě ve standartních formátech (např. MS Office) používaných zadavatelem na datovém nosiči a 1x kopii v papírové formě.</w:t>
      </w:r>
    </w:p>
    <w:p w:rsidR="00110B29" w:rsidRPr="00CB36BF" w:rsidRDefault="00110B29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 xml:space="preserve">Požadavky na </w:t>
      </w:r>
      <w:proofErr w:type="spellStart"/>
      <w:r w:rsidRPr="00CB36BF">
        <w:rPr>
          <w:lang w:eastAsia="cs-CZ"/>
        </w:rPr>
        <w:t>předimplementační</w:t>
      </w:r>
      <w:proofErr w:type="spellEnd"/>
      <w:r w:rsidRPr="00CB36BF">
        <w:rPr>
          <w:lang w:eastAsia="cs-CZ"/>
        </w:rPr>
        <w:t xml:space="preserve"> analýzu</w:t>
      </w:r>
    </w:p>
    <w:p w:rsidR="00B05E61" w:rsidRPr="00CB36BF" w:rsidRDefault="00C82DE5" w:rsidP="00B92CFC">
      <w:pPr>
        <w:pStyle w:val="Normln-Odstavec"/>
      </w:pPr>
      <w:r w:rsidRPr="00CB36BF">
        <w:t xml:space="preserve">Před implementací řešení </w:t>
      </w:r>
      <w:r w:rsidR="00654825" w:rsidRPr="00CB36BF">
        <w:t>zpracuje</w:t>
      </w:r>
      <w:r w:rsidRPr="00CB36BF">
        <w:t xml:space="preserve"> </w:t>
      </w:r>
      <w:r w:rsidR="00DC07C2">
        <w:t>Dodavatel</w:t>
      </w:r>
      <w:r w:rsidRPr="00CB36BF">
        <w:t xml:space="preserve"> </w:t>
      </w:r>
      <w:proofErr w:type="spellStart"/>
      <w:r w:rsidRPr="00CB36BF">
        <w:t>předimplementační</w:t>
      </w:r>
      <w:proofErr w:type="spellEnd"/>
      <w:r w:rsidRPr="00CB36BF">
        <w:t xml:space="preserve"> </w:t>
      </w:r>
      <w:r w:rsidR="009312E0" w:rsidRPr="00CB36BF">
        <w:t>analýzu, minimálně pro</w:t>
      </w:r>
      <w:r w:rsidRPr="00CB36BF">
        <w:t> </w:t>
      </w:r>
      <w:r w:rsidR="009312E0" w:rsidRPr="00CB36BF">
        <w:t>následující</w:t>
      </w:r>
      <w:r w:rsidRPr="00CB36BF">
        <w:t xml:space="preserve"> </w:t>
      </w:r>
      <w:r w:rsidR="009312E0" w:rsidRPr="00CB36BF">
        <w:t>oblasti</w:t>
      </w:r>
      <w:r w:rsidRPr="00CB36BF">
        <w:t xml:space="preserve">: </w:t>
      </w:r>
    </w:p>
    <w:p w:rsidR="007E5BDE" w:rsidRDefault="00610F70" w:rsidP="00B92CFC">
      <w:pPr>
        <w:pStyle w:val="Normln-Psmeno"/>
      </w:pPr>
      <w:r w:rsidRPr="00CB36BF">
        <w:t xml:space="preserve">Analýza aplikačního </w:t>
      </w:r>
      <w:r w:rsidR="009A2AE1">
        <w:t xml:space="preserve">a technického </w:t>
      </w:r>
      <w:r w:rsidRPr="00CB36BF">
        <w:t xml:space="preserve">prostředí </w:t>
      </w:r>
      <w:r w:rsidR="009A2AE1">
        <w:t xml:space="preserve">zadavatele s ohledem na </w:t>
      </w:r>
      <w:r w:rsidR="00162C82">
        <w:t>nabízené</w:t>
      </w:r>
      <w:r w:rsidR="007E5BDE">
        <w:t xml:space="preserve"> řešení</w:t>
      </w:r>
    </w:p>
    <w:p w:rsidR="00610F70" w:rsidRPr="00CB36BF" w:rsidRDefault="00610F70" w:rsidP="00B92CFC">
      <w:pPr>
        <w:pStyle w:val="Normln-Psmeno"/>
      </w:pPr>
      <w:r w:rsidRPr="00CB36BF">
        <w:t>Způsob začlenění nabízených komodit do prostředí TC</w:t>
      </w:r>
      <w:r w:rsidR="00BA2A52" w:rsidRPr="00CB36BF">
        <w:t>.</w:t>
      </w:r>
    </w:p>
    <w:p w:rsidR="00610F70" w:rsidRPr="00CB36BF" w:rsidRDefault="007E5BDE" w:rsidP="00B92CFC">
      <w:pPr>
        <w:pStyle w:val="Normln-Psmeno"/>
      </w:pPr>
      <w:r>
        <w:t xml:space="preserve">Konfigurace stávajících systémů </w:t>
      </w:r>
      <w:r w:rsidR="00610F70" w:rsidRPr="00CB36BF">
        <w:t>ve vztahu k plánovanému využití</w:t>
      </w:r>
      <w:r w:rsidR="00BA2A52" w:rsidRPr="00CB36BF">
        <w:t>.</w:t>
      </w:r>
    </w:p>
    <w:p w:rsidR="00610F70" w:rsidRPr="00CB36BF" w:rsidRDefault="00610F70" w:rsidP="00B92CFC">
      <w:pPr>
        <w:pStyle w:val="Normln-Psmeno"/>
      </w:pPr>
      <w:r w:rsidRPr="00CB36BF">
        <w:t xml:space="preserve">Dopady implementace na dostupnost a funkčnost </w:t>
      </w:r>
      <w:r w:rsidR="00BA2A52" w:rsidRPr="00CB36BF">
        <w:t>stávajících služeb.</w:t>
      </w:r>
    </w:p>
    <w:p w:rsidR="00610F70" w:rsidRPr="00CB36BF" w:rsidRDefault="00610F70" w:rsidP="00B92CFC">
      <w:pPr>
        <w:pStyle w:val="Normln-Psmeno"/>
      </w:pPr>
      <w:r w:rsidRPr="00CB36BF">
        <w:t>Požadované součinnosti Zadavatele.</w:t>
      </w:r>
    </w:p>
    <w:p w:rsidR="00610F70" w:rsidRPr="00CB36BF" w:rsidRDefault="00610F70" w:rsidP="00B92CFC">
      <w:pPr>
        <w:pStyle w:val="Normln-Psmeno"/>
      </w:pPr>
      <w:r w:rsidRPr="00CB36BF">
        <w:t>Návrh opatření k odstranění neshod zjištěných v průběhu analýzy</w:t>
      </w:r>
      <w:r w:rsidR="00BA2A52" w:rsidRPr="00CB36BF">
        <w:t>.</w:t>
      </w:r>
    </w:p>
    <w:p w:rsidR="00530341" w:rsidRPr="00CB36BF" w:rsidRDefault="00530341" w:rsidP="00B92CFC">
      <w:pPr>
        <w:pStyle w:val="Normln-Odstavec"/>
      </w:pPr>
      <w:r w:rsidRPr="00CB36BF">
        <w:t xml:space="preserve">Výstupem </w:t>
      </w:r>
      <w:proofErr w:type="spellStart"/>
      <w:r w:rsidRPr="00CB36BF">
        <w:t>předimplementační</w:t>
      </w:r>
      <w:proofErr w:type="spellEnd"/>
      <w:r w:rsidRPr="00CB36BF">
        <w:t xml:space="preserve"> analýzy bude písemná zpráva</w:t>
      </w:r>
      <w:r w:rsidR="00654825" w:rsidRPr="00CB36BF">
        <w:t>,</w:t>
      </w:r>
      <w:r w:rsidR="009312E0" w:rsidRPr="00CB36BF">
        <w:t xml:space="preserve"> kter</w:t>
      </w:r>
      <w:r w:rsidR="00654825" w:rsidRPr="00CB36BF">
        <w:t xml:space="preserve">á podléhá </w:t>
      </w:r>
      <w:r w:rsidR="00A207CA" w:rsidRPr="00CB36BF">
        <w:t>schválení Zadavatelem</w:t>
      </w:r>
      <w:r w:rsidR="00654825" w:rsidRPr="00CB36BF">
        <w:t>.</w:t>
      </w:r>
    </w:p>
    <w:p w:rsidR="00397D69" w:rsidRPr="00CB36BF" w:rsidRDefault="00397D69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zpracování prováděcí dokumentace</w:t>
      </w:r>
    </w:p>
    <w:p w:rsidR="00397D69" w:rsidRPr="00CB36BF" w:rsidRDefault="00DC07C2" w:rsidP="00162C82">
      <w:pPr>
        <w:pStyle w:val="Normln-Odstavec"/>
      </w:pPr>
      <w:r>
        <w:t>Dodavatel</w:t>
      </w:r>
      <w:r w:rsidR="00397D69" w:rsidRPr="00CB36BF">
        <w:t xml:space="preserve"> před zahájením implementačních prací zpracuje prováděcí dokumentaci, která bude důsledně vycházet z </w:t>
      </w:r>
      <w:proofErr w:type="spellStart"/>
      <w:r w:rsidR="00397D69" w:rsidRPr="00CB36BF">
        <w:t>předimplementační</w:t>
      </w:r>
      <w:proofErr w:type="spellEnd"/>
      <w:r w:rsidR="00397D69" w:rsidRPr="00CB36BF">
        <w:t xml:space="preserve"> analýzy a bude zahrnovat všechny aktivity potřebné pro řádné zajištění implementace předmětu plnění do stávajícího prostředí technologického centra. </w:t>
      </w:r>
    </w:p>
    <w:p w:rsidR="00397D69" w:rsidRPr="00CB36BF" w:rsidRDefault="00397D69" w:rsidP="00162C82">
      <w:pPr>
        <w:pStyle w:val="Normln-Odstavec"/>
      </w:pPr>
      <w:r w:rsidRPr="00CB36BF">
        <w:t xml:space="preserve">Prováděcí dokumentace musí být před zahájením prací schválena zadavatelem. </w:t>
      </w:r>
    </w:p>
    <w:p w:rsidR="00397D69" w:rsidRPr="00CB36BF" w:rsidRDefault="00397D69" w:rsidP="00162C82">
      <w:pPr>
        <w:pStyle w:val="Normln-Odstavec"/>
      </w:pPr>
      <w:r w:rsidRPr="00CB36BF">
        <w:t>Prováděcí dokumentace musí zohlednit podmínky stávajícího stavu, požadavky cílového stavu a musí obsahovat minimálně tyto části:</w:t>
      </w:r>
    </w:p>
    <w:p w:rsidR="00397D69" w:rsidRPr="00CB36BF" w:rsidRDefault="00397D69" w:rsidP="00162C82">
      <w:pPr>
        <w:pStyle w:val="Normln-Psmeno"/>
      </w:pPr>
      <w:r w:rsidRPr="00CB36BF">
        <w:t>Detailní popis cílového stavu včetně funkcionalit jednotlivých částí systému,</w:t>
      </w:r>
    </w:p>
    <w:p w:rsidR="00397D69" w:rsidRPr="00CB36BF" w:rsidRDefault="00397D69" w:rsidP="00162C82">
      <w:pPr>
        <w:pStyle w:val="Normln-Psmeno"/>
      </w:pPr>
      <w:r w:rsidRPr="00CB36BF">
        <w:t>Způsob zajištění potřebného SW,</w:t>
      </w:r>
    </w:p>
    <w:p w:rsidR="00397D69" w:rsidRPr="00CB36BF" w:rsidRDefault="00397D69" w:rsidP="00162C82">
      <w:pPr>
        <w:pStyle w:val="Normln-Psmeno"/>
        <w:rPr>
          <w:bCs/>
        </w:rPr>
      </w:pPr>
      <w:r w:rsidRPr="00CB36BF">
        <w:rPr>
          <w:bCs/>
        </w:rPr>
        <w:t xml:space="preserve">Způsob zajištění koordinace realizace předmětu plnění </w:t>
      </w:r>
      <w:r w:rsidRPr="00CB36BF">
        <w:t>s běžným provozem,</w:t>
      </w:r>
    </w:p>
    <w:p w:rsidR="00397D69" w:rsidRPr="00CB36BF" w:rsidRDefault="00397D69" w:rsidP="00162C82">
      <w:pPr>
        <w:pStyle w:val="Normln-Psmeno"/>
      </w:pPr>
      <w:r w:rsidRPr="00CB36BF">
        <w:t>Detailní návrh a popis postupu implementace předmětu plnění,</w:t>
      </w:r>
    </w:p>
    <w:p w:rsidR="00397D69" w:rsidRPr="00CB36BF" w:rsidRDefault="00397D69" w:rsidP="00162C82">
      <w:pPr>
        <w:pStyle w:val="Normln-Psmeno"/>
      </w:pPr>
      <w:r w:rsidRPr="00CB36BF">
        <w:t>Detailní popis zajištění bezpečnosti informací,</w:t>
      </w:r>
    </w:p>
    <w:p w:rsidR="00397D69" w:rsidRPr="00CB36BF" w:rsidRDefault="00397D69" w:rsidP="00162C82">
      <w:pPr>
        <w:pStyle w:val="Normln-Psmeno"/>
      </w:pPr>
      <w:r w:rsidRPr="00CB36BF">
        <w:t>Detailní harmonogram projektu včetně uvedení kritických milníků,</w:t>
      </w:r>
    </w:p>
    <w:p w:rsidR="00397D69" w:rsidRPr="00CB36BF" w:rsidRDefault="00397D69" w:rsidP="00162C82">
      <w:pPr>
        <w:pStyle w:val="Normln-Psmeno"/>
      </w:pPr>
      <w:r w:rsidRPr="00CB36BF">
        <w:t>Vazby na stávající systémy a jejich konfigurace,</w:t>
      </w:r>
    </w:p>
    <w:p w:rsidR="00397D69" w:rsidRPr="00CB36BF" w:rsidRDefault="00397D69" w:rsidP="00162C82">
      <w:pPr>
        <w:pStyle w:val="Normln-Psmeno"/>
      </w:pPr>
      <w:r w:rsidRPr="00CB36BF">
        <w:t>Návrh akceptačních kritérií a akceptačních testů,</w:t>
      </w:r>
    </w:p>
    <w:p w:rsidR="00397D69" w:rsidRPr="00CB36BF" w:rsidRDefault="00397D69" w:rsidP="00162C82">
      <w:pPr>
        <w:pStyle w:val="Normln-Psmeno"/>
      </w:pPr>
      <w:r w:rsidRPr="00CB36BF">
        <w:t>Detailní popis navrhovaných školení.</w:t>
      </w:r>
    </w:p>
    <w:p w:rsidR="00832ADA" w:rsidRPr="00CB36BF" w:rsidRDefault="00832ADA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zajištění projektového vedení</w:t>
      </w:r>
    </w:p>
    <w:p w:rsidR="00832ADA" w:rsidRPr="00CB36BF" w:rsidRDefault="00DC07C2" w:rsidP="00DE7C0C">
      <w:pPr>
        <w:pStyle w:val="Normln-Odstavec"/>
      </w:pPr>
      <w:r>
        <w:t>Dodavatel</w:t>
      </w:r>
      <w:r w:rsidR="00832ADA" w:rsidRPr="00CB36BF">
        <w:t xml:space="preserve"> zajistí projektové vedení po celou dobu realizace zakázky certifikovaným specialist</w:t>
      </w:r>
      <w:r w:rsidR="000423C6">
        <w:t>o</w:t>
      </w:r>
      <w:r w:rsidR="00832ADA" w:rsidRPr="00CB36BF">
        <w:t>u. Součástí nabídky bude popis metodiky, která bude pro projektové řízení použita</w:t>
      </w:r>
      <w:r w:rsidR="000423C6">
        <w:t xml:space="preserve">, </w:t>
      </w:r>
      <w:r w:rsidR="00DE7C0C" w:rsidRPr="00DE7C0C">
        <w:t>struktur</w:t>
      </w:r>
      <w:r w:rsidR="000423C6">
        <w:t>a</w:t>
      </w:r>
      <w:r w:rsidR="00DE7C0C" w:rsidRPr="00DE7C0C">
        <w:t xml:space="preserve"> projektového vedení a rozsah kompetencí a povinností jednotlivých úrovní projektového vedení.</w:t>
      </w:r>
    </w:p>
    <w:p w:rsidR="00BC65AE" w:rsidRPr="00D92397" w:rsidRDefault="00BC65AE" w:rsidP="00BC65AE">
      <w:pPr>
        <w:pStyle w:val="Normln-Odstavec"/>
      </w:pPr>
      <w:r w:rsidRPr="00D92397">
        <w:lastRenderedPageBreak/>
        <w:t>Zadavatel vyžaduje dodržení následujícího harmonogramu plnění – zde jsou uvedeny maximální možné lhůty pro jednotlivé kritické milníky. Údaj D značí datum podpisu smlouvy o dílo. Čísla značí počet kalendářních dnů.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74"/>
        <w:gridCol w:w="1643"/>
        <w:gridCol w:w="1639"/>
      </w:tblGrid>
      <w:tr w:rsidR="00BC65AE" w:rsidRPr="00C56C83" w:rsidTr="00F04617">
        <w:trPr>
          <w:tblHeader/>
        </w:trPr>
        <w:tc>
          <w:tcPr>
            <w:tcW w:w="3126" w:type="pct"/>
            <w:shd w:val="clear" w:color="auto" w:fill="C6D9F1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Aktivita</w:t>
            </w:r>
          </w:p>
        </w:tc>
        <w:tc>
          <w:tcPr>
            <w:tcW w:w="938" w:type="pct"/>
            <w:shd w:val="clear" w:color="auto" w:fill="C6D9F1"/>
            <w:vAlign w:val="center"/>
          </w:tcPr>
          <w:p w:rsidR="00BC65AE" w:rsidRPr="00C56C83" w:rsidDel="00F33D37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Začátek</w:t>
            </w:r>
          </w:p>
        </w:tc>
        <w:tc>
          <w:tcPr>
            <w:tcW w:w="936" w:type="pct"/>
            <w:shd w:val="clear" w:color="auto" w:fill="C6D9F1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Termín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Podpis smlouvy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Zahájení projektu – úvodní projektová schůzka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D+10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Předimplementační</w:t>
            </w:r>
            <w:proofErr w:type="spellEnd"/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analýza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D+7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D+21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Předimplementační</w:t>
            </w:r>
            <w:proofErr w:type="spellEnd"/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analýza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D+21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D+28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Prováděcí dokumentace – zpracování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D+28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D+42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Prováděcí dokumentace – připomínkové řízení, schválení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D+42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D+49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Realizace předmětu plnění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D+49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39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Školení administrátorů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D+100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D+139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Zkušební provoz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D+139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D+169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Akceptační testy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D+169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D+176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Zahájení ostrého provozu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D+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176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</w:p>
        </w:tc>
      </w:tr>
      <w:tr w:rsidR="00BC65AE" w:rsidRPr="00C56C83" w:rsidTr="00F04617">
        <w:tc>
          <w:tcPr>
            <w:tcW w:w="312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bCs/>
                <w:sz w:val="16"/>
                <w:szCs w:val="16"/>
              </w:rPr>
              <w:t>Rezerva projektu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BC65AE" w:rsidRPr="00C56C83" w:rsidRDefault="00BC65AE" w:rsidP="00F04617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56C8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</w:tr>
    </w:tbl>
    <w:p w:rsidR="00BC65AE" w:rsidRPr="00D92397" w:rsidRDefault="00DC07C2" w:rsidP="00BC65AE">
      <w:pPr>
        <w:pStyle w:val="Normln-Odstavec"/>
      </w:pPr>
      <w:r>
        <w:t>Dodavatel</w:t>
      </w:r>
      <w:r w:rsidR="00BC65AE" w:rsidRPr="00D92397">
        <w:t xml:space="preserve"> může dle svého uvážení výše uvedené maximální lhůty trvání zkrátit při dodržení všech částí předmětu plnění a bez snížení kvality dodávaných služeb. </w:t>
      </w:r>
    </w:p>
    <w:p w:rsidR="00BC65AE" w:rsidRPr="00D92397" w:rsidRDefault="00BC65AE" w:rsidP="00BC65AE">
      <w:pPr>
        <w:pStyle w:val="Normln-Odstavec"/>
      </w:pPr>
      <w:r w:rsidRPr="00D92397">
        <w:t xml:space="preserve">Maximální lhůty trvání nesmí </w:t>
      </w:r>
      <w:r w:rsidR="00DC07C2">
        <w:t>dodavatel</w:t>
      </w:r>
      <w:r w:rsidRPr="00D92397">
        <w:t xml:space="preserve"> při tvorbě detailního harmonogramu prodloužit.</w:t>
      </w:r>
    </w:p>
    <w:p w:rsidR="00BC65AE" w:rsidRPr="00AD4489" w:rsidRDefault="00BC65AE" w:rsidP="00BC65AE">
      <w:pPr>
        <w:pStyle w:val="Normln-Odstavec"/>
        <w:rPr>
          <w:szCs w:val="22"/>
        </w:rPr>
      </w:pPr>
      <w:r>
        <w:t>Dodavatel</w:t>
      </w:r>
      <w:r w:rsidRPr="00A20D99">
        <w:t xml:space="preserve"> uvede závazný harmonogram plnění ve své nabídce</w:t>
      </w:r>
      <w:r>
        <w:t>. Tento harmonogram bude dop</w:t>
      </w:r>
      <w:r w:rsidRPr="00AD4489">
        <w:rPr>
          <w:szCs w:val="22"/>
        </w:rPr>
        <w:t>lněn do čl. III. odst. 3.1 uzavírané smlouvy o dílo.</w:t>
      </w:r>
    </w:p>
    <w:p w:rsidR="00832ADA" w:rsidRPr="00BC65AE" w:rsidRDefault="00BC65AE" w:rsidP="00BC65AE">
      <w:pPr>
        <w:pStyle w:val="Normln-Odstavec"/>
        <w:rPr>
          <w:szCs w:val="22"/>
        </w:rPr>
      </w:pPr>
      <w:r w:rsidRPr="00AD4489">
        <w:rPr>
          <w:szCs w:val="22"/>
        </w:rPr>
        <w:t>Dodavatel uvede potřebnou součinnost zadavatele pro splnění harmonogramu plnění ve své nabídce.</w:t>
      </w:r>
    </w:p>
    <w:p w:rsidR="000E32C9" w:rsidRPr="00573DFE" w:rsidRDefault="000E32C9" w:rsidP="000E32C9">
      <w:pPr>
        <w:pStyle w:val="Normln-Odstavec"/>
      </w:pPr>
      <w:r w:rsidRPr="00573DFE">
        <w:t xml:space="preserve">Nejpozdější termín pro zahájení ostrého provozu a ukončení projektu je </w:t>
      </w:r>
      <w:r w:rsidR="00B63729">
        <w:t>30. 6. 2019.</w:t>
      </w:r>
    </w:p>
    <w:p w:rsidR="00555A9E" w:rsidRPr="00983225" w:rsidRDefault="00555A9E" w:rsidP="00555A9E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983225">
        <w:rPr>
          <w:lang w:eastAsia="cs-CZ"/>
        </w:rPr>
        <w:t>Požadavky na prov</w:t>
      </w:r>
      <w:r>
        <w:rPr>
          <w:lang w:eastAsia="cs-CZ"/>
        </w:rPr>
        <w:t>ozní dokumentaci</w:t>
      </w:r>
    </w:p>
    <w:p w:rsidR="00555A9E" w:rsidRPr="00CB36BF" w:rsidRDefault="00DC07C2" w:rsidP="00B92CFC">
      <w:pPr>
        <w:pStyle w:val="Normln-Odstavec"/>
      </w:pPr>
      <w:r>
        <w:t>Dodavatel</w:t>
      </w:r>
      <w:r w:rsidR="00555A9E" w:rsidRPr="00CB36BF">
        <w:t xml:space="preserve"> zpracuje provozní dokumentaci, která bude detailně popisovat konfiguraci zhotoveného díla a jeho vazby na stávající systémy. </w:t>
      </w:r>
    </w:p>
    <w:p w:rsidR="00555A9E" w:rsidRPr="00CB36BF" w:rsidRDefault="00555A9E" w:rsidP="00B92CFC">
      <w:pPr>
        <w:pStyle w:val="Normln-Odstavec"/>
      </w:pPr>
      <w:r w:rsidRPr="00CB36BF">
        <w:t>Součástí provozní dokumentace bude popis úkonů doporučené údržby a specifikace intervalů jejích provádění.</w:t>
      </w:r>
    </w:p>
    <w:p w:rsidR="00555A9E" w:rsidRPr="00296E07" w:rsidRDefault="00DC07C2" w:rsidP="00B92CFC">
      <w:pPr>
        <w:pStyle w:val="Normln-Odstavec"/>
      </w:pPr>
      <w:r>
        <w:t>Dodavatel</w:t>
      </w:r>
      <w:r w:rsidR="00555A9E" w:rsidRPr="00CB36BF">
        <w:t xml:space="preserve"> v rámci zakázky provede aktualizaci </w:t>
      </w:r>
      <w:r w:rsidR="00555A9E">
        <w:t xml:space="preserve">stávající </w:t>
      </w:r>
      <w:r w:rsidR="00555A9E" w:rsidRPr="00CB36BF">
        <w:t xml:space="preserve">Provozní dokumentace TC tak, aby odpovídala stavu po dokončení </w:t>
      </w:r>
      <w:r w:rsidR="00555A9E">
        <w:t>implementace</w:t>
      </w:r>
      <w:r w:rsidR="00555A9E" w:rsidRPr="00CB36BF">
        <w:t>.</w:t>
      </w:r>
      <w:r w:rsidR="00555A9E" w:rsidRPr="00CB36BF" w:rsidDel="00DE2551">
        <w:t xml:space="preserve"> </w:t>
      </w:r>
      <w:r w:rsidR="00555A9E">
        <w:t xml:space="preserve">Stávající Provozní dokumentace TC, resp. její relevantní části budou </w:t>
      </w:r>
      <w:r>
        <w:t>dodavatel</w:t>
      </w:r>
      <w:r w:rsidR="00555A9E">
        <w:t>i předány k aktualizaci po podpisu smlouvy o dílo.</w:t>
      </w:r>
    </w:p>
    <w:p w:rsidR="000249A5" w:rsidRPr="00CB36BF" w:rsidRDefault="00110B29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š</w:t>
      </w:r>
      <w:r w:rsidR="000249A5" w:rsidRPr="00CB36BF">
        <w:rPr>
          <w:lang w:eastAsia="cs-CZ"/>
        </w:rPr>
        <w:t>kolení</w:t>
      </w:r>
    </w:p>
    <w:p w:rsidR="00302405" w:rsidRDefault="00DC07C2" w:rsidP="006012C5">
      <w:pPr>
        <w:pStyle w:val="Normln-Odstavec"/>
      </w:pPr>
      <w:r>
        <w:t>Dodavatel</w:t>
      </w:r>
      <w:r w:rsidR="00B05E61" w:rsidRPr="00CB36BF">
        <w:t xml:space="preserve"> zajistí školení pracovníků Zadavatele – administrátorů</w:t>
      </w:r>
      <w:r w:rsidR="006012C5">
        <w:t>, tzn. obsluhy</w:t>
      </w:r>
      <w:r w:rsidR="00B05E61" w:rsidRPr="00CB36BF">
        <w:t xml:space="preserve"> – na zařízení a systémy, dodávané v rámci této veřejné zakázky, a to minimálně v rozsahu předávané </w:t>
      </w:r>
      <w:r w:rsidR="000671B3" w:rsidRPr="00CB36BF">
        <w:t xml:space="preserve">provozní </w:t>
      </w:r>
      <w:r w:rsidR="00B05E61" w:rsidRPr="00CB36BF">
        <w:t xml:space="preserve">dokumentace. </w:t>
      </w:r>
    </w:p>
    <w:p w:rsidR="00517D56" w:rsidRDefault="00B05E61" w:rsidP="006012C5">
      <w:pPr>
        <w:pStyle w:val="Normln-Odstavec"/>
      </w:pPr>
      <w:r w:rsidRPr="00CB36BF">
        <w:t>Školení zajistí seznámení pracovníků Zadavatele se všemi podstatnými částmi díla v rozsahu potřebném pro provoz, údržbu a identifikaci nestandardních stavů systému a jejich příčin</w:t>
      </w:r>
      <w:r w:rsidR="000A0748">
        <w:t xml:space="preserve"> </w:t>
      </w:r>
      <w:r w:rsidR="007E5BDE">
        <w:t xml:space="preserve">a </w:t>
      </w:r>
      <w:r w:rsidR="00517D56" w:rsidRPr="00101098">
        <w:t>pracovníkům bude vystaveno osvědčení o školení</w:t>
      </w:r>
      <w:r w:rsidR="007E5BDE">
        <w:t xml:space="preserve"> s uvedením rozsahu školení</w:t>
      </w:r>
      <w:r w:rsidR="00517D56" w:rsidRPr="00101098">
        <w:t xml:space="preserve">. </w:t>
      </w:r>
    </w:p>
    <w:p w:rsidR="00EC7634" w:rsidRPr="00CB36BF" w:rsidRDefault="007E5BDE" w:rsidP="006012C5">
      <w:pPr>
        <w:pStyle w:val="Normln-Odstavec"/>
      </w:pPr>
      <w:r>
        <w:t xml:space="preserve">Minimální rozsah školení je </w:t>
      </w:r>
      <w:r w:rsidR="006012C5">
        <w:t>6</w:t>
      </w:r>
      <w:r w:rsidR="00517D56" w:rsidRPr="00101098">
        <w:t xml:space="preserve"> hodin</w:t>
      </w:r>
      <w:r w:rsidR="00517D56">
        <w:t>.</w:t>
      </w:r>
    </w:p>
    <w:p w:rsidR="00EC7634" w:rsidRPr="00CB36BF" w:rsidRDefault="00B05E61" w:rsidP="006012C5">
      <w:pPr>
        <w:pStyle w:val="Normln-Odstavec"/>
      </w:pPr>
      <w:r w:rsidRPr="00CB36BF">
        <w:t xml:space="preserve">Školení bude probíhat v sídle </w:t>
      </w:r>
      <w:r w:rsidR="000357B3" w:rsidRPr="00CB36BF">
        <w:t>Z</w:t>
      </w:r>
      <w:r w:rsidRPr="00CB36BF">
        <w:t xml:space="preserve">adavatele. </w:t>
      </w:r>
    </w:p>
    <w:p w:rsidR="00B05E61" w:rsidRPr="00CB36BF" w:rsidRDefault="00B05E61" w:rsidP="006012C5">
      <w:pPr>
        <w:pStyle w:val="Normln-Odstavec"/>
      </w:pPr>
      <w:r w:rsidRPr="00CB36BF">
        <w:lastRenderedPageBreak/>
        <w:t xml:space="preserve">Předpokládá se účast max. </w:t>
      </w:r>
      <w:r w:rsidR="000357B3" w:rsidRPr="00CB36BF">
        <w:t xml:space="preserve">5 </w:t>
      </w:r>
      <w:r w:rsidR="006012C5">
        <w:t>osob</w:t>
      </w:r>
      <w:r w:rsidRPr="00CB36BF">
        <w:t>.</w:t>
      </w:r>
    </w:p>
    <w:p w:rsidR="0037213E" w:rsidRPr="00CB36BF" w:rsidRDefault="0037213E" w:rsidP="006012C5">
      <w:pPr>
        <w:pStyle w:val="Normln-Odstavec"/>
      </w:pPr>
      <w:r w:rsidRPr="00CB36BF">
        <w:t>Náklady na školení musí být zahrnuty v nabídkové ceně k položce, ke které se vztahují a nelze je vyčíslit zvlášť.</w:t>
      </w:r>
    </w:p>
    <w:p w:rsidR="004C617E" w:rsidRPr="00CB36BF" w:rsidRDefault="004C617E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testovací prostředí</w:t>
      </w:r>
    </w:p>
    <w:p w:rsidR="00C5779B" w:rsidRPr="00A20D99" w:rsidRDefault="00C5779B" w:rsidP="00C5779B">
      <w:pPr>
        <w:pStyle w:val="Normln-Odstavec"/>
        <w:jc w:val="left"/>
      </w:pPr>
      <w:r w:rsidRPr="00A20D99">
        <w:t>Zadavatel disponuje testovacím prostředím</w:t>
      </w:r>
      <w:r>
        <w:t xml:space="preserve"> s parametry uvedenými v kapitole 2.3 a 2.4 této Přílohy zadávací dokumentace.</w:t>
      </w:r>
      <w:r w:rsidRPr="00A20D99">
        <w:t xml:space="preserve"> </w:t>
      </w:r>
      <w:r>
        <w:t xml:space="preserve"> Pokud by pro instalaci nabízeného řešení tyto parametry nevyhovovaly, musí </w:t>
      </w:r>
      <w:r w:rsidR="00DC07C2">
        <w:t>dodavatel</w:t>
      </w:r>
      <w:r>
        <w:t xml:space="preserve"> dodat vlastní testovací prostředí.</w:t>
      </w:r>
    </w:p>
    <w:p w:rsidR="006012C5" w:rsidRDefault="006012C5" w:rsidP="00C5779B">
      <w:pPr>
        <w:pStyle w:val="Normln-Odstavec"/>
        <w:jc w:val="left"/>
      </w:pPr>
      <w:r>
        <w:t xml:space="preserve">Testovací provoz bude proveden klíčovými uživateli a administrátory na testovacím prostředí, které zajistí </w:t>
      </w:r>
      <w:r w:rsidR="00DC07C2">
        <w:t>dodavatel</w:t>
      </w:r>
      <w:r>
        <w:t>. Testovací provoz bude proveden v termínech dle harmonogramu projektu, po jednotlivých oblastech implementovaného řešení.</w:t>
      </w:r>
    </w:p>
    <w:p w:rsidR="006012C5" w:rsidRDefault="006012C5" w:rsidP="006012C5">
      <w:pPr>
        <w:pStyle w:val="Normln-Odstavec"/>
      </w:pPr>
      <w:r>
        <w:t xml:space="preserve">V průběhu testovacího provozu klíčoví uživatelé a administrátoři průběžně předávají případné připomínky. </w:t>
      </w:r>
    </w:p>
    <w:p w:rsidR="006012C5" w:rsidRDefault="00DC07C2" w:rsidP="006012C5">
      <w:pPr>
        <w:pStyle w:val="Normln-Odstavec"/>
      </w:pPr>
      <w:r>
        <w:t>Dodavatel</w:t>
      </w:r>
      <w:r w:rsidR="006012C5">
        <w:t xml:space="preserve"> připomínky v průběhu testovacího provozu průběžně řeší a o způsobu řešení Zadavatele informuje.</w:t>
      </w:r>
    </w:p>
    <w:p w:rsidR="006012C5" w:rsidRDefault="006012C5" w:rsidP="006012C5">
      <w:pPr>
        <w:pStyle w:val="Normln-Odstavec"/>
      </w:pPr>
      <w:r>
        <w:t>Konečný seznam připomínek z testovacího provozu Zadavatel předá před termínem ukončení testovacího provozu stanoveném harmonogramem projektu.</w:t>
      </w:r>
    </w:p>
    <w:p w:rsidR="006012C5" w:rsidRDefault="006012C5" w:rsidP="006012C5">
      <w:pPr>
        <w:pStyle w:val="Normln-Odstavec"/>
      </w:pPr>
      <w:r>
        <w:t xml:space="preserve">Předané připomínky budou oklasifikovány (Chyba/Požadavek) a </w:t>
      </w:r>
      <w:r w:rsidR="00DC07C2">
        <w:t>Dodavatel</w:t>
      </w:r>
      <w:r>
        <w:t xml:space="preserve"> k nim doplnění způsob vypořádání. Připomínka typu Chyba bude uplatněna výlučně v případech, ve kterých nebude aplikace umožňovat uživateli zpracovávanou činnost dokončit. Připomínky označené jako Chyba budou </w:t>
      </w:r>
      <w:r w:rsidR="00DC07C2">
        <w:t>Dodavatel</w:t>
      </w:r>
      <w:r>
        <w:t xml:space="preserve">em odstraněny do konce fáze testovacího provozu. Připomínky označené Požadavek budou </w:t>
      </w:r>
      <w:r w:rsidR="00DC07C2">
        <w:t>Dodavatel</w:t>
      </w:r>
      <w:r>
        <w:t>em doplněny o způsob, pracnost a termín řešení.</w:t>
      </w:r>
    </w:p>
    <w:p w:rsidR="006012C5" w:rsidRPr="00CB36BF" w:rsidRDefault="006012C5" w:rsidP="006012C5">
      <w:pPr>
        <w:pStyle w:val="Normln-Odstavec"/>
      </w:pPr>
      <w:r>
        <w:t xml:space="preserve">Odstranění jednotlivých připomínek typu „Chyba“ je </w:t>
      </w:r>
      <w:r w:rsidR="00DC07C2">
        <w:t>Dodavatel</w:t>
      </w:r>
      <w:r>
        <w:t xml:space="preserve"> povinen předvést klíčovým uživatelům na testovacím prostředí Zadavatele.</w:t>
      </w:r>
    </w:p>
    <w:p w:rsidR="000249A5" w:rsidRPr="00983225" w:rsidRDefault="00110B29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983225">
        <w:rPr>
          <w:lang w:eastAsia="cs-CZ"/>
        </w:rPr>
        <w:t>Požadavky na provedení akceptačních testů</w:t>
      </w:r>
      <w:r w:rsidR="003A59EC" w:rsidRPr="00983225">
        <w:rPr>
          <w:lang w:eastAsia="cs-CZ"/>
        </w:rPr>
        <w:t>, zkušební provoz a přechod do ostrého provozu</w:t>
      </w:r>
    </w:p>
    <w:p w:rsidR="0037213E" w:rsidRPr="00CB36BF" w:rsidRDefault="00DC07C2" w:rsidP="004C75B0">
      <w:pPr>
        <w:pStyle w:val="Normln-Odstavec"/>
      </w:pPr>
      <w:r>
        <w:t>Dodavatel</w:t>
      </w:r>
      <w:r w:rsidR="0037213E" w:rsidRPr="00CB36BF">
        <w:t xml:space="preserve"> navrhne způsob a provedení akceptačních testů. </w:t>
      </w:r>
    </w:p>
    <w:p w:rsidR="0037213E" w:rsidRPr="00CB36BF" w:rsidRDefault="0037213E" w:rsidP="004C75B0">
      <w:pPr>
        <w:pStyle w:val="Normln-Odstavec"/>
      </w:pPr>
      <w:r w:rsidRPr="00CB36BF">
        <w:t>Součástí akceptačních testů musí být minimálně:</w:t>
      </w:r>
    </w:p>
    <w:p w:rsidR="0037213E" w:rsidRPr="00CB36BF" w:rsidRDefault="0037213E" w:rsidP="004C75B0">
      <w:pPr>
        <w:pStyle w:val="Normln-Psmeno"/>
      </w:pPr>
      <w:r w:rsidRPr="00CB36BF">
        <w:t xml:space="preserve">Ověření (otestování) veškerých požadovaných funkcí a parametrů všech </w:t>
      </w:r>
      <w:r w:rsidR="00781EF9">
        <w:t xml:space="preserve">dodávaných </w:t>
      </w:r>
      <w:r w:rsidRPr="00CB36BF">
        <w:t>komodit</w:t>
      </w:r>
      <w:r w:rsidR="00781EF9">
        <w:t>,</w:t>
      </w:r>
    </w:p>
    <w:p w:rsidR="0037213E" w:rsidRPr="00CB36BF" w:rsidRDefault="0037213E" w:rsidP="004C75B0">
      <w:pPr>
        <w:pStyle w:val="Normln-Psmeno"/>
      </w:pPr>
      <w:r w:rsidRPr="00CB36BF">
        <w:t xml:space="preserve">Provedení zátěžových testů a změření </w:t>
      </w:r>
      <w:r w:rsidR="00E261D1">
        <w:t xml:space="preserve">klíčových </w:t>
      </w:r>
      <w:r w:rsidRPr="00CB36BF">
        <w:t xml:space="preserve">výkonových parametrů </w:t>
      </w:r>
      <w:r w:rsidR="00E261D1">
        <w:t>dodávaných systémů</w:t>
      </w:r>
      <w:r w:rsidR="00781EF9">
        <w:t>.</w:t>
      </w:r>
    </w:p>
    <w:p w:rsidR="0037213E" w:rsidRPr="00CB36BF" w:rsidRDefault="0037213E" w:rsidP="004C75B0">
      <w:pPr>
        <w:pStyle w:val="Normln-Odstavec"/>
      </w:pPr>
      <w:r w:rsidRPr="00CB36BF">
        <w:t>O provedení akceptace a jejím výsledku musí být vyhotoven písemný protokol</w:t>
      </w:r>
      <w:r w:rsidR="00781EF9">
        <w:t>.</w:t>
      </w:r>
    </w:p>
    <w:p w:rsidR="004C75B0" w:rsidRDefault="00DC07C2" w:rsidP="004C75B0">
      <w:pPr>
        <w:pStyle w:val="Normln-Odstavec"/>
      </w:pPr>
      <w:r>
        <w:t>Dodavatel</w:t>
      </w:r>
      <w:r w:rsidR="0037213E" w:rsidRPr="00CB36BF">
        <w:t xml:space="preserve"> zajistí</w:t>
      </w:r>
      <w:r w:rsidR="0037213E" w:rsidRPr="00CB36BF">
        <w:rPr>
          <w:rFonts w:ascii="Times" w:hAnsi="Times"/>
        </w:rPr>
        <w:t xml:space="preserve"> </w:t>
      </w:r>
      <w:r w:rsidR="007E5BDE">
        <w:rPr>
          <w:rFonts w:ascii="Times" w:hAnsi="Times"/>
        </w:rPr>
        <w:t xml:space="preserve">podporu </w:t>
      </w:r>
      <w:r w:rsidR="0037213E" w:rsidRPr="00CB36BF">
        <w:rPr>
          <w:rFonts w:ascii="Times" w:hAnsi="Times"/>
        </w:rPr>
        <w:t>zkušební provozu</w:t>
      </w:r>
      <w:r w:rsidR="0037213E" w:rsidRPr="00CB36BF">
        <w:t xml:space="preserve"> v délce </w:t>
      </w:r>
      <w:r w:rsidR="004C75B0" w:rsidRPr="00CB36BF">
        <w:t>minimálně</w:t>
      </w:r>
      <w:r w:rsidR="004C75B0">
        <w:t xml:space="preserve"> 4 týdnů takto:</w:t>
      </w:r>
    </w:p>
    <w:p w:rsidR="004C75B0" w:rsidRDefault="004C75B0" w:rsidP="004C75B0">
      <w:pPr>
        <w:pStyle w:val="Normln-Psmeno"/>
      </w:pPr>
      <w:r>
        <w:t>fyzická přítomnost (v sídle zadavatele) jednoho specialisty dodavatele jeden den v každém týdnu po dobu zkušebního provozu (konkrétní termíny budou upřesněny před zahájením zkušebního provozu),</w:t>
      </w:r>
    </w:p>
    <w:p w:rsidR="004C75B0" w:rsidRDefault="004C75B0" w:rsidP="004C75B0">
      <w:pPr>
        <w:pStyle w:val="Normln-Psmeno"/>
      </w:pPr>
      <w:r>
        <w:t>možnost technické podpory formou telefonické konzultace se specialistou dodavatele s dostupností maximálně 2 hodin od nahlášení požadavku v pracovní dny v době od 8:00 do 16:00 hod v termínech bez fyzické přítomnosti specialisty dodavatele v sídle zadavatele s to až do ukončení zkušebního provozu,</w:t>
      </w:r>
    </w:p>
    <w:p w:rsidR="0037213E" w:rsidRPr="004C75B0" w:rsidRDefault="0037213E" w:rsidP="00FB5132">
      <w:pPr>
        <w:pStyle w:val="Normln-Odstavec"/>
      </w:pPr>
      <w:r w:rsidRPr="00CB36BF">
        <w:lastRenderedPageBreak/>
        <w:t>Přechodem do ostrého provozu se rozumí okamžik úspěšné akceptace díla včetně v</w:t>
      </w:r>
      <w:r w:rsidR="004C75B0">
        <w:t>ypořádání všech vad a nedodělků a p</w:t>
      </w:r>
      <w:r w:rsidR="004C75B0" w:rsidRPr="004C75B0">
        <w:t>ře</w:t>
      </w:r>
      <w:r w:rsidR="004C75B0">
        <w:t>sun</w:t>
      </w:r>
      <w:r w:rsidR="004C75B0" w:rsidRPr="004C75B0">
        <w:t xml:space="preserve"> akceptovaného nastavení systému z testovacího do produktivního prostředí, </w:t>
      </w:r>
      <w:r w:rsidR="004C75B0">
        <w:t>tj.</w:t>
      </w:r>
      <w:r w:rsidR="004C75B0" w:rsidRPr="004C75B0">
        <w:t xml:space="preserve"> do ostrého provozu. </w:t>
      </w:r>
    </w:p>
    <w:p w:rsidR="00E261D1" w:rsidRPr="00E261D1" w:rsidRDefault="00E261D1" w:rsidP="004C75B0">
      <w:pPr>
        <w:pStyle w:val="Normln-Odstavec"/>
      </w:pPr>
      <w:r w:rsidRPr="00E261D1">
        <w:t xml:space="preserve">Podkladem k akceptaci dodávaného řešení je potvrzený výsledek akceptačního testu funkcionality za jednotlivé části dodávaného systému, provedeného v závěru testovacího provozu a přehled zapracování připomínek typu Chyba. </w:t>
      </w:r>
    </w:p>
    <w:p w:rsidR="00E261D1" w:rsidRPr="00E261D1" w:rsidRDefault="00E261D1" w:rsidP="004C75B0">
      <w:pPr>
        <w:pStyle w:val="Normln-Odstavec"/>
      </w:pPr>
      <w:r w:rsidRPr="00E261D1">
        <w:t xml:space="preserve">Akceptační řízení dodávaného řešení bude provedeno v termínech dle harmonogramu projektu. </w:t>
      </w:r>
    </w:p>
    <w:p w:rsidR="00E261D1" w:rsidRDefault="00E261D1" w:rsidP="004C75B0">
      <w:pPr>
        <w:pStyle w:val="Normln-Odstavec"/>
      </w:pPr>
      <w:r w:rsidRPr="00E261D1">
        <w:t>Před zahájením produkčního provozu zajistí proškolení administrátoři zadavatele nastavení přístupových oprávnění pro koncové uživatele na produktivním prostředí.</w:t>
      </w:r>
    </w:p>
    <w:p w:rsidR="004C75B0" w:rsidRDefault="004C75B0" w:rsidP="004C75B0">
      <w:pPr>
        <w:pStyle w:val="Normln-Odstavec"/>
      </w:pPr>
      <w:r>
        <w:t>Zajištění podpory po spuštění ostrého provozu v délce 2 týdnů takto:</w:t>
      </w:r>
    </w:p>
    <w:p w:rsidR="004C75B0" w:rsidRDefault="004C75B0" w:rsidP="004C75B0">
      <w:pPr>
        <w:pStyle w:val="Normln-Psmeno"/>
      </w:pPr>
      <w:r>
        <w:t xml:space="preserve">fyzická přítomnost v sídle zadavatele jednoho specialisty dodavatele jeden den v každém týdnu, </w:t>
      </w:r>
    </w:p>
    <w:p w:rsidR="00673717" w:rsidRPr="00F94CCF" w:rsidRDefault="004C75B0" w:rsidP="00F94CCF">
      <w:pPr>
        <w:pStyle w:val="Normln-Psmeno"/>
      </w:pPr>
      <w:r>
        <w:t>možnost technické podpory formou telefonické konzultace se specialistou dodavatele s dostupností maximálně 2 hodin od nahlášení požadavku v pracovní dny v době od 8:00 do 16:00 hod. v termínech bez fyzické přítomnosti specialist</w:t>
      </w:r>
      <w:r w:rsidR="00ED2FF0">
        <w:t>y dodavatele v sídle zadavatele.</w:t>
      </w:r>
      <w:bookmarkEnd w:id="7"/>
      <w:bookmarkEnd w:id="8"/>
    </w:p>
    <w:p w:rsidR="0099593D" w:rsidRPr="00CB36BF" w:rsidRDefault="0099593D" w:rsidP="00461E50">
      <w:pPr>
        <w:pStyle w:val="Nadpis2"/>
        <w:jc w:val="left"/>
        <w:rPr>
          <w:lang w:eastAsia="cs-CZ"/>
        </w:rPr>
      </w:pPr>
      <w:r w:rsidRPr="00CB36BF">
        <w:rPr>
          <w:lang w:eastAsia="cs-CZ"/>
        </w:rPr>
        <w:t>Záruky a servisní p</w:t>
      </w:r>
      <w:r w:rsidRPr="00CB36BF">
        <w:t>o</w:t>
      </w:r>
      <w:r w:rsidRPr="00CB36BF">
        <w:rPr>
          <w:lang w:eastAsia="cs-CZ"/>
        </w:rPr>
        <w:t>dmínky</w:t>
      </w:r>
    </w:p>
    <w:p w:rsidR="00020592" w:rsidRPr="00CB36BF" w:rsidRDefault="00020592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záruky a servisní podmínky</w:t>
      </w:r>
    </w:p>
    <w:p w:rsidR="004016F8" w:rsidRPr="00CB36BF" w:rsidRDefault="004016F8" w:rsidP="00AE5BDA">
      <w:pPr>
        <w:pStyle w:val="Normln-Odstavec"/>
      </w:pPr>
      <w:r w:rsidRPr="00CB36BF">
        <w:t xml:space="preserve">Zadavatel uvádí u jednotlivých komodit požadovanou min. záruku, popř. podporu. Uváděné parametry byly průzkumem trhu zjištěny jako standardní, tj. poskytovány výrobci jako součást standardní dodávky a ceny.  </w:t>
      </w:r>
    </w:p>
    <w:p w:rsidR="00C55859" w:rsidRPr="00EC5457" w:rsidRDefault="00DC07C2" w:rsidP="00C55859">
      <w:pPr>
        <w:pStyle w:val="Normln-Odstavec"/>
      </w:pPr>
      <w:r>
        <w:t>Dodavatel</w:t>
      </w:r>
      <w:r w:rsidR="00AE5BDA" w:rsidRPr="00AE5BDA">
        <w:t xml:space="preserve"> ve své nabídce</w:t>
      </w:r>
      <w:r w:rsidR="00C55859">
        <w:t xml:space="preserve"> </w:t>
      </w:r>
      <w:r w:rsidR="00C55859" w:rsidRPr="00EC5457">
        <w:t>výslov</w:t>
      </w:r>
      <w:r w:rsidR="00C55859">
        <w:t>ně uvede všechny podmínky záruk a</w:t>
      </w:r>
      <w:r w:rsidR="00AE5BDA" w:rsidRPr="00AE5BDA">
        <w:t xml:space="preserve"> poskytované služby v době </w:t>
      </w:r>
      <w:r w:rsidR="00C55859">
        <w:t xml:space="preserve">platnosti </w:t>
      </w:r>
      <w:r w:rsidR="00AE5BDA">
        <w:t xml:space="preserve">24 </w:t>
      </w:r>
      <w:r w:rsidR="00AE5BDA" w:rsidRPr="00AE5BDA">
        <w:t xml:space="preserve">měsíční záruky od </w:t>
      </w:r>
      <w:r w:rsidR="00C55859">
        <w:t xml:space="preserve">doby </w:t>
      </w:r>
      <w:r w:rsidR="00AE5BDA" w:rsidRPr="00AE5BDA">
        <w:t xml:space="preserve">předání dodávaného systému jako celku do plného produktivního provozu. </w:t>
      </w:r>
    </w:p>
    <w:p w:rsidR="00AE5BDA" w:rsidRPr="00EC5457" w:rsidRDefault="00AE5BDA" w:rsidP="00EC5457">
      <w:pPr>
        <w:pStyle w:val="Normln-Odstavec"/>
      </w:pPr>
      <w:r w:rsidRPr="00EC5457">
        <w:t>Veškeré opravy zjištěných vad po dobu záruky budou provedeny bez dalších nákladů pro zadavatele.  Vadou se rozumí stav, který je v rozporu:</w:t>
      </w:r>
    </w:p>
    <w:p w:rsidR="00AE5BDA" w:rsidRPr="00EC5457" w:rsidRDefault="00AE5BDA" w:rsidP="00EC5457">
      <w:pPr>
        <w:pStyle w:val="Normln-Psmeno"/>
      </w:pPr>
      <w:r w:rsidRPr="00EC5457">
        <w:t xml:space="preserve">se standardní funkcionalitou systému implementovaného na produkčním prostředí a tento rozpor je vůči uživatelské dokumentaci systému, </w:t>
      </w:r>
    </w:p>
    <w:p w:rsidR="00AE5BDA" w:rsidRPr="00EC5457" w:rsidRDefault="00AE5BDA" w:rsidP="00EC5457">
      <w:pPr>
        <w:pStyle w:val="Normln-Psmeno"/>
      </w:pPr>
      <w:r w:rsidRPr="00EC5457">
        <w:t>s funkcionalitou definovanou ve smlouvě o dílo (jejích přílohách), případně v akceptačním protokolu implementace systému,</w:t>
      </w:r>
    </w:p>
    <w:p w:rsidR="00AE5BDA" w:rsidRPr="00EC5457" w:rsidRDefault="00AE5BDA" w:rsidP="00EC5457">
      <w:pPr>
        <w:pStyle w:val="Normln-Psmeno"/>
      </w:pPr>
      <w:r w:rsidRPr="00EC5457">
        <w:t>s platnou legislativou ČR k datu hlášení incidentu zadavatelem.</w:t>
      </w:r>
    </w:p>
    <w:p w:rsidR="00AE5BDA" w:rsidRPr="00EC5457" w:rsidRDefault="00AE5BDA" w:rsidP="00EC5457">
      <w:pPr>
        <w:pStyle w:val="Normln-Odstavec"/>
      </w:pPr>
      <w:r w:rsidRPr="00EC5457">
        <w:t xml:space="preserve">Není-li uvedeno u konkrétní komponenty jinak, požaduje zadavatel provedení záruční opravy zjištěné vady do tří pracovních dnů. </w:t>
      </w:r>
    </w:p>
    <w:p w:rsidR="00C55859" w:rsidRPr="00AE5BDA" w:rsidRDefault="00C55859" w:rsidP="002F2CA0">
      <w:pPr>
        <w:pStyle w:val="Normln-Odstavec"/>
      </w:pPr>
      <w:r w:rsidRPr="00AE5BDA">
        <w:t xml:space="preserve">Součástí </w:t>
      </w:r>
      <w:r>
        <w:t xml:space="preserve">záruky je i poskytování </w:t>
      </w:r>
      <w:r w:rsidRPr="00AE5BDA">
        <w:t xml:space="preserve">základní podpory </w:t>
      </w:r>
      <w:r>
        <w:t>software v rozsahu</w:t>
      </w:r>
      <w:r w:rsidRPr="00AE5BDA">
        <w:t>:</w:t>
      </w:r>
    </w:p>
    <w:p w:rsidR="00C55859" w:rsidRPr="00AE5BDA" w:rsidRDefault="00C55859" w:rsidP="002F2CA0">
      <w:pPr>
        <w:pStyle w:val="Normln-Psmeno"/>
      </w:pPr>
      <w:r w:rsidRPr="00AE5BDA">
        <w:t>poskytování aktuálních verzí</w:t>
      </w:r>
      <w:r w:rsidR="002F2CA0">
        <w:t xml:space="preserve"> </w:t>
      </w:r>
      <w:r w:rsidRPr="00AE5BDA">
        <w:t>dodaného software</w:t>
      </w:r>
      <w:r>
        <w:t>,</w:t>
      </w:r>
      <w:r w:rsidRPr="00AE5BDA">
        <w:t xml:space="preserve"> </w:t>
      </w:r>
    </w:p>
    <w:p w:rsidR="00C55859" w:rsidRPr="00AE5BDA" w:rsidRDefault="00C55859" w:rsidP="002F2CA0">
      <w:pPr>
        <w:pStyle w:val="Normln-Psmeno"/>
      </w:pPr>
      <w:r w:rsidRPr="00AE5BDA">
        <w:t xml:space="preserve">legislativní servis, kdy aktuální verze dodaného software musí být zadavateli </w:t>
      </w:r>
      <w:r>
        <w:t>poskytnuta</w:t>
      </w:r>
      <w:r w:rsidRPr="00AE5BDA">
        <w:t xml:space="preserve"> nejpozději k datu nabytí účinnosti nové právní úpravy za předpokladu vydání prováděcích předpisů k této úpravě nejpozději 60 dnů před nabytím účinnosti této nové právní úpravy (v opačném případě do 60 dnů od vydání prováděcích předpisů k příslušné právní úpravě).</w:t>
      </w:r>
    </w:p>
    <w:p w:rsidR="004016F8" w:rsidRDefault="004016F8" w:rsidP="002F2CA0">
      <w:pPr>
        <w:pStyle w:val="Normln-Odstavec"/>
      </w:pPr>
      <w:r w:rsidRPr="00CB36BF">
        <w:lastRenderedPageBreak/>
        <w:t xml:space="preserve">Pro hlášení servisní požadavků zajistí </w:t>
      </w:r>
      <w:r w:rsidR="00DC07C2">
        <w:t>Dodavatel</w:t>
      </w:r>
      <w:r w:rsidRPr="00CB36BF">
        <w:t xml:space="preserve"> Zhotoviteli přístup ke svému </w:t>
      </w:r>
      <w:proofErr w:type="spellStart"/>
      <w:r w:rsidRPr="00CB36BF">
        <w:t>helpdeskovému</w:t>
      </w:r>
      <w:proofErr w:type="spellEnd"/>
      <w:r w:rsidRPr="00CB36BF">
        <w:t xml:space="preserve"> systém</w:t>
      </w:r>
      <w:r w:rsidR="00D00C25">
        <w:t>u</w:t>
      </w:r>
      <w:r w:rsidRPr="00CB36BF">
        <w:t xml:space="preserve"> s on-line přístupem pro kompletní správu požadavků včetně uchování historie požadavků a jejich řešení. Detailní popis </w:t>
      </w:r>
      <w:proofErr w:type="spellStart"/>
      <w:r w:rsidRPr="00CB36BF">
        <w:t>helpdeskového</w:t>
      </w:r>
      <w:proofErr w:type="spellEnd"/>
      <w:r w:rsidRPr="00CB36BF">
        <w:t xml:space="preserve"> systému a jeho obsluhy musí být součástí nabídky. Provozní doba </w:t>
      </w:r>
      <w:proofErr w:type="spellStart"/>
      <w:r w:rsidRPr="00CB36BF">
        <w:t>helpdeskov</w:t>
      </w:r>
      <w:r w:rsidR="00490929">
        <w:t>ého</w:t>
      </w:r>
      <w:proofErr w:type="spellEnd"/>
      <w:r w:rsidR="00490929">
        <w:t xml:space="preserve"> systému musí být minimálně </w:t>
      </w:r>
      <w:r w:rsidR="002F2CA0">
        <w:t>7</w:t>
      </w:r>
      <w:r w:rsidR="00490929" w:rsidRPr="002F2CA0">
        <w:t>-1</w:t>
      </w:r>
      <w:r w:rsidR="002F2CA0">
        <w:t>7</w:t>
      </w:r>
      <w:r w:rsidRPr="002F2CA0">
        <w:t xml:space="preserve"> ho</w:t>
      </w:r>
      <w:r w:rsidRPr="00CB36BF">
        <w:t xml:space="preserve">d. v pracovních dnech. </w:t>
      </w:r>
    </w:p>
    <w:p w:rsidR="00C55859" w:rsidRPr="00CB36BF" w:rsidRDefault="00C55859" w:rsidP="002F2CA0">
      <w:pPr>
        <w:pStyle w:val="Normln-Odstavec"/>
      </w:pPr>
      <w:r w:rsidRPr="00CB36BF">
        <w:t xml:space="preserve">Po dobu 60 měsíců od předání díla jako celku do plného provozu, musí </w:t>
      </w:r>
      <w:r w:rsidR="00DC07C2">
        <w:t>dodavatel</w:t>
      </w:r>
      <w:r w:rsidRPr="00CB36BF">
        <w:t xml:space="preserve"> nebo výrobce všech zařízení </w:t>
      </w:r>
      <w:r w:rsidR="002F2CA0">
        <w:t xml:space="preserve">(komodit) </w:t>
      </w:r>
      <w:r w:rsidRPr="00CB36BF">
        <w:t xml:space="preserve">garantovat běžnou dostupnost náhradních komponentů a dostupnost servisu. </w:t>
      </w:r>
    </w:p>
    <w:p w:rsidR="00020592" w:rsidRPr="00CB36BF" w:rsidRDefault="00020592" w:rsidP="009862B2">
      <w:pPr>
        <w:pStyle w:val="Nadpis3"/>
        <w:numPr>
          <w:ilvl w:val="2"/>
          <w:numId w:val="2"/>
        </w:numPr>
        <w:jc w:val="left"/>
        <w:rPr>
          <w:lang w:eastAsia="cs-CZ"/>
        </w:rPr>
      </w:pPr>
      <w:r w:rsidRPr="00CB36BF">
        <w:rPr>
          <w:lang w:eastAsia="cs-CZ"/>
        </w:rPr>
        <w:t>Požadavky na zabezpečení provozu</w:t>
      </w:r>
    </w:p>
    <w:p w:rsidR="00C55859" w:rsidRPr="00AE5BDA" w:rsidRDefault="00DC07C2" w:rsidP="00C55859">
      <w:pPr>
        <w:pStyle w:val="Normln-Odstavec"/>
      </w:pPr>
      <w:r>
        <w:t>Dodavatel</w:t>
      </w:r>
      <w:r w:rsidR="00C55859" w:rsidRPr="00AE5BDA">
        <w:t xml:space="preserve"> ve své nabídce uvede poskytované služby a podmínky servisní podpory </w:t>
      </w:r>
      <w:r w:rsidR="00C55859">
        <w:t>po dobu 60</w:t>
      </w:r>
      <w:r w:rsidR="00C55859" w:rsidRPr="00AE5BDA">
        <w:t xml:space="preserve"> měsíců od předání dodávaného systému jako celku do plného produktivního provozu. </w:t>
      </w:r>
    </w:p>
    <w:p w:rsidR="00311C14" w:rsidRDefault="00311C14" w:rsidP="00311C14">
      <w:pPr>
        <w:pStyle w:val="Normln-Odstavec"/>
      </w:pPr>
      <w:r>
        <w:t>Součástí základní servisní podpory musí být:</w:t>
      </w:r>
    </w:p>
    <w:p w:rsidR="00311C14" w:rsidRDefault="00311C14" w:rsidP="00311C14">
      <w:pPr>
        <w:pStyle w:val="Normln-Psmeno"/>
      </w:pPr>
      <w:r>
        <w:t xml:space="preserve">instalace a údržba aktuálních verzí, upgrade a update dodaného software na vyžádání zadavatele a </w:t>
      </w:r>
    </w:p>
    <w:p w:rsidR="00311C14" w:rsidRDefault="00311C14" w:rsidP="00311C14">
      <w:pPr>
        <w:pStyle w:val="Normln-Psmeno"/>
      </w:pPr>
      <w:r>
        <w:t>zajištění instalace legislativního servisu, kdy aktuální verze dodaného software musí být zadavateli nainstalována nejpozději k datu nabytí účinnosti nové právní úpravy za předpokladu vydání prováděcích předpisů k této úpravě nejpozději 60 dnů před nabytím účinnosti této nové právní úpravy (v opačném případě do 60 dnů od vydání prováděcích předpisů k příslušné právní úpravě).</w:t>
      </w:r>
    </w:p>
    <w:p w:rsidR="00311C14" w:rsidRDefault="00311C14" w:rsidP="00311C14">
      <w:pPr>
        <w:pStyle w:val="Normln-Odstavec"/>
        <w:numPr>
          <w:ilvl w:val="0"/>
          <w:numId w:val="0"/>
        </w:numPr>
      </w:pPr>
      <w:r>
        <w:t xml:space="preserve">Cenu této základní servisní podpory zahrne </w:t>
      </w:r>
      <w:r w:rsidR="00DC07C2">
        <w:t>dodavatel</w:t>
      </w:r>
      <w:r>
        <w:t xml:space="preserve"> do položky „Základní servisní podpora“ v jednotlivých letech, v nichž má být zajišťována.</w:t>
      </w:r>
    </w:p>
    <w:p w:rsidR="00EC5457" w:rsidRPr="00EC5457" w:rsidRDefault="00EC5457" w:rsidP="00EC5457">
      <w:pPr>
        <w:pStyle w:val="Normln-Odstavec"/>
      </w:pPr>
      <w:r w:rsidRPr="00EC5457">
        <w:t>Zadavatel kromě základní servisní podpory požaduje v době 60 měsíců od předání díla jako celku ještě tuto rozšířenou servisní podporu, která pokrývá:</w:t>
      </w:r>
    </w:p>
    <w:p w:rsidR="00EC5457" w:rsidRPr="00EC5457" w:rsidRDefault="00EC5457" w:rsidP="00EC5457">
      <w:pPr>
        <w:pStyle w:val="Normln-Psmeno"/>
      </w:pPr>
      <w:r w:rsidRPr="00EC5457">
        <w:t xml:space="preserve">řešení případných změnových </w:t>
      </w:r>
      <w:r w:rsidR="00673717" w:rsidRPr="00EC5457">
        <w:t>požadavků,</w:t>
      </w:r>
      <w:r w:rsidRPr="00EC5457">
        <w:t xml:space="preserve"> tj. možné úpravy nebo doplnění standardní funkcionality dodaného systému (tzv. </w:t>
      </w:r>
      <w:proofErr w:type="spellStart"/>
      <w:r w:rsidRPr="00EC5457">
        <w:t>change</w:t>
      </w:r>
      <w:proofErr w:type="spellEnd"/>
      <w:r w:rsidRPr="00EC5457">
        <w:t xml:space="preserve"> </w:t>
      </w:r>
      <w:proofErr w:type="spellStart"/>
      <w:r w:rsidR="00F67704" w:rsidRPr="00EC5457">
        <w:t>request</w:t>
      </w:r>
      <w:proofErr w:type="spellEnd"/>
      <w:r w:rsidR="00F67704" w:rsidRPr="00EC5457">
        <w:t xml:space="preserve"> – změnový</w:t>
      </w:r>
      <w:r w:rsidRPr="00EC5457">
        <w:t xml:space="preserve"> požadavek) v rozsahu min. 2 dnů ročně. V případě nerealizování úprav nebo doplnění standardní funkcionality je možné tuto kapacitu vyčerpat dalšími uvede</w:t>
      </w:r>
      <w:r w:rsidR="00673717">
        <w:t>nými službami rozšířené podpory,</w:t>
      </w:r>
    </w:p>
    <w:p w:rsidR="00EC5457" w:rsidRPr="00EC5457" w:rsidRDefault="00EC5457" w:rsidP="00EC5457">
      <w:pPr>
        <w:pStyle w:val="Normln-Psmeno"/>
      </w:pPr>
      <w:r w:rsidRPr="00EC5457">
        <w:t>provozní kontrola systému</w:t>
      </w:r>
      <w:r w:rsidR="00673717">
        <w:t xml:space="preserve"> </w:t>
      </w:r>
      <w:r w:rsidR="00673717" w:rsidRPr="00EC5457">
        <w:t>(</w:t>
      </w:r>
      <w:r w:rsidRPr="00EC5457">
        <w:t>profylaxe) v rozsahu min. 2 dnů ročně</w:t>
      </w:r>
      <w:r w:rsidR="00673717">
        <w:t>,</w:t>
      </w:r>
    </w:p>
    <w:p w:rsidR="00EC5457" w:rsidRPr="00EC5457" w:rsidRDefault="00EC5457" w:rsidP="00EC5457">
      <w:pPr>
        <w:pStyle w:val="Normln-Psmeno"/>
      </w:pPr>
      <w:r w:rsidRPr="00EC5457">
        <w:t>implementace nových verzí produktu v rozsahu min. 2 dnů ročně</w:t>
      </w:r>
      <w:r w:rsidR="00673717">
        <w:t>,</w:t>
      </w:r>
    </w:p>
    <w:p w:rsidR="00EC5457" w:rsidRPr="00EC5457" w:rsidRDefault="00EC5457" w:rsidP="00EC5457">
      <w:pPr>
        <w:pStyle w:val="Normln-Psmeno"/>
      </w:pPr>
      <w:r w:rsidRPr="00EC5457">
        <w:t>poskytování konzultací v rozsahu min. 2 dnů ročně</w:t>
      </w:r>
      <w:r w:rsidR="00673717">
        <w:t>,</w:t>
      </w:r>
    </w:p>
    <w:p w:rsidR="00EC5457" w:rsidRPr="00EC5457" w:rsidRDefault="00EC5457" w:rsidP="00EC5457">
      <w:pPr>
        <w:pStyle w:val="Normln-Psmeno"/>
      </w:pPr>
      <w:r w:rsidRPr="00EC5457">
        <w:t>poskytování školení (doškolení změn nebo nově příchozích pracovníků úřadu) v rozsahu min. 2 dnů ročně.</w:t>
      </w:r>
    </w:p>
    <w:p w:rsidR="00EC5457" w:rsidRPr="00EC5457" w:rsidRDefault="00EC5457" w:rsidP="00EC5457">
      <w:pPr>
        <w:pStyle w:val="Normln-Odstavec"/>
      </w:pPr>
      <w:r w:rsidRPr="00EC5457">
        <w:t xml:space="preserve">Cenu a podmínky Rozšířené servisní podpory zahrne </w:t>
      </w:r>
      <w:r w:rsidR="00DC07C2">
        <w:t>dodavatel</w:t>
      </w:r>
      <w:r w:rsidRPr="00EC5457">
        <w:t xml:space="preserve"> do položky „Rozšířená servisní podpora“ v jednotlivých letech, v nichž má být tato servisní podpora zajišťována.</w:t>
      </w:r>
    </w:p>
    <w:p w:rsidR="00EC5457" w:rsidRPr="0030351B" w:rsidRDefault="00DC07C2" w:rsidP="00EC5457">
      <w:pPr>
        <w:pStyle w:val="Normln-Odstavec"/>
      </w:pPr>
      <w:r>
        <w:t>Dodavatel</w:t>
      </w:r>
      <w:r w:rsidR="00EC5457" w:rsidRPr="00EC5457">
        <w:t xml:space="preserve"> ve své nabídce rovněž uvede garantované hodinové sazby svých výkonů, které </w:t>
      </w:r>
      <w:r w:rsidR="00EC5457" w:rsidRPr="0030351B">
        <w:t>jsou nad rámec základní a rozšíření servisní podpory.</w:t>
      </w:r>
    </w:p>
    <w:p w:rsidR="00D23BAE" w:rsidRPr="0030351B" w:rsidRDefault="00DC07C2" w:rsidP="00D23BAE">
      <w:pPr>
        <w:pStyle w:val="Normln-Odstavec"/>
      </w:pPr>
      <w:r>
        <w:t>Dodavatel</w:t>
      </w:r>
      <w:r w:rsidR="00D23BAE" w:rsidRPr="0030351B">
        <w:t xml:space="preserve"> bude v průběhu produktivního provozu vykonávat podporu uživatelů osobní přítomností, prostřednictvím vzdáleného připojení do prostředí objednatele</w:t>
      </w:r>
      <w:r w:rsidR="002829EF" w:rsidRPr="0030351B">
        <w:t xml:space="preserve"> nebo</w:t>
      </w:r>
      <w:r w:rsidR="00D23BAE" w:rsidRPr="0030351B">
        <w:t xml:space="preserve"> prostřednictvím telefonických konzultací.</w:t>
      </w:r>
    </w:p>
    <w:p w:rsidR="00D23BAE" w:rsidRPr="00CB36BF" w:rsidRDefault="00D23BAE" w:rsidP="00F67704">
      <w:pPr>
        <w:pStyle w:val="Normln-Odstavec"/>
        <w:numPr>
          <w:ilvl w:val="0"/>
          <w:numId w:val="0"/>
        </w:numPr>
      </w:pPr>
    </w:p>
    <w:sectPr w:rsidR="00D23BAE" w:rsidRPr="00CB36BF" w:rsidSect="00987AB2">
      <w:headerReference w:type="default" r:id="rId8"/>
      <w:footerReference w:type="default" r:id="rId9"/>
      <w:headerReference w:type="first" r:id="rId10"/>
      <w:pgSz w:w="11900" w:h="16840"/>
      <w:pgMar w:top="1843" w:right="1800" w:bottom="1440" w:left="1560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5B" w:rsidRDefault="00F86D5B" w:rsidP="00DC7A73">
      <w:r>
        <w:separator/>
      </w:r>
    </w:p>
    <w:p w:rsidR="00F86D5B" w:rsidRDefault="00F86D5B" w:rsidP="00DC7A73"/>
  </w:endnote>
  <w:endnote w:type="continuationSeparator" w:id="0">
    <w:p w:rsidR="00F86D5B" w:rsidRDefault="00F86D5B" w:rsidP="00DC7A73">
      <w:r>
        <w:continuationSeparator/>
      </w:r>
    </w:p>
    <w:p w:rsidR="00F86D5B" w:rsidRDefault="00F86D5B" w:rsidP="00DC7A7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charset w:val="EE"/>
    <w:family w:val="swiss"/>
    <w:pitch w:val="variable"/>
    <w:sig w:usb0="E7002EFF" w:usb1="D200FDFF" w:usb2="0A246029" w:usb3="00000000" w:csb0="8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 Narrow">
    <w:altName w:val="Arial Narrow"/>
    <w:charset w:val="EE"/>
    <w:family w:val="swiss"/>
    <w:pitch w:val="variable"/>
    <w:sig w:usb0="00000001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5B" w:rsidRPr="00B62B9F" w:rsidRDefault="00F86D5B" w:rsidP="00B62B9F">
    <w:pPr>
      <w:pStyle w:val="Zpat"/>
      <w:jc w:val="center"/>
      <w:rPr>
        <w:rFonts w:ascii="Times New Roman" w:hAnsi="Times New Roman"/>
        <w:sz w:val="16"/>
        <w:szCs w:val="16"/>
      </w:rPr>
    </w:pPr>
    <w:r w:rsidRPr="00B62B9F">
      <w:rPr>
        <w:rFonts w:ascii="Times New Roman" w:hAnsi="Times New Roman"/>
        <w:sz w:val="16"/>
        <w:szCs w:val="16"/>
      </w:rPr>
      <w:t xml:space="preserve">Strana </w:t>
    </w:r>
    <w:sdt>
      <w:sdtPr>
        <w:rPr>
          <w:rFonts w:ascii="Times New Roman" w:hAnsi="Times New Roman"/>
          <w:sz w:val="16"/>
          <w:szCs w:val="16"/>
        </w:rPr>
        <w:id w:val="657966103"/>
        <w:docPartObj>
          <w:docPartGallery w:val="Page Numbers (Bottom of Page)"/>
          <w:docPartUnique/>
        </w:docPartObj>
      </w:sdtPr>
      <w:sdtContent>
        <w:r w:rsidRPr="00B62B9F">
          <w:rPr>
            <w:rFonts w:ascii="Times New Roman" w:hAnsi="Times New Roman"/>
            <w:sz w:val="16"/>
            <w:szCs w:val="16"/>
          </w:rPr>
          <w:fldChar w:fldCharType="begin"/>
        </w:r>
        <w:r w:rsidRPr="00B62B9F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B62B9F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noProof/>
            <w:sz w:val="16"/>
            <w:szCs w:val="16"/>
          </w:rPr>
          <w:t>27</w:t>
        </w:r>
        <w:r w:rsidRPr="00B62B9F">
          <w:rPr>
            <w:rFonts w:ascii="Times New Roman" w:hAnsi="Times New Roman"/>
            <w:sz w:val="16"/>
            <w:szCs w:val="16"/>
          </w:rPr>
          <w:fldChar w:fldCharType="end"/>
        </w:r>
        <w:r w:rsidRPr="00B62B9F">
          <w:rPr>
            <w:rFonts w:ascii="Times New Roman" w:hAnsi="Times New Roman"/>
            <w:sz w:val="16"/>
            <w:szCs w:val="16"/>
          </w:rPr>
          <w:t xml:space="preserve"> z </w:t>
        </w:r>
        <w:fldSimple w:instr=" NUMPAGES   \* MERGEFORMAT ">
          <w:r w:rsidRPr="00F86D5B">
            <w:rPr>
              <w:rFonts w:ascii="Times New Roman" w:hAnsi="Times New Roman"/>
              <w:noProof/>
              <w:sz w:val="16"/>
              <w:szCs w:val="16"/>
            </w:rPr>
            <w:t>30</w:t>
          </w:r>
        </w:fldSimple>
      </w:sdtContent>
    </w:sdt>
  </w:p>
  <w:p w:rsidR="00F86D5B" w:rsidRDefault="00F86D5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5B" w:rsidRDefault="00F86D5B" w:rsidP="00DC7A73">
      <w:r>
        <w:separator/>
      </w:r>
    </w:p>
    <w:p w:rsidR="00F86D5B" w:rsidRDefault="00F86D5B" w:rsidP="00DC7A73"/>
  </w:footnote>
  <w:footnote w:type="continuationSeparator" w:id="0">
    <w:p w:rsidR="00F86D5B" w:rsidRDefault="00F86D5B" w:rsidP="00DC7A73">
      <w:r>
        <w:continuationSeparator/>
      </w:r>
    </w:p>
    <w:p w:rsidR="00F86D5B" w:rsidRDefault="00F86D5B" w:rsidP="00DC7A7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5B" w:rsidRPr="006419BB" w:rsidRDefault="00F86D5B" w:rsidP="00987AB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Liberation Sans Narrow" w:hAnsi="Liberation Sans Narrow"/>
      </w:rPr>
    </w:pPr>
    <w:r w:rsidRPr="006419BB">
      <w:rPr>
        <w:rFonts w:ascii="Liberation Sans Narrow" w:hAnsi="Liberation Sans Narrow"/>
      </w:rPr>
      <w:t xml:space="preserve">Příloha č. </w:t>
    </w:r>
    <w:r>
      <w:rPr>
        <w:rFonts w:ascii="Liberation Sans Narrow" w:hAnsi="Liberation Sans Narrow"/>
      </w:rPr>
      <w:t>3.a</w:t>
    </w:r>
    <w:r w:rsidRPr="006419BB">
      <w:rPr>
        <w:rFonts w:ascii="Liberation Sans Narrow" w:hAnsi="Liberation Sans Narrow"/>
      </w:rPr>
      <w:t xml:space="preserve"> Zadávací dokumentace veřejné zakázky „</w:t>
    </w:r>
    <w:r w:rsidRPr="0096157A">
      <w:rPr>
        <w:rFonts w:ascii="Liberation Sans Narrow" w:hAnsi="Liberation Sans Narrow"/>
        <w:b/>
      </w:rPr>
      <w:t xml:space="preserve">Modernizace městského informačního systému </w:t>
    </w:r>
    <w:proofErr w:type="spellStart"/>
    <w:r w:rsidRPr="0096157A">
      <w:rPr>
        <w:rFonts w:ascii="Liberation Sans Narrow" w:hAnsi="Liberation Sans Narrow"/>
        <w:b/>
      </w:rPr>
      <w:t>MěÚ</w:t>
    </w:r>
    <w:proofErr w:type="spellEnd"/>
    <w:r w:rsidRPr="0096157A">
      <w:rPr>
        <w:rFonts w:ascii="Liberation Sans Narrow" w:hAnsi="Liberation Sans Narrow"/>
        <w:b/>
      </w:rPr>
      <w:t xml:space="preserve"> Příbram - Modernizace agend</w:t>
    </w:r>
    <w:r w:rsidRPr="006419BB">
      <w:rPr>
        <w:rFonts w:ascii="Liberation Sans Narrow" w:hAnsi="Liberation Sans Narrow"/>
      </w:rPr>
      <w:t>“</w:t>
    </w:r>
  </w:p>
  <w:p w:rsidR="00F86D5B" w:rsidRPr="006266C4" w:rsidRDefault="00F86D5B" w:rsidP="00987AB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Arial" w:hAnsi="Arial" w:cs="Arial"/>
        <w:b/>
      </w:rPr>
      <w:t>TECHNICKÁ SPECIFIKACE</w:t>
    </w:r>
  </w:p>
  <w:p w:rsidR="00F86D5B" w:rsidRPr="00987AB2" w:rsidRDefault="00F86D5B" w:rsidP="00987AB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5B" w:rsidRDefault="00F86D5B" w:rsidP="00987AB2">
    <w:pPr>
      <w:pStyle w:val="Zhlav"/>
      <w:rPr>
        <w:noProof/>
        <w:lang w:eastAsia="cs-CZ"/>
      </w:rPr>
    </w:pPr>
    <w:r w:rsidRPr="007132FA">
      <w:rPr>
        <w:noProof/>
        <w:lang w:eastAsia="cs-CZ"/>
      </w:rPr>
      <w:drawing>
        <wp:inline distT="0" distB="0" distL="0" distR="0">
          <wp:extent cx="5457825" cy="779689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940" cy="78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6D5B" w:rsidRPr="006419BB" w:rsidRDefault="00F86D5B" w:rsidP="00987AB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Liberation Sans Narrow" w:hAnsi="Liberation Sans Narrow"/>
      </w:rPr>
    </w:pPr>
    <w:r w:rsidRPr="006419BB">
      <w:rPr>
        <w:rFonts w:ascii="Liberation Sans Narrow" w:hAnsi="Liberation Sans Narrow"/>
      </w:rPr>
      <w:t xml:space="preserve">Příloha č. </w:t>
    </w:r>
    <w:r>
      <w:rPr>
        <w:rFonts w:ascii="Liberation Sans Narrow" w:hAnsi="Liberation Sans Narrow"/>
      </w:rPr>
      <w:t>3.a</w:t>
    </w:r>
    <w:r w:rsidRPr="006419BB">
      <w:rPr>
        <w:rFonts w:ascii="Liberation Sans Narrow" w:hAnsi="Liberation Sans Narrow"/>
      </w:rPr>
      <w:t xml:space="preserve"> Zadávací dokumentace veřejné zakázky „</w:t>
    </w:r>
    <w:r w:rsidRPr="0096157A">
      <w:rPr>
        <w:rFonts w:ascii="Liberation Sans Narrow" w:hAnsi="Liberation Sans Narrow"/>
        <w:b/>
      </w:rPr>
      <w:t xml:space="preserve">Modernizace městského informačního systému </w:t>
    </w:r>
    <w:proofErr w:type="spellStart"/>
    <w:r w:rsidRPr="0096157A">
      <w:rPr>
        <w:rFonts w:ascii="Liberation Sans Narrow" w:hAnsi="Liberation Sans Narrow"/>
        <w:b/>
      </w:rPr>
      <w:t>MěÚ</w:t>
    </w:r>
    <w:proofErr w:type="spellEnd"/>
    <w:r w:rsidRPr="0096157A">
      <w:rPr>
        <w:rFonts w:ascii="Liberation Sans Narrow" w:hAnsi="Liberation Sans Narrow"/>
        <w:b/>
      </w:rPr>
      <w:t xml:space="preserve"> Příbram - Modernizace agend</w:t>
    </w:r>
    <w:r w:rsidRPr="006419BB">
      <w:rPr>
        <w:rFonts w:ascii="Liberation Sans Narrow" w:hAnsi="Liberation Sans Narrow"/>
      </w:rPr>
      <w:t>“</w:t>
    </w:r>
  </w:p>
  <w:p w:rsidR="00F86D5B" w:rsidRDefault="00F86D5B" w:rsidP="00987AB2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Arial" w:hAnsi="Arial" w:cs="Arial"/>
        <w:b/>
      </w:rPr>
      <w:t>TECHNICKÁ SPECIFIKACE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6DEA0B68"/>
    <w:name w:val="WW8Num5"/>
    <w:lvl w:ilvl="0">
      <w:start w:val="1"/>
      <w:numFmt w:val="bullet"/>
      <w:lvlText w:val="§"/>
      <w:lvlJc w:val="left"/>
      <w:pPr>
        <w:tabs>
          <w:tab w:val="num" w:pos="298"/>
        </w:tabs>
        <w:ind w:left="298" w:hanging="298"/>
      </w:pPr>
      <w:rPr>
        <w:rFonts w:ascii="Wingdings" w:hAnsi="Wingdings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5648E4"/>
    <w:multiLevelType w:val="hybridMultilevel"/>
    <w:tmpl w:val="35E87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C55F2"/>
    <w:multiLevelType w:val="multilevel"/>
    <w:tmpl w:val="93CC611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3">
    <w:nsid w:val="06EF3294"/>
    <w:multiLevelType w:val="multilevel"/>
    <w:tmpl w:val="047C76B8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4">
    <w:nsid w:val="06F52372"/>
    <w:multiLevelType w:val="hybridMultilevel"/>
    <w:tmpl w:val="30B05DF6"/>
    <w:lvl w:ilvl="0" w:tplc="D2D0F6A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pStyle w:val="PTheading3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561C5"/>
    <w:multiLevelType w:val="hybridMultilevel"/>
    <w:tmpl w:val="4064A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936AC"/>
    <w:multiLevelType w:val="hybridMultilevel"/>
    <w:tmpl w:val="6B74C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57896"/>
    <w:multiLevelType w:val="multilevel"/>
    <w:tmpl w:val="EE12D1F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8">
    <w:nsid w:val="1DEC2868"/>
    <w:multiLevelType w:val="hybridMultilevel"/>
    <w:tmpl w:val="9390A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A0C62"/>
    <w:multiLevelType w:val="multilevel"/>
    <w:tmpl w:val="D97AA610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0">
    <w:nsid w:val="31136E54"/>
    <w:multiLevelType w:val="hybridMultilevel"/>
    <w:tmpl w:val="BBC0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A18D3"/>
    <w:multiLevelType w:val="multilevel"/>
    <w:tmpl w:val="3D5EAC9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2">
    <w:nsid w:val="351345A0"/>
    <w:multiLevelType w:val="hybridMultilevel"/>
    <w:tmpl w:val="BF6C1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C1A57"/>
    <w:multiLevelType w:val="hybridMultilevel"/>
    <w:tmpl w:val="718A5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3085E"/>
    <w:multiLevelType w:val="multilevel"/>
    <w:tmpl w:val="48983BDC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5">
    <w:nsid w:val="40A37DAA"/>
    <w:multiLevelType w:val="multilevel"/>
    <w:tmpl w:val="A74444E6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6">
    <w:nsid w:val="486B6CEA"/>
    <w:multiLevelType w:val="multilevel"/>
    <w:tmpl w:val="461E5A68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7">
    <w:nsid w:val="487D2FC7"/>
    <w:multiLevelType w:val="hybridMultilevel"/>
    <w:tmpl w:val="C68A5336"/>
    <w:lvl w:ilvl="0" w:tplc="04050003">
      <w:start w:val="1"/>
      <w:numFmt w:val="decimal"/>
      <w:pStyle w:val="Tabulka"/>
      <w:lvlText w:val="Tabulka č.%1:"/>
      <w:lvlJc w:val="left"/>
      <w:pPr>
        <w:ind w:left="107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97" w:hanging="360"/>
      </w:pPr>
    </w:lvl>
    <w:lvl w:ilvl="2" w:tplc="04050005" w:tentative="1">
      <w:start w:val="1"/>
      <w:numFmt w:val="lowerRoman"/>
      <w:lvlText w:val="%3."/>
      <w:lvlJc w:val="right"/>
      <w:pPr>
        <w:ind w:left="2517" w:hanging="180"/>
      </w:pPr>
    </w:lvl>
    <w:lvl w:ilvl="3" w:tplc="04050001" w:tentative="1">
      <w:start w:val="1"/>
      <w:numFmt w:val="decimal"/>
      <w:lvlText w:val="%4."/>
      <w:lvlJc w:val="left"/>
      <w:pPr>
        <w:ind w:left="3237" w:hanging="360"/>
      </w:pPr>
    </w:lvl>
    <w:lvl w:ilvl="4" w:tplc="04050003" w:tentative="1">
      <w:start w:val="1"/>
      <w:numFmt w:val="lowerLetter"/>
      <w:lvlText w:val="%5."/>
      <w:lvlJc w:val="left"/>
      <w:pPr>
        <w:ind w:left="3957" w:hanging="360"/>
      </w:pPr>
    </w:lvl>
    <w:lvl w:ilvl="5" w:tplc="04050005" w:tentative="1">
      <w:start w:val="1"/>
      <w:numFmt w:val="lowerRoman"/>
      <w:lvlText w:val="%6."/>
      <w:lvlJc w:val="right"/>
      <w:pPr>
        <w:ind w:left="4677" w:hanging="180"/>
      </w:pPr>
    </w:lvl>
    <w:lvl w:ilvl="6" w:tplc="04050001" w:tentative="1">
      <w:start w:val="1"/>
      <w:numFmt w:val="decimal"/>
      <w:lvlText w:val="%7."/>
      <w:lvlJc w:val="left"/>
      <w:pPr>
        <w:ind w:left="5397" w:hanging="360"/>
      </w:pPr>
    </w:lvl>
    <w:lvl w:ilvl="7" w:tplc="04050003" w:tentative="1">
      <w:start w:val="1"/>
      <w:numFmt w:val="lowerLetter"/>
      <w:lvlText w:val="%8."/>
      <w:lvlJc w:val="left"/>
      <w:pPr>
        <w:ind w:left="6117" w:hanging="360"/>
      </w:pPr>
    </w:lvl>
    <w:lvl w:ilvl="8" w:tplc="04050005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4F2D3033"/>
    <w:multiLevelType w:val="multilevel"/>
    <w:tmpl w:val="9B20A7C4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9">
    <w:nsid w:val="52D04AE8"/>
    <w:multiLevelType w:val="hybridMultilevel"/>
    <w:tmpl w:val="BB32F4CE"/>
    <w:lvl w:ilvl="0" w:tplc="B2E44800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0033CC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54C06A4"/>
    <w:multiLevelType w:val="multilevel"/>
    <w:tmpl w:val="29E23664"/>
    <w:lvl w:ilvl="0">
      <w:start w:val="1"/>
      <w:numFmt w:val="decimal"/>
      <w:pStyle w:val="Normln-Psmeno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Normln-Odstavec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pStyle w:val="Normln-Psmeno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pStyle w:val="Normln-msk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1">
    <w:nsid w:val="5857571B"/>
    <w:multiLevelType w:val="multilevel"/>
    <w:tmpl w:val="461E5A68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387"/>
        </w:tabs>
        <w:ind w:left="538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276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2">
    <w:nsid w:val="77C8059A"/>
    <w:multiLevelType w:val="multilevel"/>
    <w:tmpl w:val="294E19CE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134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0"/>
  </w:num>
  <w:num w:numId="8">
    <w:abstractNumId w:val="20"/>
  </w:num>
  <w:num w:numId="9">
    <w:abstractNumId w:val="21"/>
  </w:num>
  <w:num w:numId="10">
    <w:abstractNumId w:val="20"/>
  </w:num>
  <w:num w:numId="11">
    <w:abstractNumId w:val="20"/>
  </w:num>
  <w:num w:numId="12">
    <w:abstractNumId w:val="10"/>
  </w:num>
  <w:num w:numId="13">
    <w:abstractNumId w:val="20"/>
  </w:num>
  <w:num w:numId="14">
    <w:abstractNumId w:val="20"/>
  </w:num>
  <w:num w:numId="15">
    <w:abstractNumId w:val="8"/>
  </w:num>
  <w:num w:numId="16">
    <w:abstractNumId w:val="20"/>
  </w:num>
  <w:num w:numId="17">
    <w:abstractNumId w:val="6"/>
  </w:num>
  <w:num w:numId="18">
    <w:abstractNumId w:val="5"/>
  </w:num>
  <w:num w:numId="19">
    <w:abstractNumId w:val="1"/>
  </w:num>
  <w:num w:numId="20">
    <w:abstractNumId w:val="13"/>
  </w:num>
  <w:num w:numId="21">
    <w:abstractNumId w:val="19"/>
  </w:num>
  <w:num w:numId="22">
    <w:abstractNumId w:val="18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0"/>
  </w:num>
  <w:num w:numId="30">
    <w:abstractNumId w:val="20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0"/>
  </w:num>
  <w:num w:numId="34">
    <w:abstractNumId w:val="7"/>
  </w:num>
  <w:num w:numId="35">
    <w:abstractNumId w:val="11"/>
  </w:num>
  <w:num w:numId="36">
    <w:abstractNumId w:val="15"/>
  </w:num>
  <w:num w:numId="37">
    <w:abstractNumId w:val="3"/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12"/>
  </w:num>
  <w:num w:numId="44">
    <w:abstractNumId w:val="20"/>
  </w:num>
  <w:num w:numId="45">
    <w:abstractNumId w:val="20"/>
  </w:num>
  <w:num w:numId="46">
    <w:abstractNumId w:val="16"/>
  </w:num>
  <w:num w:numId="47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removePersonalInformation/>
  <w:removeDateAndTime/>
  <w:proofState w:spelling="clean"/>
  <w:stylePaneFormatFilter w:val="300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076C"/>
    <w:rsid w:val="00002DDE"/>
    <w:rsid w:val="00007A3C"/>
    <w:rsid w:val="00007ADB"/>
    <w:rsid w:val="00007B73"/>
    <w:rsid w:val="00010C25"/>
    <w:rsid w:val="00012254"/>
    <w:rsid w:val="000156D2"/>
    <w:rsid w:val="000165E4"/>
    <w:rsid w:val="00017575"/>
    <w:rsid w:val="00020592"/>
    <w:rsid w:val="000205C5"/>
    <w:rsid w:val="00020F2F"/>
    <w:rsid w:val="00021FD7"/>
    <w:rsid w:val="00024548"/>
    <w:rsid w:val="000249A5"/>
    <w:rsid w:val="00030BA2"/>
    <w:rsid w:val="00034B6A"/>
    <w:rsid w:val="00034C38"/>
    <w:rsid w:val="0003557A"/>
    <w:rsid w:val="000357B3"/>
    <w:rsid w:val="000365E9"/>
    <w:rsid w:val="000371F7"/>
    <w:rsid w:val="00040DB0"/>
    <w:rsid w:val="0004158F"/>
    <w:rsid w:val="00041769"/>
    <w:rsid w:val="000423C6"/>
    <w:rsid w:val="0004402A"/>
    <w:rsid w:val="0004438A"/>
    <w:rsid w:val="000461AC"/>
    <w:rsid w:val="000501CE"/>
    <w:rsid w:val="00050902"/>
    <w:rsid w:val="00052956"/>
    <w:rsid w:val="00053164"/>
    <w:rsid w:val="00053788"/>
    <w:rsid w:val="0005384B"/>
    <w:rsid w:val="00053FA2"/>
    <w:rsid w:val="00055DB8"/>
    <w:rsid w:val="00056453"/>
    <w:rsid w:val="00056B44"/>
    <w:rsid w:val="00057885"/>
    <w:rsid w:val="00060D12"/>
    <w:rsid w:val="0006420E"/>
    <w:rsid w:val="00065324"/>
    <w:rsid w:val="000671B3"/>
    <w:rsid w:val="000726E6"/>
    <w:rsid w:val="0007511C"/>
    <w:rsid w:val="00092DDB"/>
    <w:rsid w:val="00093BE9"/>
    <w:rsid w:val="00094266"/>
    <w:rsid w:val="00094D5A"/>
    <w:rsid w:val="00095874"/>
    <w:rsid w:val="00096736"/>
    <w:rsid w:val="000970B8"/>
    <w:rsid w:val="00097F4D"/>
    <w:rsid w:val="000A0378"/>
    <w:rsid w:val="000A0568"/>
    <w:rsid w:val="000A0748"/>
    <w:rsid w:val="000A24C4"/>
    <w:rsid w:val="000A3A16"/>
    <w:rsid w:val="000A5FF8"/>
    <w:rsid w:val="000A66E0"/>
    <w:rsid w:val="000A768B"/>
    <w:rsid w:val="000B4875"/>
    <w:rsid w:val="000B6B91"/>
    <w:rsid w:val="000C1ABA"/>
    <w:rsid w:val="000C1C3B"/>
    <w:rsid w:val="000C2283"/>
    <w:rsid w:val="000C4317"/>
    <w:rsid w:val="000C4AC8"/>
    <w:rsid w:val="000C553F"/>
    <w:rsid w:val="000C700D"/>
    <w:rsid w:val="000D0426"/>
    <w:rsid w:val="000D2029"/>
    <w:rsid w:val="000D2C1C"/>
    <w:rsid w:val="000D38A8"/>
    <w:rsid w:val="000D7DB1"/>
    <w:rsid w:val="000E32C9"/>
    <w:rsid w:val="000E3E50"/>
    <w:rsid w:val="000E50BF"/>
    <w:rsid w:val="000E6909"/>
    <w:rsid w:val="000E6D1B"/>
    <w:rsid w:val="000F1AC8"/>
    <w:rsid w:val="000F2F58"/>
    <w:rsid w:val="000F3770"/>
    <w:rsid w:val="000F5C5D"/>
    <w:rsid w:val="000F6D04"/>
    <w:rsid w:val="000F6DA7"/>
    <w:rsid w:val="000F74F3"/>
    <w:rsid w:val="001009B9"/>
    <w:rsid w:val="001033E3"/>
    <w:rsid w:val="00105736"/>
    <w:rsid w:val="00105E0C"/>
    <w:rsid w:val="00106F49"/>
    <w:rsid w:val="00110B29"/>
    <w:rsid w:val="00110CA6"/>
    <w:rsid w:val="001113DF"/>
    <w:rsid w:val="00111BBB"/>
    <w:rsid w:val="0011438F"/>
    <w:rsid w:val="001157F4"/>
    <w:rsid w:val="00115871"/>
    <w:rsid w:val="00116C27"/>
    <w:rsid w:val="00117262"/>
    <w:rsid w:val="00120F61"/>
    <w:rsid w:val="001216EE"/>
    <w:rsid w:val="001225C6"/>
    <w:rsid w:val="00122A4E"/>
    <w:rsid w:val="00122C01"/>
    <w:rsid w:val="001240A7"/>
    <w:rsid w:val="00124E79"/>
    <w:rsid w:val="00126633"/>
    <w:rsid w:val="0013119D"/>
    <w:rsid w:val="00131222"/>
    <w:rsid w:val="00132579"/>
    <w:rsid w:val="0013444C"/>
    <w:rsid w:val="00137001"/>
    <w:rsid w:val="00137C65"/>
    <w:rsid w:val="00137D84"/>
    <w:rsid w:val="00142066"/>
    <w:rsid w:val="001422B8"/>
    <w:rsid w:val="00143FF1"/>
    <w:rsid w:val="00151389"/>
    <w:rsid w:val="00153264"/>
    <w:rsid w:val="00162C82"/>
    <w:rsid w:val="00164840"/>
    <w:rsid w:val="001656A9"/>
    <w:rsid w:val="00172D64"/>
    <w:rsid w:val="00172F90"/>
    <w:rsid w:val="00175A15"/>
    <w:rsid w:val="00175E47"/>
    <w:rsid w:val="00177F9A"/>
    <w:rsid w:val="0018009F"/>
    <w:rsid w:val="0018022D"/>
    <w:rsid w:val="001813A6"/>
    <w:rsid w:val="00181718"/>
    <w:rsid w:val="001834F2"/>
    <w:rsid w:val="00185AC9"/>
    <w:rsid w:val="00186DC2"/>
    <w:rsid w:val="00187EAF"/>
    <w:rsid w:val="001907DD"/>
    <w:rsid w:val="00192024"/>
    <w:rsid w:val="001950FC"/>
    <w:rsid w:val="001955F4"/>
    <w:rsid w:val="00195DD3"/>
    <w:rsid w:val="00195EDF"/>
    <w:rsid w:val="001964E3"/>
    <w:rsid w:val="001A0F53"/>
    <w:rsid w:val="001A3000"/>
    <w:rsid w:val="001A6371"/>
    <w:rsid w:val="001A757B"/>
    <w:rsid w:val="001B376A"/>
    <w:rsid w:val="001B626A"/>
    <w:rsid w:val="001C0E7E"/>
    <w:rsid w:val="001C275A"/>
    <w:rsid w:val="001C4883"/>
    <w:rsid w:val="001C6D5A"/>
    <w:rsid w:val="001C7001"/>
    <w:rsid w:val="001C770F"/>
    <w:rsid w:val="001C7EC6"/>
    <w:rsid w:val="001D0613"/>
    <w:rsid w:val="001D0AC8"/>
    <w:rsid w:val="001D0FA5"/>
    <w:rsid w:val="001D1E41"/>
    <w:rsid w:val="001D4744"/>
    <w:rsid w:val="001E0EAA"/>
    <w:rsid w:val="001E2D80"/>
    <w:rsid w:val="001E3C6C"/>
    <w:rsid w:val="001E5614"/>
    <w:rsid w:val="001E59E4"/>
    <w:rsid w:val="001E61B1"/>
    <w:rsid w:val="001F2464"/>
    <w:rsid w:val="001F2F26"/>
    <w:rsid w:val="0020036D"/>
    <w:rsid w:val="00201314"/>
    <w:rsid w:val="00204A57"/>
    <w:rsid w:val="00204D4D"/>
    <w:rsid w:val="00204D8C"/>
    <w:rsid w:val="00205C67"/>
    <w:rsid w:val="002144B6"/>
    <w:rsid w:val="00215A05"/>
    <w:rsid w:val="00216731"/>
    <w:rsid w:val="00216D7A"/>
    <w:rsid w:val="0022210C"/>
    <w:rsid w:val="002225E3"/>
    <w:rsid w:val="00222797"/>
    <w:rsid w:val="0022437F"/>
    <w:rsid w:val="00232AD6"/>
    <w:rsid w:val="00233BE1"/>
    <w:rsid w:val="0023585A"/>
    <w:rsid w:val="00237B82"/>
    <w:rsid w:val="00237F6F"/>
    <w:rsid w:val="00242A56"/>
    <w:rsid w:val="00242DE2"/>
    <w:rsid w:val="00243124"/>
    <w:rsid w:val="00243795"/>
    <w:rsid w:val="00244D2A"/>
    <w:rsid w:val="00245697"/>
    <w:rsid w:val="00251129"/>
    <w:rsid w:val="00255870"/>
    <w:rsid w:val="0026029A"/>
    <w:rsid w:val="002610CC"/>
    <w:rsid w:val="00261AB1"/>
    <w:rsid w:val="00262A19"/>
    <w:rsid w:val="00265EC8"/>
    <w:rsid w:val="00270A85"/>
    <w:rsid w:val="002725E2"/>
    <w:rsid w:val="00274083"/>
    <w:rsid w:val="00274546"/>
    <w:rsid w:val="00274997"/>
    <w:rsid w:val="00274EBF"/>
    <w:rsid w:val="0028069D"/>
    <w:rsid w:val="002809D9"/>
    <w:rsid w:val="002829EF"/>
    <w:rsid w:val="00282FD2"/>
    <w:rsid w:val="0028300B"/>
    <w:rsid w:val="002846CE"/>
    <w:rsid w:val="00286B23"/>
    <w:rsid w:val="00286DD9"/>
    <w:rsid w:val="0028714F"/>
    <w:rsid w:val="002873DA"/>
    <w:rsid w:val="00287FA9"/>
    <w:rsid w:val="00291AA5"/>
    <w:rsid w:val="00293328"/>
    <w:rsid w:val="00293D9C"/>
    <w:rsid w:val="00294BBE"/>
    <w:rsid w:val="0029508F"/>
    <w:rsid w:val="002960CA"/>
    <w:rsid w:val="00296E07"/>
    <w:rsid w:val="002A0BD6"/>
    <w:rsid w:val="002A2F78"/>
    <w:rsid w:val="002A444E"/>
    <w:rsid w:val="002A7786"/>
    <w:rsid w:val="002B1244"/>
    <w:rsid w:val="002B1A75"/>
    <w:rsid w:val="002B294E"/>
    <w:rsid w:val="002B32CF"/>
    <w:rsid w:val="002B712C"/>
    <w:rsid w:val="002B77AA"/>
    <w:rsid w:val="002B7BDD"/>
    <w:rsid w:val="002C2D7C"/>
    <w:rsid w:val="002C3AAA"/>
    <w:rsid w:val="002C4D57"/>
    <w:rsid w:val="002C5664"/>
    <w:rsid w:val="002D04D4"/>
    <w:rsid w:val="002D0A91"/>
    <w:rsid w:val="002D2C4E"/>
    <w:rsid w:val="002D2DC3"/>
    <w:rsid w:val="002D4831"/>
    <w:rsid w:val="002D72C4"/>
    <w:rsid w:val="002E0A92"/>
    <w:rsid w:val="002E3B38"/>
    <w:rsid w:val="002E5B20"/>
    <w:rsid w:val="002E69BB"/>
    <w:rsid w:val="002F11B9"/>
    <w:rsid w:val="002F22D4"/>
    <w:rsid w:val="002F2CA0"/>
    <w:rsid w:val="002F4247"/>
    <w:rsid w:val="002F5091"/>
    <w:rsid w:val="002F6DC4"/>
    <w:rsid w:val="00302405"/>
    <w:rsid w:val="0030351B"/>
    <w:rsid w:val="00303995"/>
    <w:rsid w:val="00303B08"/>
    <w:rsid w:val="00304213"/>
    <w:rsid w:val="003049E8"/>
    <w:rsid w:val="00311C14"/>
    <w:rsid w:val="0031538A"/>
    <w:rsid w:val="003155F1"/>
    <w:rsid w:val="00316563"/>
    <w:rsid w:val="0031733F"/>
    <w:rsid w:val="003176B7"/>
    <w:rsid w:val="003220AD"/>
    <w:rsid w:val="00323E58"/>
    <w:rsid w:val="00325051"/>
    <w:rsid w:val="00332054"/>
    <w:rsid w:val="00332FF0"/>
    <w:rsid w:val="0033642C"/>
    <w:rsid w:val="0034134A"/>
    <w:rsid w:val="0034167B"/>
    <w:rsid w:val="003416C7"/>
    <w:rsid w:val="00341777"/>
    <w:rsid w:val="0034475B"/>
    <w:rsid w:val="00344F2C"/>
    <w:rsid w:val="00350DC2"/>
    <w:rsid w:val="00351618"/>
    <w:rsid w:val="0035320F"/>
    <w:rsid w:val="003539F4"/>
    <w:rsid w:val="0036025A"/>
    <w:rsid w:val="00362ADF"/>
    <w:rsid w:val="0037048E"/>
    <w:rsid w:val="0037213E"/>
    <w:rsid w:val="003737A9"/>
    <w:rsid w:val="00375811"/>
    <w:rsid w:val="003777B4"/>
    <w:rsid w:val="00385A09"/>
    <w:rsid w:val="00392AE4"/>
    <w:rsid w:val="00393073"/>
    <w:rsid w:val="00393966"/>
    <w:rsid w:val="003954B0"/>
    <w:rsid w:val="00396BB6"/>
    <w:rsid w:val="00397D69"/>
    <w:rsid w:val="00397EEA"/>
    <w:rsid w:val="003A2329"/>
    <w:rsid w:val="003A23FF"/>
    <w:rsid w:val="003A2616"/>
    <w:rsid w:val="003A3BBC"/>
    <w:rsid w:val="003A51A4"/>
    <w:rsid w:val="003A59EC"/>
    <w:rsid w:val="003A62DF"/>
    <w:rsid w:val="003A68E3"/>
    <w:rsid w:val="003B1FAF"/>
    <w:rsid w:val="003B24A1"/>
    <w:rsid w:val="003B42DA"/>
    <w:rsid w:val="003B47A7"/>
    <w:rsid w:val="003B6260"/>
    <w:rsid w:val="003B679B"/>
    <w:rsid w:val="003B717F"/>
    <w:rsid w:val="003B7804"/>
    <w:rsid w:val="003C4AA3"/>
    <w:rsid w:val="003C5CA0"/>
    <w:rsid w:val="003C601D"/>
    <w:rsid w:val="003C73B0"/>
    <w:rsid w:val="003D06D0"/>
    <w:rsid w:val="003D68B0"/>
    <w:rsid w:val="003E03C1"/>
    <w:rsid w:val="003E0DF3"/>
    <w:rsid w:val="003E3B65"/>
    <w:rsid w:val="003E77CB"/>
    <w:rsid w:val="003F170F"/>
    <w:rsid w:val="003F3838"/>
    <w:rsid w:val="003F3AA8"/>
    <w:rsid w:val="003F49FD"/>
    <w:rsid w:val="003F5B17"/>
    <w:rsid w:val="003F75A1"/>
    <w:rsid w:val="003F7EA6"/>
    <w:rsid w:val="004016F8"/>
    <w:rsid w:val="004028D2"/>
    <w:rsid w:val="004036D6"/>
    <w:rsid w:val="00406AEB"/>
    <w:rsid w:val="004076E6"/>
    <w:rsid w:val="004107DD"/>
    <w:rsid w:val="00411E91"/>
    <w:rsid w:val="004132EF"/>
    <w:rsid w:val="00413DB7"/>
    <w:rsid w:val="0041412B"/>
    <w:rsid w:val="0042109D"/>
    <w:rsid w:val="00421EE5"/>
    <w:rsid w:val="00422F11"/>
    <w:rsid w:val="004241ED"/>
    <w:rsid w:val="004261CB"/>
    <w:rsid w:val="0043077D"/>
    <w:rsid w:val="004319D7"/>
    <w:rsid w:val="004336FD"/>
    <w:rsid w:val="00433AEC"/>
    <w:rsid w:val="00435036"/>
    <w:rsid w:val="00436A00"/>
    <w:rsid w:val="00437AC6"/>
    <w:rsid w:val="00441627"/>
    <w:rsid w:val="00441859"/>
    <w:rsid w:val="00443589"/>
    <w:rsid w:val="00444630"/>
    <w:rsid w:val="004446E3"/>
    <w:rsid w:val="004465EA"/>
    <w:rsid w:val="004521EB"/>
    <w:rsid w:val="004558D8"/>
    <w:rsid w:val="00461033"/>
    <w:rsid w:val="00461E50"/>
    <w:rsid w:val="00462082"/>
    <w:rsid w:val="0046406F"/>
    <w:rsid w:val="00464F09"/>
    <w:rsid w:val="00464FD0"/>
    <w:rsid w:val="004717B8"/>
    <w:rsid w:val="00472BD0"/>
    <w:rsid w:val="00473A93"/>
    <w:rsid w:val="004759DA"/>
    <w:rsid w:val="00477853"/>
    <w:rsid w:val="0048055A"/>
    <w:rsid w:val="00480AFB"/>
    <w:rsid w:val="00481B00"/>
    <w:rsid w:val="004858B6"/>
    <w:rsid w:val="0048640B"/>
    <w:rsid w:val="0049072A"/>
    <w:rsid w:val="00490929"/>
    <w:rsid w:val="0049098C"/>
    <w:rsid w:val="0049194F"/>
    <w:rsid w:val="00495DF0"/>
    <w:rsid w:val="004975E1"/>
    <w:rsid w:val="004A0F2C"/>
    <w:rsid w:val="004A6867"/>
    <w:rsid w:val="004A6D73"/>
    <w:rsid w:val="004A6EFC"/>
    <w:rsid w:val="004A7608"/>
    <w:rsid w:val="004B2F7F"/>
    <w:rsid w:val="004B5764"/>
    <w:rsid w:val="004B628D"/>
    <w:rsid w:val="004B6789"/>
    <w:rsid w:val="004C25C8"/>
    <w:rsid w:val="004C41A8"/>
    <w:rsid w:val="004C617E"/>
    <w:rsid w:val="004C6C36"/>
    <w:rsid w:val="004C75B0"/>
    <w:rsid w:val="004C7D32"/>
    <w:rsid w:val="004D6F30"/>
    <w:rsid w:val="004E161D"/>
    <w:rsid w:val="004F0697"/>
    <w:rsid w:val="004F3843"/>
    <w:rsid w:val="004F77AB"/>
    <w:rsid w:val="005002E2"/>
    <w:rsid w:val="00503293"/>
    <w:rsid w:val="00507648"/>
    <w:rsid w:val="005105F4"/>
    <w:rsid w:val="00511BBF"/>
    <w:rsid w:val="0051406A"/>
    <w:rsid w:val="00515111"/>
    <w:rsid w:val="00516132"/>
    <w:rsid w:val="00517D56"/>
    <w:rsid w:val="00525858"/>
    <w:rsid w:val="00530341"/>
    <w:rsid w:val="005324C1"/>
    <w:rsid w:val="005338E7"/>
    <w:rsid w:val="00534D51"/>
    <w:rsid w:val="00537440"/>
    <w:rsid w:val="00543D76"/>
    <w:rsid w:val="0054417C"/>
    <w:rsid w:val="00545D68"/>
    <w:rsid w:val="00545EA8"/>
    <w:rsid w:val="00546B02"/>
    <w:rsid w:val="00546BB7"/>
    <w:rsid w:val="00547565"/>
    <w:rsid w:val="0054765F"/>
    <w:rsid w:val="005521AD"/>
    <w:rsid w:val="0055348F"/>
    <w:rsid w:val="00554FD9"/>
    <w:rsid w:val="00555A9E"/>
    <w:rsid w:val="00556A83"/>
    <w:rsid w:val="00560AD7"/>
    <w:rsid w:val="005649B7"/>
    <w:rsid w:val="005675F2"/>
    <w:rsid w:val="005717F0"/>
    <w:rsid w:val="0057209F"/>
    <w:rsid w:val="00580141"/>
    <w:rsid w:val="005808A6"/>
    <w:rsid w:val="00580DD4"/>
    <w:rsid w:val="00581E64"/>
    <w:rsid w:val="005833E1"/>
    <w:rsid w:val="00585244"/>
    <w:rsid w:val="0059043A"/>
    <w:rsid w:val="005913CF"/>
    <w:rsid w:val="00591FAA"/>
    <w:rsid w:val="00592689"/>
    <w:rsid w:val="00593754"/>
    <w:rsid w:val="00593764"/>
    <w:rsid w:val="00596DF8"/>
    <w:rsid w:val="005A04A8"/>
    <w:rsid w:val="005A32C8"/>
    <w:rsid w:val="005A5673"/>
    <w:rsid w:val="005B13EF"/>
    <w:rsid w:val="005B17DE"/>
    <w:rsid w:val="005B2EC4"/>
    <w:rsid w:val="005B31C1"/>
    <w:rsid w:val="005B3926"/>
    <w:rsid w:val="005B4F83"/>
    <w:rsid w:val="005B7119"/>
    <w:rsid w:val="005B7AF1"/>
    <w:rsid w:val="005C2384"/>
    <w:rsid w:val="005C4B55"/>
    <w:rsid w:val="005C7EA3"/>
    <w:rsid w:val="005D09F0"/>
    <w:rsid w:val="005D0C0B"/>
    <w:rsid w:val="005D1570"/>
    <w:rsid w:val="005D44F4"/>
    <w:rsid w:val="005D5154"/>
    <w:rsid w:val="005D5FC9"/>
    <w:rsid w:val="005E09BD"/>
    <w:rsid w:val="005E0A0B"/>
    <w:rsid w:val="005E4E77"/>
    <w:rsid w:val="005E663B"/>
    <w:rsid w:val="005E73F4"/>
    <w:rsid w:val="005F0086"/>
    <w:rsid w:val="005F25AF"/>
    <w:rsid w:val="005F3615"/>
    <w:rsid w:val="00600A4E"/>
    <w:rsid w:val="006012C5"/>
    <w:rsid w:val="006031D5"/>
    <w:rsid w:val="006032DC"/>
    <w:rsid w:val="0060501E"/>
    <w:rsid w:val="00605F3D"/>
    <w:rsid w:val="00606D55"/>
    <w:rsid w:val="00607461"/>
    <w:rsid w:val="00610F70"/>
    <w:rsid w:val="00616D12"/>
    <w:rsid w:val="00621DF2"/>
    <w:rsid w:val="00621F4F"/>
    <w:rsid w:val="0062346F"/>
    <w:rsid w:val="00624396"/>
    <w:rsid w:val="006248E4"/>
    <w:rsid w:val="00624C99"/>
    <w:rsid w:val="00626375"/>
    <w:rsid w:val="006266C4"/>
    <w:rsid w:val="00626F11"/>
    <w:rsid w:val="00627DAB"/>
    <w:rsid w:val="00631727"/>
    <w:rsid w:val="00632DB0"/>
    <w:rsid w:val="00633099"/>
    <w:rsid w:val="00635744"/>
    <w:rsid w:val="00636C01"/>
    <w:rsid w:val="0064057F"/>
    <w:rsid w:val="00641322"/>
    <w:rsid w:val="0064344E"/>
    <w:rsid w:val="00643474"/>
    <w:rsid w:val="00643E22"/>
    <w:rsid w:val="006469B6"/>
    <w:rsid w:val="00646B20"/>
    <w:rsid w:val="006501F8"/>
    <w:rsid w:val="00652E23"/>
    <w:rsid w:val="00654687"/>
    <w:rsid w:val="00654825"/>
    <w:rsid w:val="00654895"/>
    <w:rsid w:val="00655BDB"/>
    <w:rsid w:val="006605C6"/>
    <w:rsid w:val="0066211E"/>
    <w:rsid w:val="00662B4E"/>
    <w:rsid w:val="00663E85"/>
    <w:rsid w:val="00667CBC"/>
    <w:rsid w:val="0067015F"/>
    <w:rsid w:val="00672071"/>
    <w:rsid w:val="006723DF"/>
    <w:rsid w:val="00673717"/>
    <w:rsid w:val="00673737"/>
    <w:rsid w:val="00674A49"/>
    <w:rsid w:val="006750A2"/>
    <w:rsid w:val="00677D14"/>
    <w:rsid w:val="006847C5"/>
    <w:rsid w:val="00685797"/>
    <w:rsid w:val="0068605D"/>
    <w:rsid w:val="006862B9"/>
    <w:rsid w:val="0069243B"/>
    <w:rsid w:val="0069729A"/>
    <w:rsid w:val="00697FA3"/>
    <w:rsid w:val="006A0366"/>
    <w:rsid w:val="006A2261"/>
    <w:rsid w:val="006A2D03"/>
    <w:rsid w:val="006A38A7"/>
    <w:rsid w:val="006A3B65"/>
    <w:rsid w:val="006A471F"/>
    <w:rsid w:val="006A58BB"/>
    <w:rsid w:val="006B5FD6"/>
    <w:rsid w:val="006B6A2E"/>
    <w:rsid w:val="006B6C14"/>
    <w:rsid w:val="006C31BF"/>
    <w:rsid w:val="006C67C4"/>
    <w:rsid w:val="006C7DAA"/>
    <w:rsid w:val="006D0131"/>
    <w:rsid w:val="006D3E39"/>
    <w:rsid w:val="006D6750"/>
    <w:rsid w:val="006D76AB"/>
    <w:rsid w:val="006D790D"/>
    <w:rsid w:val="006E09EB"/>
    <w:rsid w:val="006E2405"/>
    <w:rsid w:val="006E2DD5"/>
    <w:rsid w:val="006E44CD"/>
    <w:rsid w:val="006E4D8D"/>
    <w:rsid w:val="006E6A7D"/>
    <w:rsid w:val="006F00C2"/>
    <w:rsid w:val="006F0855"/>
    <w:rsid w:val="006F10E5"/>
    <w:rsid w:val="006F2314"/>
    <w:rsid w:val="006F3928"/>
    <w:rsid w:val="006F3CD1"/>
    <w:rsid w:val="006F5C06"/>
    <w:rsid w:val="006F5E8E"/>
    <w:rsid w:val="006F76E8"/>
    <w:rsid w:val="006F7D89"/>
    <w:rsid w:val="007015C7"/>
    <w:rsid w:val="00701B3C"/>
    <w:rsid w:val="0070283C"/>
    <w:rsid w:val="00703BAE"/>
    <w:rsid w:val="007045F3"/>
    <w:rsid w:val="007056E8"/>
    <w:rsid w:val="00706970"/>
    <w:rsid w:val="00707D0A"/>
    <w:rsid w:val="00707DE5"/>
    <w:rsid w:val="00712DBD"/>
    <w:rsid w:val="007131DF"/>
    <w:rsid w:val="007160FB"/>
    <w:rsid w:val="00717631"/>
    <w:rsid w:val="00720A3D"/>
    <w:rsid w:val="0072273D"/>
    <w:rsid w:val="00724FA6"/>
    <w:rsid w:val="00725407"/>
    <w:rsid w:val="00725B33"/>
    <w:rsid w:val="00726103"/>
    <w:rsid w:val="0072702A"/>
    <w:rsid w:val="007313DC"/>
    <w:rsid w:val="00733620"/>
    <w:rsid w:val="007337D7"/>
    <w:rsid w:val="00735B27"/>
    <w:rsid w:val="00737272"/>
    <w:rsid w:val="00737BDA"/>
    <w:rsid w:val="007441ED"/>
    <w:rsid w:val="0074600C"/>
    <w:rsid w:val="00746E86"/>
    <w:rsid w:val="00750076"/>
    <w:rsid w:val="007538E1"/>
    <w:rsid w:val="0075700F"/>
    <w:rsid w:val="007645D4"/>
    <w:rsid w:val="00764A74"/>
    <w:rsid w:val="00765A83"/>
    <w:rsid w:val="00766532"/>
    <w:rsid w:val="007704AF"/>
    <w:rsid w:val="00770BE5"/>
    <w:rsid w:val="00770D29"/>
    <w:rsid w:val="00773499"/>
    <w:rsid w:val="0077366B"/>
    <w:rsid w:val="007761FF"/>
    <w:rsid w:val="0077651F"/>
    <w:rsid w:val="007774C3"/>
    <w:rsid w:val="00781EF9"/>
    <w:rsid w:val="007848A8"/>
    <w:rsid w:val="007912C9"/>
    <w:rsid w:val="00791719"/>
    <w:rsid w:val="0079394B"/>
    <w:rsid w:val="00794830"/>
    <w:rsid w:val="007A040C"/>
    <w:rsid w:val="007A5683"/>
    <w:rsid w:val="007A5E01"/>
    <w:rsid w:val="007A7FF5"/>
    <w:rsid w:val="007B01E3"/>
    <w:rsid w:val="007B0ABE"/>
    <w:rsid w:val="007B14E8"/>
    <w:rsid w:val="007B47FF"/>
    <w:rsid w:val="007B5ED1"/>
    <w:rsid w:val="007C0138"/>
    <w:rsid w:val="007C081C"/>
    <w:rsid w:val="007C40C5"/>
    <w:rsid w:val="007C5F13"/>
    <w:rsid w:val="007D33F0"/>
    <w:rsid w:val="007D4DE1"/>
    <w:rsid w:val="007E0642"/>
    <w:rsid w:val="007E2D67"/>
    <w:rsid w:val="007E508F"/>
    <w:rsid w:val="007E57DE"/>
    <w:rsid w:val="007E5BDE"/>
    <w:rsid w:val="007E6CDF"/>
    <w:rsid w:val="007F06D1"/>
    <w:rsid w:val="007F49EF"/>
    <w:rsid w:val="0080321E"/>
    <w:rsid w:val="00806B6B"/>
    <w:rsid w:val="00811BB5"/>
    <w:rsid w:val="00812171"/>
    <w:rsid w:val="008135E5"/>
    <w:rsid w:val="00816394"/>
    <w:rsid w:val="0081787C"/>
    <w:rsid w:val="0082005B"/>
    <w:rsid w:val="0082083B"/>
    <w:rsid w:val="00821E87"/>
    <w:rsid w:val="00822994"/>
    <w:rsid w:val="00824FFC"/>
    <w:rsid w:val="0082558A"/>
    <w:rsid w:val="00826483"/>
    <w:rsid w:val="0083008D"/>
    <w:rsid w:val="0083047C"/>
    <w:rsid w:val="00831510"/>
    <w:rsid w:val="00831974"/>
    <w:rsid w:val="00832ADA"/>
    <w:rsid w:val="00832B19"/>
    <w:rsid w:val="00837942"/>
    <w:rsid w:val="00842534"/>
    <w:rsid w:val="0084664C"/>
    <w:rsid w:val="008466ED"/>
    <w:rsid w:val="00847D9D"/>
    <w:rsid w:val="0085018F"/>
    <w:rsid w:val="008521FB"/>
    <w:rsid w:val="008614A2"/>
    <w:rsid w:val="008636DA"/>
    <w:rsid w:val="00864253"/>
    <w:rsid w:val="008650C0"/>
    <w:rsid w:val="008658ED"/>
    <w:rsid w:val="00867212"/>
    <w:rsid w:val="0087147A"/>
    <w:rsid w:val="008719B4"/>
    <w:rsid w:val="0087283C"/>
    <w:rsid w:val="00875764"/>
    <w:rsid w:val="00876388"/>
    <w:rsid w:val="00877BE5"/>
    <w:rsid w:val="00880405"/>
    <w:rsid w:val="008811FE"/>
    <w:rsid w:val="00882695"/>
    <w:rsid w:val="00884F12"/>
    <w:rsid w:val="00885804"/>
    <w:rsid w:val="00887043"/>
    <w:rsid w:val="008877A5"/>
    <w:rsid w:val="008917AB"/>
    <w:rsid w:val="00892929"/>
    <w:rsid w:val="00892C17"/>
    <w:rsid w:val="00893B85"/>
    <w:rsid w:val="008943E5"/>
    <w:rsid w:val="00894956"/>
    <w:rsid w:val="00894A86"/>
    <w:rsid w:val="00895B2D"/>
    <w:rsid w:val="00896DE8"/>
    <w:rsid w:val="008A0477"/>
    <w:rsid w:val="008A2269"/>
    <w:rsid w:val="008A40F7"/>
    <w:rsid w:val="008A5E9B"/>
    <w:rsid w:val="008A7EE1"/>
    <w:rsid w:val="008B070E"/>
    <w:rsid w:val="008B0BE2"/>
    <w:rsid w:val="008B1D11"/>
    <w:rsid w:val="008B6C0C"/>
    <w:rsid w:val="008C1E6A"/>
    <w:rsid w:val="008C5861"/>
    <w:rsid w:val="008C5D72"/>
    <w:rsid w:val="008D0845"/>
    <w:rsid w:val="008D1270"/>
    <w:rsid w:val="008D3574"/>
    <w:rsid w:val="008D3BFF"/>
    <w:rsid w:val="008D3CC8"/>
    <w:rsid w:val="008D6545"/>
    <w:rsid w:val="008D6649"/>
    <w:rsid w:val="008E1522"/>
    <w:rsid w:val="008E3FAC"/>
    <w:rsid w:val="008E4750"/>
    <w:rsid w:val="008E59D7"/>
    <w:rsid w:val="008E6CA8"/>
    <w:rsid w:val="008F6813"/>
    <w:rsid w:val="008F73D4"/>
    <w:rsid w:val="00900AFA"/>
    <w:rsid w:val="00902836"/>
    <w:rsid w:val="00904DFF"/>
    <w:rsid w:val="0091048F"/>
    <w:rsid w:val="009139D6"/>
    <w:rsid w:val="009151C0"/>
    <w:rsid w:val="0091602C"/>
    <w:rsid w:val="00916033"/>
    <w:rsid w:val="00916C7C"/>
    <w:rsid w:val="00916EA1"/>
    <w:rsid w:val="00921555"/>
    <w:rsid w:val="00922D48"/>
    <w:rsid w:val="009246D7"/>
    <w:rsid w:val="00925823"/>
    <w:rsid w:val="00925E9A"/>
    <w:rsid w:val="009312E0"/>
    <w:rsid w:val="00932E6C"/>
    <w:rsid w:val="00935AFD"/>
    <w:rsid w:val="00936EB5"/>
    <w:rsid w:val="0094056F"/>
    <w:rsid w:val="00943AD9"/>
    <w:rsid w:val="00945EA0"/>
    <w:rsid w:val="0094613F"/>
    <w:rsid w:val="00946BCA"/>
    <w:rsid w:val="00946CCC"/>
    <w:rsid w:val="009517F4"/>
    <w:rsid w:val="0095731D"/>
    <w:rsid w:val="00957AE2"/>
    <w:rsid w:val="00960570"/>
    <w:rsid w:val="009629A1"/>
    <w:rsid w:val="00964900"/>
    <w:rsid w:val="00967ECC"/>
    <w:rsid w:val="00973521"/>
    <w:rsid w:val="00973C0A"/>
    <w:rsid w:val="00975601"/>
    <w:rsid w:val="00981EE3"/>
    <w:rsid w:val="009826D9"/>
    <w:rsid w:val="00983225"/>
    <w:rsid w:val="00985D8B"/>
    <w:rsid w:val="009862B2"/>
    <w:rsid w:val="0098631A"/>
    <w:rsid w:val="00986E2D"/>
    <w:rsid w:val="00987AB2"/>
    <w:rsid w:val="009902B6"/>
    <w:rsid w:val="009937FC"/>
    <w:rsid w:val="00993BC9"/>
    <w:rsid w:val="0099450A"/>
    <w:rsid w:val="0099593D"/>
    <w:rsid w:val="009973E0"/>
    <w:rsid w:val="009975E1"/>
    <w:rsid w:val="009A0BA9"/>
    <w:rsid w:val="009A26DE"/>
    <w:rsid w:val="009A2854"/>
    <w:rsid w:val="009A2AE1"/>
    <w:rsid w:val="009A47CD"/>
    <w:rsid w:val="009A4B68"/>
    <w:rsid w:val="009A7432"/>
    <w:rsid w:val="009B22B5"/>
    <w:rsid w:val="009B61A5"/>
    <w:rsid w:val="009B7B7B"/>
    <w:rsid w:val="009C0087"/>
    <w:rsid w:val="009C18B2"/>
    <w:rsid w:val="009C1E0C"/>
    <w:rsid w:val="009C64D7"/>
    <w:rsid w:val="009C6521"/>
    <w:rsid w:val="009C6743"/>
    <w:rsid w:val="009D1134"/>
    <w:rsid w:val="009D28A3"/>
    <w:rsid w:val="009D4004"/>
    <w:rsid w:val="009D495D"/>
    <w:rsid w:val="009D7EFC"/>
    <w:rsid w:val="009E0CA8"/>
    <w:rsid w:val="009E3F37"/>
    <w:rsid w:val="009E5681"/>
    <w:rsid w:val="009E5BBC"/>
    <w:rsid w:val="009E6677"/>
    <w:rsid w:val="009E6F7E"/>
    <w:rsid w:val="009E7761"/>
    <w:rsid w:val="009F19E3"/>
    <w:rsid w:val="009F55A4"/>
    <w:rsid w:val="00A00606"/>
    <w:rsid w:val="00A03AAC"/>
    <w:rsid w:val="00A0473A"/>
    <w:rsid w:val="00A0554E"/>
    <w:rsid w:val="00A0648F"/>
    <w:rsid w:val="00A073ED"/>
    <w:rsid w:val="00A10CBF"/>
    <w:rsid w:val="00A11829"/>
    <w:rsid w:val="00A12CAD"/>
    <w:rsid w:val="00A138B5"/>
    <w:rsid w:val="00A14308"/>
    <w:rsid w:val="00A17114"/>
    <w:rsid w:val="00A207CA"/>
    <w:rsid w:val="00A21A00"/>
    <w:rsid w:val="00A22624"/>
    <w:rsid w:val="00A22A4B"/>
    <w:rsid w:val="00A23065"/>
    <w:rsid w:val="00A23BFC"/>
    <w:rsid w:val="00A258C4"/>
    <w:rsid w:val="00A25DA6"/>
    <w:rsid w:val="00A26870"/>
    <w:rsid w:val="00A26E77"/>
    <w:rsid w:val="00A27755"/>
    <w:rsid w:val="00A31360"/>
    <w:rsid w:val="00A3564A"/>
    <w:rsid w:val="00A3674D"/>
    <w:rsid w:val="00A36B5C"/>
    <w:rsid w:val="00A40833"/>
    <w:rsid w:val="00A41D14"/>
    <w:rsid w:val="00A421B8"/>
    <w:rsid w:val="00A42B0A"/>
    <w:rsid w:val="00A43420"/>
    <w:rsid w:val="00A462C7"/>
    <w:rsid w:val="00A47045"/>
    <w:rsid w:val="00A507DA"/>
    <w:rsid w:val="00A51126"/>
    <w:rsid w:val="00A52EFB"/>
    <w:rsid w:val="00A54243"/>
    <w:rsid w:val="00A54BBD"/>
    <w:rsid w:val="00A554B8"/>
    <w:rsid w:val="00A57807"/>
    <w:rsid w:val="00A6091F"/>
    <w:rsid w:val="00A6168F"/>
    <w:rsid w:val="00A63A3F"/>
    <w:rsid w:val="00A7070D"/>
    <w:rsid w:val="00A7334F"/>
    <w:rsid w:val="00A737D5"/>
    <w:rsid w:val="00A7468F"/>
    <w:rsid w:val="00A758A6"/>
    <w:rsid w:val="00A75B1D"/>
    <w:rsid w:val="00A76792"/>
    <w:rsid w:val="00A81229"/>
    <w:rsid w:val="00A82888"/>
    <w:rsid w:val="00A82B66"/>
    <w:rsid w:val="00A82DC4"/>
    <w:rsid w:val="00A83A22"/>
    <w:rsid w:val="00A84DAC"/>
    <w:rsid w:val="00A93606"/>
    <w:rsid w:val="00AA0AFE"/>
    <w:rsid w:val="00AA225E"/>
    <w:rsid w:val="00AA5EC3"/>
    <w:rsid w:val="00AA6F33"/>
    <w:rsid w:val="00AA6FFC"/>
    <w:rsid w:val="00AB40D7"/>
    <w:rsid w:val="00AB4324"/>
    <w:rsid w:val="00AB6046"/>
    <w:rsid w:val="00AB6223"/>
    <w:rsid w:val="00AB7C7A"/>
    <w:rsid w:val="00AC17CA"/>
    <w:rsid w:val="00AC7EA7"/>
    <w:rsid w:val="00AD1E09"/>
    <w:rsid w:val="00AE32FE"/>
    <w:rsid w:val="00AE43CB"/>
    <w:rsid w:val="00AE5BDA"/>
    <w:rsid w:val="00AE7913"/>
    <w:rsid w:val="00AE7D12"/>
    <w:rsid w:val="00AF4679"/>
    <w:rsid w:val="00AF4923"/>
    <w:rsid w:val="00B0534B"/>
    <w:rsid w:val="00B05E61"/>
    <w:rsid w:val="00B07625"/>
    <w:rsid w:val="00B076B4"/>
    <w:rsid w:val="00B14014"/>
    <w:rsid w:val="00B14558"/>
    <w:rsid w:val="00B15C7C"/>
    <w:rsid w:val="00B219D0"/>
    <w:rsid w:val="00B23E59"/>
    <w:rsid w:val="00B24C26"/>
    <w:rsid w:val="00B26D6E"/>
    <w:rsid w:val="00B32C9B"/>
    <w:rsid w:val="00B34378"/>
    <w:rsid w:val="00B3506D"/>
    <w:rsid w:val="00B35C57"/>
    <w:rsid w:val="00B3603C"/>
    <w:rsid w:val="00B36046"/>
    <w:rsid w:val="00B365C7"/>
    <w:rsid w:val="00B36921"/>
    <w:rsid w:val="00B42EF6"/>
    <w:rsid w:val="00B4362B"/>
    <w:rsid w:val="00B438D4"/>
    <w:rsid w:val="00B43A49"/>
    <w:rsid w:val="00B43E6F"/>
    <w:rsid w:val="00B4630B"/>
    <w:rsid w:val="00B46360"/>
    <w:rsid w:val="00B46E84"/>
    <w:rsid w:val="00B530D1"/>
    <w:rsid w:val="00B5372B"/>
    <w:rsid w:val="00B55B91"/>
    <w:rsid w:val="00B571C2"/>
    <w:rsid w:val="00B62B9F"/>
    <w:rsid w:val="00B62D0A"/>
    <w:rsid w:val="00B6362F"/>
    <w:rsid w:val="00B63729"/>
    <w:rsid w:val="00B666D4"/>
    <w:rsid w:val="00B73738"/>
    <w:rsid w:val="00B764BA"/>
    <w:rsid w:val="00B779FB"/>
    <w:rsid w:val="00B800FA"/>
    <w:rsid w:val="00B80B62"/>
    <w:rsid w:val="00B81930"/>
    <w:rsid w:val="00B830C9"/>
    <w:rsid w:val="00B8330F"/>
    <w:rsid w:val="00B86D84"/>
    <w:rsid w:val="00B870CA"/>
    <w:rsid w:val="00B87E31"/>
    <w:rsid w:val="00B90D06"/>
    <w:rsid w:val="00B90E5E"/>
    <w:rsid w:val="00B92CFC"/>
    <w:rsid w:val="00B92EA0"/>
    <w:rsid w:val="00B96668"/>
    <w:rsid w:val="00B96905"/>
    <w:rsid w:val="00BA054D"/>
    <w:rsid w:val="00BA2307"/>
    <w:rsid w:val="00BA2A52"/>
    <w:rsid w:val="00BA46F7"/>
    <w:rsid w:val="00BA50F0"/>
    <w:rsid w:val="00BA5377"/>
    <w:rsid w:val="00BA6547"/>
    <w:rsid w:val="00BA73B6"/>
    <w:rsid w:val="00BB0196"/>
    <w:rsid w:val="00BB5815"/>
    <w:rsid w:val="00BB5967"/>
    <w:rsid w:val="00BC06AE"/>
    <w:rsid w:val="00BC14A1"/>
    <w:rsid w:val="00BC2BE6"/>
    <w:rsid w:val="00BC4615"/>
    <w:rsid w:val="00BC5DAA"/>
    <w:rsid w:val="00BC5F87"/>
    <w:rsid w:val="00BC65AE"/>
    <w:rsid w:val="00BC7951"/>
    <w:rsid w:val="00BD1D1B"/>
    <w:rsid w:val="00BD5617"/>
    <w:rsid w:val="00BE13E4"/>
    <w:rsid w:val="00BE271B"/>
    <w:rsid w:val="00BE4425"/>
    <w:rsid w:val="00BE467B"/>
    <w:rsid w:val="00BE64C2"/>
    <w:rsid w:val="00BE7357"/>
    <w:rsid w:val="00BE75FE"/>
    <w:rsid w:val="00BF0EE3"/>
    <w:rsid w:val="00BF16F5"/>
    <w:rsid w:val="00BF1887"/>
    <w:rsid w:val="00BF1D99"/>
    <w:rsid w:val="00BF25FF"/>
    <w:rsid w:val="00BF50B1"/>
    <w:rsid w:val="00C01B05"/>
    <w:rsid w:val="00C02E60"/>
    <w:rsid w:val="00C05333"/>
    <w:rsid w:val="00C075EE"/>
    <w:rsid w:val="00C079D2"/>
    <w:rsid w:val="00C1088E"/>
    <w:rsid w:val="00C10DDB"/>
    <w:rsid w:val="00C1164F"/>
    <w:rsid w:val="00C12644"/>
    <w:rsid w:val="00C20561"/>
    <w:rsid w:val="00C2434D"/>
    <w:rsid w:val="00C24C24"/>
    <w:rsid w:val="00C260FF"/>
    <w:rsid w:val="00C27A45"/>
    <w:rsid w:val="00C30229"/>
    <w:rsid w:val="00C3263B"/>
    <w:rsid w:val="00C41A94"/>
    <w:rsid w:val="00C446CA"/>
    <w:rsid w:val="00C447AE"/>
    <w:rsid w:val="00C4546D"/>
    <w:rsid w:val="00C460AD"/>
    <w:rsid w:val="00C50DB5"/>
    <w:rsid w:val="00C50F76"/>
    <w:rsid w:val="00C525BA"/>
    <w:rsid w:val="00C5337B"/>
    <w:rsid w:val="00C539AA"/>
    <w:rsid w:val="00C55859"/>
    <w:rsid w:val="00C56D1B"/>
    <w:rsid w:val="00C56E51"/>
    <w:rsid w:val="00C5736D"/>
    <w:rsid w:val="00C5779B"/>
    <w:rsid w:val="00C60883"/>
    <w:rsid w:val="00C60A62"/>
    <w:rsid w:val="00C60BAC"/>
    <w:rsid w:val="00C60E7B"/>
    <w:rsid w:val="00C61955"/>
    <w:rsid w:val="00C63BA2"/>
    <w:rsid w:val="00C64A2F"/>
    <w:rsid w:val="00C64A3F"/>
    <w:rsid w:val="00C65559"/>
    <w:rsid w:val="00C678DC"/>
    <w:rsid w:val="00C72D0C"/>
    <w:rsid w:val="00C72E3A"/>
    <w:rsid w:val="00C76712"/>
    <w:rsid w:val="00C7717A"/>
    <w:rsid w:val="00C805C0"/>
    <w:rsid w:val="00C813DB"/>
    <w:rsid w:val="00C8196D"/>
    <w:rsid w:val="00C821B7"/>
    <w:rsid w:val="00C82358"/>
    <w:rsid w:val="00C82B04"/>
    <w:rsid w:val="00C82DE5"/>
    <w:rsid w:val="00C835CE"/>
    <w:rsid w:val="00C83EFE"/>
    <w:rsid w:val="00C840D3"/>
    <w:rsid w:val="00C843D6"/>
    <w:rsid w:val="00C903D3"/>
    <w:rsid w:val="00C9076C"/>
    <w:rsid w:val="00C92161"/>
    <w:rsid w:val="00C9434A"/>
    <w:rsid w:val="00C94C66"/>
    <w:rsid w:val="00C9566A"/>
    <w:rsid w:val="00C95695"/>
    <w:rsid w:val="00C956FF"/>
    <w:rsid w:val="00C97079"/>
    <w:rsid w:val="00CA183B"/>
    <w:rsid w:val="00CA1927"/>
    <w:rsid w:val="00CA47AC"/>
    <w:rsid w:val="00CA562B"/>
    <w:rsid w:val="00CA5F47"/>
    <w:rsid w:val="00CA61CA"/>
    <w:rsid w:val="00CA620D"/>
    <w:rsid w:val="00CA66AD"/>
    <w:rsid w:val="00CA7165"/>
    <w:rsid w:val="00CB21C5"/>
    <w:rsid w:val="00CB2B08"/>
    <w:rsid w:val="00CB36BF"/>
    <w:rsid w:val="00CB4018"/>
    <w:rsid w:val="00CB5B1B"/>
    <w:rsid w:val="00CB695B"/>
    <w:rsid w:val="00CB76D4"/>
    <w:rsid w:val="00CC043F"/>
    <w:rsid w:val="00CC14E1"/>
    <w:rsid w:val="00CC2D52"/>
    <w:rsid w:val="00CC3D9D"/>
    <w:rsid w:val="00CC4ABA"/>
    <w:rsid w:val="00CC590D"/>
    <w:rsid w:val="00CC6FDF"/>
    <w:rsid w:val="00CD041C"/>
    <w:rsid w:val="00CD29F0"/>
    <w:rsid w:val="00CD3D9C"/>
    <w:rsid w:val="00CD4D2A"/>
    <w:rsid w:val="00CD506A"/>
    <w:rsid w:val="00CD7502"/>
    <w:rsid w:val="00CE33F1"/>
    <w:rsid w:val="00CE4E55"/>
    <w:rsid w:val="00CE57BA"/>
    <w:rsid w:val="00CE5D9E"/>
    <w:rsid w:val="00CE6951"/>
    <w:rsid w:val="00CF0009"/>
    <w:rsid w:val="00CF2D14"/>
    <w:rsid w:val="00CF2FEB"/>
    <w:rsid w:val="00CF35C5"/>
    <w:rsid w:val="00CF6995"/>
    <w:rsid w:val="00CF6F42"/>
    <w:rsid w:val="00D00121"/>
    <w:rsid w:val="00D00C25"/>
    <w:rsid w:val="00D025CB"/>
    <w:rsid w:val="00D030A1"/>
    <w:rsid w:val="00D04CFF"/>
    <w:rsid w:val="00D071D7"/>
    <w:rsid w:val="00D10F5D"/>
    <w:rsid w:val="00D12D3A"/>
    <w:rsid w:val="00D1379B"/>
    <w:rsid w:val="00D13916"/>
    <w:rsid w:val="00D15223"/>
    <w:rsid w:val="00D15F83"/>
    <w:rsid w:val="00D202DE"/>
    <w:rsid w:val="00D23BAE"/>
    <w:rsid w:val="00D25611"/>
    <w:rsid w:val="00D25A9F"/>
    <w:rsid w:val="00D25F8D"/>
    <w:rsid w:val="00D2600B"/>
    <w:rsid w:val="00D26313"/>
    <w:rsid w:val="00D269A4"/>
    <w:rsid w:val="00D27C9A"/>
    <w:rsid w:val="00D27FD7"/>
    <w:rsid w:val="00D30C7E"/>
    <w:rsid w:val="00D30CA5"/>
    <w:rsid w:val="00D33253"/>
    <w:rsid w:val="00D34A99"/>
    <w:rsid w:val="00D35325"/>
    <w:rsid w:val="00D36519"/>
    <w:rsid w:val="00D36DEA"/>
    <w:rsid w:val="00D40AC7"/>
    <w:rsid w:val="00D4608E"/>
    <w:rsid w:val="00D46718"/>
    <w:rsid w:val="00D46FC6"/>
    <w:rsid w:val="00D52130"/>
    <w:rsid w:val="00D52B52"/>
    <w:rsid w:val="00D538AB"/>
    <w:rsid w:val="00D53FC6"/>
    <w:rsid w:val="00D5467A"/>
    <w:rsid w:val="00D5484F"/>
    <w:rsid w:val="00D54FB5"/>
    <w:rsid w:val="00D56E00"/>
    <w:rsid w:val="00D57F2C"/>
    <w:rsid w:val="00D60196"/>
    <w:rsid w:val="00D62990"/>
    <w:rsid w:val="00D656A6"/>
    <w:rsid w:val="00D718D0"/>
    <w:rsid w:val="00D71F40"/>
    <w:rsid w:val="00D7206F"/>
    <w:rsid w:val="00D72323"/>
    <w:rsid w:val="00D77B34"/>
    <w:rsid w:val="00D81493"/>
    <w:rsid w:val="00D81DA3"/>
    <w:rsid w:val="00D823DA"/>
    <w:rsid w:val="00D8370B"/>
    <w:rsid w:val="00D86650"/>
    <w:rsid w:val="00D875DE"/>
    <w:rsid w:val="00D90195"/>
    <w:rsid w:val="00DA2F7A"/>
    <w:rsid w:val="00DA4725"/>
    <w:rsid w:val="00DA6DE1"/>
    <w:rsid w:val="00DC00B5"/>
    <w:rsid w:val="00DC07C2"/>
    <w:rsid w:val="00DC7A73"/>
    <w:rsid w:val="00DD690A"/>
    <w:rsid w:val="00DE2551"/>
    <w:rsid w:val="00DE2AB5"/>
    <w:rsid w:val="00DE551C"/>
    <w:rsid w:val="00DE66F3"/>
    <w:rsid w:val="00DE7C0C"/>
    <w:rsid w:val="00DF2D4C"/>
    <w:rsid w:val="00DF3C39"/>
    <w:rsid w:val="00DF7AB0"/>
    <w:rsid w:val="00E024D6"/>
    <w:rsid w:val="00E04731"/>
    <w:rsid w:val="00E06448"/>
    <w:rsid w:val="00E066E3"/>
    <w:rsid w:val="00E06953"/>
    <w:rsid w:val="00E06F74"/>
    <w:rsid w:val="00E0749F"/>
    <w:rsid w:val="00E1128E"/>
    <w:rsid w:val="00E149DA"/>
    <w:rsid w:val="00E14CC5"/>
    <w:rsid w:val="00E206E3"/>
    <w:rsid w:val="00E21322"/>
    <w:rsid w:val="00E23C55"/>
    <w:rsid w:val="00E24C92"/>
    <w:rsid w:val="00E24EDA"/>
    <w:rsid w:val="00E261D1"/>
    <w:rsid w:val="00E26207"/>
    <w:rsid w:val="00E26C22"/>
    <w:rsid w:val="00E31F46"/>
    <w:rsid w:val="00E327F5"/>
    <w:rsid w:val="00E3342B"/>
    <w:rsid w:val="00E44AF5"/>
    <w:rsid w:val="00E47AAF"/>
    <w:rsid w:val="00E500E8"/>
    <w:rsid w:val="00E501C9"/>
    <w:rsid w:val="00E50354"/>
    <w:rsid w:val="00E5425A"/>
    <w:rsid w:val="00E62FE6"/>
    <w:rsid w:val="00E64AD9"/>
    <w:rsid w:val="00E66380"/>
    <w:rsid w:val="00E66C65"/>
    <w:rsid w:val="00E6701A"/>
    <w:rsid w:val="00E71137"/>
    <w:rsid w:val="00E72DC1"/>
    <w:rsid w:val="00E757A0"/>
    <w:rsid w:val="00E7744E"/>
    <w:rsid w:val="00E77A16"/>
    <w:rsid w:val="00E77EB9"/>
    <w:rsid w:val="00E80CC2"/>
    <w:rsid w:val="00E82923"/>
    <w:rsid w:val="00E82C6A"/>
    <w:rsid w:val="00E86013"/>
    <w:rsid w:val="00E90A95"/>
    <w:rsid w:val="00E90D22"/>
    <w:rsid w:val="00EA1E7A"/>
    <w:rsid w:val="00EA2ED9"/>
    <w:rsid w:val="00EA5C5D"/>
    <w:rsid w:val="00EA7FA5"/>
    <w:rsid w:val="00EB1294"/>
    <w:rsid w:val="00EB1982"/>
    <w:rsid w:val="00EB216B"/>
    <w:rsid w:val="00EB231A"/>
    <w:rsid w:val="00EB5680"/>
    <w:rsid w:val="00EC3569"/>
    <w:rsid w:val="00EC3ABB"/>
    <w:rsid w:val="00EC5457"/>
    <w:rsid w:val="00EC5487"/>
    <w:rsid w:val="00EC7072"/>
    <w:rsid w:val="00EC7622"/>
    <w:rsid w:val="00EC7634"/>
    <w:rsid w:val="00ED0183"/>
    <w:rsid w:val="00ED1891"/>
    <w:rsid w:val="00ED279B"/>
    <w:rsid w:val="00ED2FF0"/>
    <w:rsid w:val="00ED3DDC"/>
    <w:rsid w:val="00ED4FDA"/>
    <w:rsid w:val="00ED5A8B"/>
    <w:rsid w:val="00ED6E18"/>
    <w:rsid w:val="00ED6F01"/>
    <w:rsid w:val="00ED7E61"/>
    <w:rsid w:val="00EE1378"/>
    <w:rsid w:val="00EE381D"/>
    <w:rsid w:val="00EE6464"/>
    <w:rsid w:val="00EE7067"/>
    <w:rsid w:val="00EF038A"/>
    <w:rsid w:val="00EF09BF"/>
    <w:rsid w:val="00EF1FCE"/>
    <w:rsid w:val="00EF5415"/>
    <w:rsid w:val="00EF71ED"/>
    <w:rsid w:val="00EF7414"/>
    <w:rsid w:val="00EF794E"/>
    <w:rsid w:val="00F02A95"/>
    <w:rsid w:val="00F04617"/>
    <w:rsid w:val="00F04C2F"/>
    <w:rsid w:val="00F04F23"/>
    <w:rsid w:val="00F07BC0"/>
    <w:rsid w:val="00F10001"/>
    <w:rsid w:val="00F10259"/>
    <w:rsid w:val="00F1213B"/>
    <w:rsid w:val="00F123B9"/>
    <w:rsid w:val="00F233E3"/>
    <w:rsid w:val="00F239D9"/>
    <w:rsid w:val="00F23CC7"/>
    <w:rsid w:val="00F244AA"/>
    <w:rsid w:val="00F24E43"/>
    <w:rsid w:val="00F271C3"/>
    <w:rsid w:val="00F2783B"/>
    <w:rsid w:val="00F30467"/>
    <w:rsid w:val="00F3229E"/>
    <w:rsid w:val="00F3705A"/>
    <w:rsid w:val="00F41551"/>
    <w:rsid w:val="00F444A3"/>
    <w:rsid w:val="00F50861"/>
    <w:rsid w:val="00F52BDE"/>
    <w:rsid w:val="00F544E7"/>
    <w:rsid w:val="00F556DA"/>
    <w:rsid w:val="00F55A0D"/>
    <w:rsid w:val="00F566CB"/>
    <w:rsid w:val="00F5675C"/>
    <w:rsid w:val="00F567FE"/>
    <w:rsid w:val="00F56C6C"/>
    <w:rsid w:val="00F57EC0"/>
    <w:rsid w:val="00F62B6F"/>
    <w:rsid w:val="00F637E4"/>
    <w:rsid w:val="00F64CA0"/>
    <w:rsid w:val="00F65312"/>
    <w:rsid w:val="00F6553F"/>
    <w:rsid w:val="00F65E64"/>
    <w:rsid w:val="00F668AC"/>
    <w:rsid w:val="00F67704"/>
    <w:rsid w:val="00F70A61"/>
    <w:rsid w:val="00F73B47"/>
    <w:rsid w:val="00F768DD"/>
    <w:rsid w:val="00F82234"/>
    <w:rsid w:val="00F86516"/>
    <w:rsid w:val="00F86D5B"/>
    <w:rsid w:val="00F9095E"/>
    <w:rsid w:val="00F929DA"/>
    <w:rsid w:val="00F93B7F"/>
    <w:rsid w:val="00F94346"/>
    <w:rsid w:val="00F94CCF"/>
    <w:rsid w:val="00F9559A"/>
    <w:rsid w:val="00F95E15"/>
    <w:rsid w:val="00FA0674"/>
    <w:rsid w:val="00FA0E20"/>
    <w:rsid w:val="00FA2B5F"/>
    <w:rsid w:val="00FA3396"/>
    <w:rsid w:val="00FA3682"/>
    <w:rsid w:val="00FA6305"/>
    <w:rsid w:val="00FA6597"/>
    <w:rsid w:val="00FA6FDB"/>
    <w:rsid w:val="00FA7B54"/>
    <w:rsid w:val="00FA7CA7"/>
    <w:rsid w:val="00FB085C"/>
    <w:rsid w:val="00FB497F"/>
    <w:rsid w:val="00FB5132"/>
    <w:rsid w:val="00FB6156"/>
    <w:rsid w:val="00FB7B5D"/>
    <w:rsid w:val="00FC08F0"/>
    <w:rsid w:val="00FC1A2D"/>
    <w:rsid w:val="00FC51EB"/>
    <w:rsid w:val="00FC58FF"/>
    <w:rsid w:val="00FC7153"/>
    <w:rsid w:val="00FC79B7"/>
    <w:rsid w:val="00FC7ED0"/>
    <w:rsid w:val="00FD05CC"/>
    <w:rsid w:val="00FD0DBF"/>
    <w:rsid w:val="00FD1390"/>
    <w:rsid w:val="00FE13FE"/>
    <w:rsid w:val="00FE2D2F"/>
    <w:rsid w:val="00FE2E07"/>
    <w:rsid w:val="00FE36C0"/>
    <w:rsid w:val="00FE61C7"/>
    <w:rsid w:val="00FF0533"/>
    <w:rsid w:val="00FF2D3C"/>
    <w:rsid w:val="00FF41B6"/>
    <w:rsid w:val="00FF4F70"/>
    <w:rsid w:val="00FF6215"/>
    <w:rsid w:val="00FF6271"/>
    <w:rsid w:val="00FF6B3C"/>
    <w:rsid w:val="00FF6EF3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63B"/>
    <w:pPr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-Odstavec"/>
    <w:link w:val="Nadpis1Char"/>
    <w:qFormat/>
    <w:locked/>
    <w:rsid w:val="00C326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-Odstavec"/>
    <w:link w:val="Nadpis2Char"/>
    <w:qFormat/>
    <w:locked/>
    <w:rsid w:val="001E59E4"/>
    <w:pPr>
      <w:keepNext/>
      <w:numPr>
        <w:ilvl w:val="1"/>
        <w:numId w:val="1"/>
      </w:numPr>
      <w:tabs>
        <w:tab w:val="left" w:pos="1418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qFormat/>
    <w:locked/>
    <w:rsid w:val="001E5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aliases w:val="1.podnadpis,H4,Heading 4 Char2,Heading 4 Char1 Char,Heading 4 Char Char Char,Heading 4 Char Char1,Nadpis 4 Char,1-1,Odstavec 1,Odstavec 11,Odstavec 12,Odstavec 13,Odstavec 14,Odstavec 111,Odstavec 121,Odstavec 131,Odstavec 15,Odstavec 141,V_He"/>
    <w:basedOn w:val="Normln"/>
    <w:next w:val="Normln"/>
    <w:link w:val="Nadpis4Char1"/>
    <w:unhideWhenUsed/>
    <w:qFormat/>
    <w:locked/>
    <w:rsid w:val="00FD1390"/>
    <w:pPr>
      <w:keepNext/>
      <w:keepLines/>
      <w:spacing w:before="40" w:after="6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locked/>
    <w:rsid w:val="00FD1390"/>
    <w:pPr>
      <w:keepNext/>
      <w:keepLines/>
      <w:spacing w:before="40" w:after="6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paragraph" w:styleId="Nadpis6">
    <w:name w:val="heading 6"/>
    <w:aliases w:val="- po straně,ASAPHeading 6,h6,l6,hsm,H6,- po straně1,- po straně2,- po straně3,- po straně4,- po straně11,- po straně21,- po straně31,- po straně5,- po straně6,- po straně7,- po straně8,- po straně9,- po straně10,- po straně12,- po straně13,MUS"/>
    <w:basedOn w:val="Normln"/>
    <w:next w:val="Normln"/>
    <w:link w:val="Nadpis6Char"/>
    <w:unhideWhenUsed/>
    <w:qFormat/>
    <w:locked/>
    <w:rsid w:val="00FD1390"/>
    <w:pPr>
      <w:keepNext/>
      <w:keepLines/>
      <w:spacing w:before="40" w:after="6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unhideWhenUsed/>
    <w:qFormat/>
    <w:locked/>
    <w:rsid w:val="00FD1390"/>
    <w:pPr>
      <w:keepNext/>
      <w:keepLines/>
      <w:spacing w:before="40" w:after="6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unhideWhenUsed/>
    <w:qFormat/>
    <w:locked/>
    <w:rsid w:val="00FD1390"/>
    <w:pPr>
      <w:keepNext/>
      <w:keepLines/>
      <w:spacing w:before="40" w:after="6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aliases w:val="Nadpis 91,ASAPHeading 9,h9,heading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unhideWhenUsed/>
    <w:qFormat/>
    <w:locked/>
    <w:rsid w:val="00FD1390"/>
    <w:pPr>
      <w:keepNext/>
      <w:keepLines/>
      <w:spacing w:before="40" w:after="6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link w:val="Nadpis1"/>
    <w:uiPriority w:val="99"/>
    <w:locked/>
    <w:rsid w:val="008C5D7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uiPriority w:val="99"/>
    <w:semiHidden/>
    <w:rsid w:val="008C5D7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link w:val="Nadpis3"/>
    <w:locked/>
    <w:rsid w:val="008C5D72"/>
    <w:rPr>
      <w:rFonts w:ascii="Arial" w:hAnsi="Arial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rsid w:val="00C9076C"/>
    <w:pPr>
      <w:tabs>
        <w:tab w:val="center" w:pos="4320"/>
        <w:tab w:val="right" w:pos="8640"/>
      </w:tabs>
    </w:pPr>
    <w:rPr>
      <w:rFonts w:ascii="Cambria" w:hAnsi="Cambria"/>
      <w:sz w:val="20"/>
      <w:szCs w:val="20"/>
    </w:rPr>
  </w:style>
  <w:style w:type="character" w:customStyle="1" w:styleId="ZhlavChar">
    <w:name w:val="Záhlaví Char"/>
    <w:link w:val="Zhlav"/>
    <w:locked/>
    <w:rsid w:val="00C9076C"/>
    <w:rPr>
      <w:rFonts w:cs="Times New Roman"/>
    </w:rPr>
  </w:style>
  <w:style w:type="paragraph" w:styleId="Zpat">
    <w:name w:val="footer"/>
    <w:basedOn w:val="Normln"/>
    <w:link w:val="ZpatChar"/>
    <w:uiPriority w:val="99"/>
    <w:rsid w:val="00C9076C"/>
    <w:pPr>
      <w:tabs>
        <w:tab w:val="center" w:pos="4320"/>
        <w:tab w:val="right" w:pos="8640"/>
      </w:tabs>
    </w:pPr>
    <w:rPr>
      <w:rFonts w:ascii="Cambria" w:hAnsi="Cambria"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C9076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9076C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9076C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C9076C"/>
    <w:rPr>
      <w:rFonts w:ascii="Cambria" w:hAnsi="Cambria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9076C"/>
    <w:rPr>
      <w:rFonts w:cs="Times New Roman"/>
    </w:rPr>
  </w:style>
  <w:style w:type="character" w:styleId="Odkaznakoment">
    <w:name w:val="annotation reference"/>
    <w:rsid w:val="00C9076C"/>
    <w:rPr>
      <w:rFonts w:cs="Times New Roman"/>
      <w:sz w:val="16"/>
      <w:szCs w:val="16"/>
    </w:rPr>
  </w:style>
  <w:style w:type="table" w:styleId="Mkatabulky">
    <w:name w:val="Table Grid"/>
    <w:aliases w:val="Deloitte table 3"/>
    <w:basedOn w:val="Normlntabulka"/>
    <w:uiPriority w:val="39"/>
    <w:rsid w:val="00C9076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-Odstavec">
    <w:name w:val="Normální - Odstavec"/>
    <w:basedOn w:val="Normln"/>
    <w:link w:val="Normln-OdstavecCharChar"/>
    <w:uiPriority w:val="99"/>
    <w:rsid w:val="001E59E4"/>
    <w:pPr>
      <w:numPr>
        <w:ilvl w:val="3"/>
        <w:numId w:val="1"/>
      </w:numPr>
    </w:pPr>
    <w:rPr>
      <w:lang w:eastAsia="cs-CZ"/>
    </w:rPr>
  </w:style>
  <w:style w:type="paragraph" w:customStyle="1" w:styleId="Normln-Psmeno">
    <w:name w:val="Normální - Písmeno"/>
    <w:basedOn w:val="Normln"/>
    <w:uiPriority w:val="99"/>
    <w:rsid w:val="001E59E4"/>
    <w:pPr>
      <w:numPr>
        <w:ilvl w:val="4"/>
        <w:numId w:val="1"/>
      </w:numPr>
    </w:pPr>
    <w:rPr>
      <w:lang w:eastAsia="cs-CZ"/>
    </w:rPr>
  </w:style>
  <w:style w:type="paragraph" w:customStyle="1" w:styleId="Normln-msk">
    <w:name w:val="Normální - Římská"/>
    <w:basedOn w:val="Normln"/>
    <w:uiPriority w:val="99"/>
    <w:rsid w:val="001E59E4"/>
    <w:pPr>
      <w:numPr>
        <w:ilvl w:val="5"/>
        <w:numId w:val="1"/>
      </w:numPr>
      <w:tabs>
        <w:tab w:val="left" w:pos="1985"/>
      </w:tabs>
    </w:pPr>
  </w:style>
  <w:style w:type="character" w:customStyle="1" w:styleId="Normln-OdstavecCharChar">
    <w:name w:val="Normální - Odstavec Char Char"/>
    <w:link w:val="Normln-Odstavec"/>
    <w:uiPriority w:val="99"/>
    <w:locked/>
    <w:rsid w:val="001E59E4"/>
    <w:rPr>
      <w:rFonts w:ascii="Times New Roman" w:hAnsi="Times New Roman"/>
      <w:sz w:val="22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locked/>
    <w:rsid w:val="001E59E4"/>
    <w:rPr>
      <w:rFonts w:ascii="Arial" w:hAnsi="Arial"/>
      <w:b/>
      <w:bCs/>
      <w:i/>
      <w:iCs/>
      <w:sz w:val="28"/>
      <w:szCs w:val="2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3FC6"/>
    <w:rPr>
      <w:rFonts w:ascii="Times New Roman" w:hAnsi="Times New Roman"/>
      <w:b/>
      <w:bCs/>
      <w:lang w:val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C5D72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Titulek">
    <w:name w:val="caption"/>
    <w:basedOn w:val="Normln"/>
    <w:next w:val="Normln"/>
    <w:unhideWhenUsed/>
    <w:qFormat/>
    <w:locked/>
    <w:rsid w:val="00922D48"/>
    <w:rPr>
      <w:b/>
      <w:bCs/>
      <w:sz w:val="20"/>
      <w:szCs w:val="20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Odrážky,List Paragraph,Odrážkový seznam,Odstavec,Odstavec se seznamem1"/>
    <w:basedOn w:val="Normln"/>
    <w:link w:val="OdstavecseseznamemChar"/>
    <w:qFormat/>
    <w:rsid w:val="008650C0"/>
    <w:pPr>
      <w:spacing w:after="0"/>
      <w:ind w:left="720"/>
      <w:contextualSpacing/>
      <w:jc w:val="left"/>
    </w:pPr>
    <w:rPr>
      <w:rFonts w:ascii="Times" w:eastAsia="Times New Roman" w:hAnsi="Times"/>
      <w:sz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Odrážky Char,List Paragraph Char"/>
    <w:link w:val="Odstavecseseznamem"/>
    <w:uiPriority w:val="34"/>
    <w:rsid w:val="008650C0"/>
    <w:rPr>
      <w:rFonts w:ascii="Times" w:eastAsia="Times New Roman" w:hAnsi="Times"/>
      <w:sz w:val="20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8650C0"/>
    <w:pPr>
      <w:numPr>
        <w:ilvl w:val="1"/>
      </w:numPr>
      <w:spacing w:before="240" w:after="200" w:line="276" w:lineRule="auto"/>
      <w:jc w:val="left"/>
    </w:pPr>
    <w:rPr>
      <w:rFonts w:ascii="Cambria" w:eastAsia="Times New Roman" w:hAnsi="Cambria"/>
      <w:i/>
      <w:iCs/>
      <w:color w:val="4F81BD"/>
      <w:spacing w:val="15"/>
      <w:sz w:val="24"/>
    </w:rPr>
  </w:style>
  <w:style w:type="character" w:customStyle="1" w:styleId="PodtitulChar">
    <w:name w:val="Podtitul Char"/>
    <w:link w:val="Podtitul"/>
    <w:uiPriority w:val="11"/>
    <w:rsid w:val="008650C0"/>
    <w:rPr>
      <w:rFonts w:eastAsia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Default">
    <w:name w:val="Default"/>
    <w:rsid w:val="001955F4"/>
    <w:pPr>
      <w:autoSpaceDE w:val="0"/>
      <w:autoSpaceDN w:val="0"/>
      <w:adjustRightInd w:val="0"/>
    </w:pPr>
    <w:rPr>
      <w:rFonts w:ascii="Wingdings" w:eastAsia="Times New Roman" w:hAnsi="Wingdings" w:cs="Wingdings"/>
      <w:color w:val="000000"/>
      <w:sz w:val="24"/>
      <w:szCs w:val="24"/>
    </w:rPr>
  </w:style>
  <w:style w:type="character" w:customStyle="1" w:styleId="para1">
    <w:name w:val="para1"/>
    <w:rsid w:val="00960570"/>
    <w:rPr>
      <w:rFonts w:ascii="Arial" w:hAnsi="Arial" w:cs="Arial"/>
      <w:sz w:val="18"/>
      <w:szCs w:val="18"/>
    </w:rPr>
  </w:style>
  <w:style w:type="paragraph" w:customStyle="1" w:styleId="ListParagraph1">
    <w:name w:val="List Paragraph1"/>
    <w:basedOn w:val="Normln"/>
    <w:rsid w:val="00960570"/>
    <w:pPr>
      <w:widowControl w:val="0"/>
      <w:suppressAutoHyphens/>
      <w:spacing w:after="0"/>
      <w:ind w:left="720"/>
      <w:jc w:val="left"/>
    </w:pPr>
    <w:rPr>
      <w:rFonts w:ascii="Liberation Serif" w:eastAsia="Arial" w:hAnsi="Liberation Serif" w:cs="Lucida Sans"/>
      <w:kern w:val="1"/>
      <w:sz w:val="24"/>
      <w:lang w:eastAsia="hi-IN" w:bidi="hi-IN"/>
    </w:rPr>
  </w:style>
  <w:style w:type="character" w:customStyle="1" w:styleId="Zvraznn1">
    <w:name w:val="Zvýraznění1"/>
    <w:qFormat/>
    <w:locked/>
    <w:rsid w:val="00351618"/>
    <w:rPr>
      <w:i/>
      <w:iCs/>
      <w:color w:val="5A5A5A"/>
    </w:rPr>
  </w:style>
  <w:style w:type="paragraph" w:customStyle="1" w:styleId="Obsahtabulky">
    <w:name w:val="Obsah tabulky"/>
    <w:basedOn w:val="Normln"/>
    <w:rsid w:val="00B80B62"/>
    <w:pPr>
      <w:widowControl w:val="0"/>
      <w:suppressLineNumbers/>
      <w:suppressAutoHyphens/>
      <w:spacing w:after="0"/>
      <w:jc w:val="left"/>
    </w:pPr>
    <w:rPr>
      <w:rFonts w:ascii="Calibri" w:eastAsia="DejaVu Sans" w:hAnsi="Calibri" w:cs="Calibri"/>
      <w:kern w:val="1"/>
      <w:sz w:val="20"/>
      <w:szCs w:val="20"/>
      <w:lang w:eastAsia="cs-CZ"/>
    </w:rPr>
  </w:style>
  <w:style w:type="paragraph" w:customStyle="1" w:styleId="Nadpistabulky">
    <w:name w:val="Nadpis tabulky"/>
    <w:basedOn w:val="Obsahtabulky"/>
    <w:rsid w:val="00B80B62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C56E51"/>
    <w:rPr>
      <w:color w:val="0000FF"/>
      <w:u w:val="single"/>
    </w:rPr>
  </w:style>
  <w:style w:type="paragraph" w:customStyle="1" w:styleId="Tabulka">
    <w:name w:val="Tabulka"/>
    <w:basedOn w:val="Normln"/>
    <w:next w:val="Normln"/>
    <w:qFormat/>
    <w:rsid w:val="004B5764"/>
    <w:pPr>
      <w:numPr>
        <w:numId w:val="3"/>
      </w:numPr>
      <w:spacing w:before="200" w:after="200" w:line="276" w:lineRule="auto"/>
      <w:jc w:val="center"/>
    </w:pPr>
    <w:rPr>
      <w:rFonts w:ascii="Calibri" w:eastAsia="Times New Roman" w:hAnsi="Calibri"/>
      <w:sz w:val="20"/>
      <w:szCs w:val="20"/>
      <w:lang w:bidi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4083"/>
    <w:rPr>
      <w:rFonts w:ascii="Palatino Linotype" w:eastAsia="Calibri" w:hAnsi="Palatino Linotype"/>
      <w:sz w:val="24"/>
      <w:lang w:eastAsia="ar-SA"/>
    </w:rPr>
  </w:style>
  <w:style w:type="character" w:customStyle="1" w:styleId="ZkladntextChar">
    <w:name w:val="Základní text Char"/>
    <w:link w:val="Zkladntext"/>
    <w:uiPriority w:val="99"/>
    <w:semiHidden/>
    <w:rsid w:val="00274083"/>
    <w:rPr>
      <w:rFonts w:ascii="Palatino Linotype" w:eastAsia="Calibri" w:hAnsi="Palatino Linotype"/>
      <w:sz w:val="24"/>
      <w:szCs w:val="24"/>
      <w:lang w:eastAsia="ar-SA"/>
    </w:rPr>
  </w:style>
  <w:style w:type="paragraph" w:customStyle="1" w:styleId="Odstavecinzert">
    <w:name w:val="Odstavec inzert"/>
    <w:basedOn w:val="Normln"/>
    <w:rsid w:val="00274083"/>
    <w:pPr>
      <w:spacing w:after="0"/>
      <w:ind w:left="340"/>
    </w:pPr>
    <w:rPr>
      <w:rFonts w:ascii="Arial" w:eastAsia="Calibri" w:hAnsi="Arial" w:cs="Arial"/>
      <w:sz w:val="20"/>
      <w:szCs w:val="20"/>
      <w:lang w:eastAsia="cs-CZ"/>
    </w:rPr>
  </w:style>
  <w:style w:type="paragraph" w:customStyle="1" w:styleId="Text">
    <w:name w:val="Text"/>
    <w:basedOn w:val="Normln"/>
    <w:rsid w:val="00274083"/>
    <w:pPr>
      <w:ind w:left="1134"/>
    </w:pPr>
    <w:rPr>
      <w:rFonts w:ascii="Arial" w:eastAsia="Calibri" w:hAnsi="Arial" w:cs="Arial"/>
      <w:szCs w:val="22"/>
      <w:lang w:eastAsia="cs-CZ"/>
    </w:rPr>
  </w:style>
  <w:style w:type="paragraph" w:styleId="Revize">
    <w:name w:val="Revision"/>
    <w:hidden/>
    <w:uiPriority w:val="99"/>
    <w:semiHidden/>
    <w:rsid w:val="00A17114"/>
    <w:rPr>
      <w:rFonts w:ascii="Times New Roman" w:hAnsi="Times New Roman"/>
      <w:sz w:val="22"/>
      <w:szCs w:val="24"/>
      <w:lang w:eastAsia="en-US"/>
    </w:rPr>
  </w:style>
  <w:style w:type="character" w:customStyle="1" w:styleId="Nadpis4Char1">
    <w:name w:val="Nadpis 4 Char1"/>
    <w:aliases w:val="1.podnadpis Char,H4 Char,Heading 4 Char2 Char,Heading 4 Char1 Char Char,Heading 4 Char Char Char Char,Heading 4 Char Char1 Char,Nadpis 4 Char Char,1-1 Char,Odstavec 1 Char,Odstavec 11 Char,Odstavec 12 Char,Odstavec 13 Char,V_He Char"/>
    <w:basedOn w:val="Standardnpsmoodstavce"/>
    <w:link w:val="Nadpis4"/>
    <w:rsid w:val="00FD139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FD139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dpis6Char">
    <w:name w:val="Nadpis 6 Char"/>
    <w:aliases w:val="- po straně Char,ASAPHeading 6 Char,h6 Char,l6 Char,hsm Char,H6 Char,- po straně1 Char,- po straně2 Char,- po straně3 Char,- po straně4 Char,- po straně11 Char,- po straně21 Char,- po straně31 Char,- po straně5 Char,- po straně6 Char"/>
    <w:basedOn w:val="Standardnpsmoodstavce"/>
    <w:link w:val="Nadpis6"/>
    <w:rsid w:val="00FD1390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basedOn w:val="Standardnpsmoodstavce"/>
    <w:link w:val="Nadpis7"/>
    <w:rsid w:val="00FD1390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basedOn w:val="Standardnpsmoodstavce"/>
    <w:link w:val="Nadpis8"/>
    <w:rsid w:val="00FD13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aliases w:val="Nadpis 91 Char,ASAPHeading 9 Char,h9 Char,heading9 Char,MUS9 Char,H9 Char,(Bibliografia) Char,progress Char,progress1 Char,progress2 Char,progress11 Char,progress3 Char,progress4 Char,progress5 Char,progress6 Char,progress7 Char"/>
    <w:basedOn w:val="Standardnpsmoodstavce"/>
    <w:link w:val="Nadpis9"/>
    <w:rsid w:val="00FD13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19anodst">
    <w:name w:val="19an_odst"/>
    <w:basedOn w:val="Normln"/>
    <w:rsid w:val="000726E6"/>
    <w:pPr>
      <w:tabs>
        <w:tab w:val="left" w:pos="567"/>
        <w:tab w:val="right" w:pos="9639"/>
      </w:tabs>
      <w:spacing w:after="60"/>
    </w:pPr>
    <w:rPr>
      <w:rFonts w:ascii="Arial Narrow" w:eastAsia="Times New Roman" w:hAnsi="Arial Narrow"/>
      <w:sz w:val="18"/>
      <w:szCs w:val="20"/>
      <w:lang w:eastAsia="cs-CZ"/>
    </w:rPr>
  </w:style>
  <w:style w:type="paragraph" w:customStyle="1" w:styleId="Marbesnormln">
    <w:name w:val="Marbes normální"/>
    <w:basedOn w:val="Normln"/>
    <w:link w:val="MarbesnormlnChar"/>
    <w:rsid w:val="00FA6597"/>
    <w:rPr>
      <w:rFonts w:eastAsia="Times New Roman"/>
      <w:sz w:val="20"/>
      <w:szCs w:val="20"/>
      <w:lang w:eastAsia="cs-CZ"/>
    </w:rPr>
  </w:style>
  <w:style w:type="character" w:customStyle="1" w:styleId="MarbesnormlnChar">
    <w:name w:val="Marbes normální Char"/>
    <w:link w:val="Marbesnormln"/>
    <w:rsid w:val="00FA6597"/>
    <w:rPr>
      <w:rFonts w:ascii="Times New Roman" w:eastAsia="Times New Roman" w:hAnsi="Times New Roman"/>
    </w:rPr>
  </w:style>
  <w:style w:type="character" w:customStyle="1" w:styleId="OdrkaEQervenChar">
    <w:name w:val="Odrážka EQ červená Char"/>
    <w:link w:val="OdrkaEQerven"/>
    <w:locked/>
    <w:rsid w:val="00FA6597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rsid w:val="00FA6597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 w:val="20"/>
      <w:szCs w:val="20"/>
      <w:lang w:eastAsia="cs-CZ"/>
    </w:rPr>
  </w:style>
  <w:style w:type="paragraph" w:customStyle="1" w:styleId="PTheading3">
    <w:name w:val="PT_heading_3"/>
    <w:basedOn w:val="Nadpis3"/>
    <w:autoRedefine/>
    <w:uiPriority w:val="99"/>
    <w:rsid w:val="00FA6597"/>
    <w:pPr>
      <w:keepLines/>
      <w:numPr>
        <w:numId w:val="31"/>
      </w:numPr>
      <w:tabs>
        <w:tab w:val="left" w:pos="1134"/>
      </w:tabs>
      <w:spacing w:before="360" w:after="0"/>
    </w:pPr>
    <w:rPr>
      <w:rFonts w:ascii="Verdana" w:eastAsia="Times New Roman" w:hAnsi="Verdana"/>
      <w:color w:val="006031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781F-242A-4F13-8186-6E8D3CAE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8784</Words>
  <Characters>55094</Characters>
  <Application>Microsoft Office Word</Application>
  <DocSecurity>0</DocSecurity>
  <Lines>459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2018-07-31T11:17:00Z</dcterms:created>
  <dcterms:modified xsi:type="dcterms:W3CDTF">2018-08-01T12:45:00Z</dcterms:modified>
</cp:coreProperties>
</file>