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C9" w:rsidRPr="00A2654F" w:rsidRDefault="000964C9" w:rsidP="009B4D1B">
      <w:pPr>
        <w:pStyle w:val="Nzev"/>
        <w:rPr>
          <w:rFonts w:ascii="Times New Roman" w:hAnsi="Times New Roman"/>
          <w:color w:val="auto"/>
          <w:sz w:val="28"/>
          <w:szCs w:val="24"/>
        </w:rPr>
      </w:pPr>
      <w:bookmarkStart w:id="0" w:name="_GoBack"/>
      <w:bookmarkEnd w:id="0"/>
      <w:r w:rsidRPr="00A2654F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A2654F" w:rsidRPr="00A2654F">
        <w:rPr>
          <w:rFonts w:ascii="Times New Roman" w:hAnsi="Times New Roman"/>
          <w:color w:val="auto"/>
          <w:sz w:val="28"/>
          <w:szCs w:val="24"/>
        </w:rPr>
        <w:t>3</w:t>
      </w:r>
    </w:p>
    <w:p w:rsidR="009B4D1B" w:rsidRPr="00A2654F" w:rsidRDefault="009B4D1B" w:rsidP="009B4D1B">
      <w:pPr>
        <w:pStyle w:val="Nzev"/>
        <w:rPr>
          <w:rFonts w:ascii="Times New Roman" w:hAnsi="Times New Roman"/>
          <w:sz w:val="28"/>
          <w:szCs w:val="24"/>
        </w:rPr>
      </w:pPr>
      <w:r w:rsidRPr="00A2654F">
        <w:rPr>
          <w:rFonts w:ascii="Times New Roman" w:hAnsi="Times New Roman"/>
          <w:sz w:val="28"/>
          <w:szCs w:val="24"/>
        </w:rPr>
        <w:t>Čestné prohlášení uchazeče o splnění základní</w:t>
      </w:r>
      <w:r w:rsidR="00E7063F">
        <w:rPr>
          <w:rFonts w:ascii="Times New Roman" w:hAnsi="Times New Roman"/>
          <w:sz w:val="28"/>
          <w:szCs w:val="24"/>
        </w:rPr>
        <w:t xml:space="preserve"> způsobilosti</w:t>
      </w:r>
    </w:p>
    <w:p w:rsidR="00EE2EB5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6A5623" w:rsidRPr="00834FDE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4"/>
        </w:rPr>
      </w:pPr>
      <w:r w:rsidRPr="00834FDE">
        <w:rPr>
          <w:rFonts w:ascii="Times New Roman" w:hAnsi="Times New Roman"/>
          <w:sz w:val="22"/>
          <w:szCs w:val="24"/>
        </w:rPr>
        <w:t>Já, níže podepsaná osoba oprávněná jednat jménem uchazeče</w:t>
      </w:r>
      <w:r w:rsidR="00ED4FB7" w:rsidRPr="00834FDE">
        <w:rPr>
          <w:rFonts w:ascii="Times New Roman" w:hAnsi="Times New Roman"/>
          <w:sz w:val="22"/>
          <w:szCs w:val="24"/>
        </w:rPr>
        <w:t>,</w:t>
      </w:r>
    </w:p>
    <w:p w:rsidR="00EE2EB5" w:rsidRPr="00834FDE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Prohlašuji místopřísežně, že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uchazeč</w:t>
      </w:r>
      <w:r w:rsidRPr="00834FDE">
        <w:rPr>
          <w:rFonts w:ascii="Times New Roman" w:hAnsi="Times New Roman"/>
          <w:color w:val="000000"/>
          <w:sz w:val="22"/>
          <w:szCs w:val="24"/>
        </w:rPr>
        <w:t>:</w:t>
      </w:r>
    </w:p>
    <w:p w:rsidR="009B4D1B" w:rsidRPr="00834FDE" w:rsidRDefault="009B4D1B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a)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>nebyl v zemi svého sídla v posledních 5 letech před zahájením zadávacího řízení pravomocně odsouzen pro trestný čin uvedený v příloze č. 3 zákona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č. 134/2016 Sb., o zadávání veřejných zakázek (dále jen „</w:t>
      </w:r>
      <w:r w:rsidR="00ED4FB7" w:rsidRPr="00834FDE">
        <w:rPr>
          <w:rFonts w:ascii="Times New Roman" w:hAnsi="Times New Roman"/>
          <w:b/>
          <w:color w:val="000000"/>
          <w:sz w:val="22"/>
          <w:szCs w:val="24"/>
        </w:rPr>
        <w:t>zákon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“),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nebo obdobný trestný čin podle právního řádu země sídla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e; k zahlazeným odsouzením se nepřihlíží, jde-li o právnickou osobu, musí tuto podmínku splňovat jak tato právnická osoba, tak její statutární orgán nebo každý člen statutárního orgánu, a je-li statutárním orgánem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či členem statutárního orgánu 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e právnická osoba, musí tento předpoklad splňovat jak tato právnická osoba, tak její statutární orgán nebo každý člen statutárního orgánu této právnické osoby nebo osoba zastupující tuto právnickou osobu v statutárním orgánu této právnické osoby; podává-li nabídku či žádost o účast zahraniční právnická osoba prostřednictvím své organizační složky, musí předpoklad podle tohoto písmene splňovat vedle uvedených osob rovněž vedoucí této organizační složky; u české právnické osoby musí tuto podmínku splňovat osoby uvedené v ustanovení § 74 odst. 2 zákona a vedoucí pobočky závodu; tento základní kvalifikační předpoklad musí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splňovat jak ve vztahu k území České republiky, tak k zemi svého sídla, místa podnikání či bydliště,</w:t>
      </w: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b)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není v likvidaci,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nebylo proti němu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vydáno rozhodnutí o úpadku, nebyla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vůči němu 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nařízena nucená správa podle jiného právního předpisu nebo v obdobné situaci podle právního řádu země sídla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A2654F" w:rsidRPr="00834FDE" w:rsidRDefault="00A2654F" w:rsidP="00834FDE">
      <w:pPr>
        <w:spacing w:after="120"/>
        <w:ind w:left="705" w:hanging="705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c)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nemá v evidenci daní zachyceny daňové nedoplatky, a to jak v České republice, tak v zemi sídla, místa podnikání či bydliště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d)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>nemá nedoplatek na pojistném a na penále na veřejné zdravotní pojištění, a to jak v České republice, tak v zemi sídl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a, místa podnikání či bydliště uchazeče</w:t>
      </w:r>
      <w:r w:rsidRPr="00834FDE">
        <w:rPr>
          <w:rFonts w:ascii="Times New Roman" w:hAnsi="Times New Roman"/>
          <w:color w:val="000000"/>
          <w:sz w:val="22"/>
          <w:szCs w:val="24"/>
        </w:rPr>
        <w:t>,</w:t>
      </w:r>
    </w:p>
    <w:p w:rsidR="009B4D1B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e)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nemá nedoplatek na pojistném a na penále na sociální zabezpečení a příspěvku na státní politiku zaměstnanosti, a to jak v České republice, tak v zemi sídla, místa podnikání či bydliště </w:t>
      </w:r>
      <w:r w:rsidR="003628BB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834FDE" w:rsidRPr="00834FDE" w:rsidRDefault="00834FDE" w:rsidP="009B4D1B">
      <w:pPr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Toto prohlášení činím na základě své pravé, vážné a svobodné vůle a jsem si vědom všech následků plynoucích z uvedení nepravdivých údajů.</w:t>
      </w:r>
    </w:p>
    <w:p w:rsidR="00EE2EB5" w:rsidRPr="00834FDE" w:rsidRDefault="00EE2EB5" w:rsidP="009B4D1B">
      <w:pPr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rPr>
          <w:rFonts w:ascii="Times New Roman" w:hAnsi="Times New Roman"/>
          <w:sz w:val="22"/>
          <w:szCs w:val="24"/>
        </w:rPr>
      </w:pPr>
    </w:p>
    <w:p w:rsidR="009B4D1B" w:rsidRPr="00834FDE" w:rsidRDefault="009B4D1B" w:rsidP="009B4D1B">
      <w:pPr>
        <w:rPr>
          <w:rFonts w:ascii="Times New Roman" w:hAnsi="Times New Roman"/>
          <w:sz w:val="22"/>
          <w:szCs w:val="24"/>
        </w:rPr>
      </w:pPr>
      <w:r w:rsidRPr="00834FDE">
        <w:rPr>
          <w:rFonts w:ascii="Times New Roman" w:hAnsi="Times New Roman"/>
          <w:sz w:val="22"/>
          <w:szCs w:val="24"/>
        </w:rPr>
        <w:t>V</w:t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834FDE">
        <w:tc>
          <w:tcPr>
            <w:tcW w:w="4606" w:type="dxa"/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 xml:space="preserve">titul, jméno a příjmení </w:t>
            </w: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>osoby oprávněné jednat jménem uchazeče</w:t>
            </w: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B4D1B" w:rsidRPr="00834FDE">
        <w:tc>
          <w:tcPr>
            <w:tcW w:w="4606" w:type="dxa"/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4815DB" w:rsidRPr="00834FDE" w:rsidRDefault="004815DB" w:rsidP="006A5623">
      <w:pPr>
        <w:rPr>
          <w:rFonts w:ascii="Times New Roman" w:hAnsi="Times New Roman"/>
          <w:sz w:val="22"/>
          <w:szCs w:val="24"/>
        </w:rPr>
      </w:pPr>
    </w:p>
    <w:sectPr w:rsidR="004815DB" w:rsidRPr="00834FDE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0A" w:rsidRDefault="00F0510A" w:rsidP="00A2654F">
      <w:r>
        <w:separator/>
      </w:r>
    </w:p>
  </w:endnote>
  <w:endnote w:type="continuationSeparator" w:id="0">
    <w:p w:rsidR="00F0510A" w:rsidRDefault="00F0510A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0A" w:rsidRDefault="00F0510A" w:rsidP="00A2654F">
      <w:r>
        <w:separator/>
      </w:r>
    </w:p>
  </w:footnote>
  <w:footnote w:type="continuationSeparator" w:id="0">
    <w:p w:rsidR="00F0510A" w:rsidRDefault="00F0510A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575BF"/>
    <w:rsid w:val="005A608B"/>
    <w:rsid w:val="005B72D5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F16A6"/>
    <w:rsid w:val="00BD2B82"/>
    <w:rsid w:val="00C2478D"/>
    <w:rsid w:val="00E7063F"/>
    <w:rsid w:val="00ED4FB7"/>
    <w:rsid w:val="00EE2EB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Jana Nečadová</cp:lastModifiedBy>
  <cp:revision>2</cp:revision>
  <dcterms:created xsi:type="dcterms:W3CDTF">2020-02-07T13:28:00Z</dcterms:created>
  <dcterms:modified xsi:type="dcterms:W3CDTF">2020-02-07T13:28:00Z</dcterms:modified>
</cp:coreProperties>
</file>