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tbl>
      <w:tblPr>
        <w:tblW w:w="9070" w:type="dxa"/>
        <w:jc w:val="left"/>
        <w:tblInd w:w="55" w:type="dxa"/>
        <w:tblBorders/>
        <w:tblCellMar>
          <w:top w:w="55" w:type="dxa"/>
          <w:left w:w="55" w:type="dxa"/>
          <w:bottom w:w="55" w:type="dxa"/>
          <w:right w:w="55" w:type="dxa"/>
        </w:tblCellMar>
        <w:tblLook w:firstRow="1" w:noVBand="1" w:lastRow="0" w:firstColumn="1" w:lastColumn="0" w:noHBand="0" w:val="04a0"/>
      </w:tblPr>
      <w:tblGrid>
        <w:gridCol w:w="3587"/>
        <w:gridCol w:w="5482"/>
      </w:tblGrid>
      <w:tr>
        <w:trPr>
          <w:trHeight w:val="960" w:hRule="atLeast"/>
        </w:trPr>
        <w:tc>
          <w:tcPr>
            <w:tcW w:w="3587" w:type="dxa"/>
            <w:tcBorders/>
            <w:shd w:color="auto" w:fill="auto" w:val="clear"/>
          </w:tcPr>
          <w:p>
            <w:pPr>
              <w:pStyle w:val="Obsahtabulky"/>
              <w:spacing w:before="0" w:after="0"/>
              <w:rPr>
                <w:sz w:val="24"/>
              </w:rPr>
            </w:pPr>
            <w:r>
              <w:rPr>
                <w:sz w:val="24"/>
              </w:rPr>
              <w:drawing>
                <wp:anchor behindDoc="0" distT="0" distB="0" distL="0" distR="0" simplePos="0" locked="0" layoutInCell="1" allowOverlap="1" relativeHeight="2">
                  <wp:simplePos x="0" y="0"/>
                  <wp:positionH relativeFrom="column">
                    <wp:posOffset>-52705</wp:posOffset>
                  </wp:positionH>
                  <wp:positionV relativeFrom="paragraph">
                    <wp:posOffset>15875</wp:posOffset>
                  </wp:positionV>
                  <wp:extent cx="2111375" cy="540385"/>
                  <wp:effectExtent l="0" t="0" r="0" b="0"/>
                  <wp:wrapNone/>
                  <wp:docPr id="1" name="Obrázek1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Obrázek1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"/>
                          <a:srcRect l="3173" t="8408" r="0" b="831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11375" cy="5403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482" w:type="dxa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Open Sans" w:hAnsi="Open Sans"/>
                <w:sz w:val="30"/>
                <w:szCs w:val="30"/>
              </w:rPr>
            </w:pPr>
            <w:r>
              <w:rPr>
                <w:rFonts w:ascii="Open Sans" w:hAnsi="Open Sans"/>
                <w:sz w:val="30"/>
                <w:szCs w:val="30"/>
              </w:rPr>
            </w:r>
          </w:p>
        </w:tc>
      </w:tr>
      <w:tr>
        <w:trPr>
          <w:trHeight w:val="536" w:hRule="atLeast"/>
        </w:trPr>
        <w:tc>
          <w:tcPr>
            <w:tcW w:w="9069" w:type="dxa"/>
            <w:gridSpan w:val="2"/>
            <w:tcBorders>
              <w:top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b/>
                <w:b/>
                <w:sz w:val="24"/>
              </w:rPr>
            </w:pPr>
            <w:r>
              <w:rPr>
                <w:rFonts w:ascii="Open Sans" w:hAnsi="Open Sans"/>
                <w:b/>
                <w:sz w:val="30"/>
                <w:szCs w:val="30"/>
              </w:rPr>
              <w:t>Vzorová smlouva o dílo</w:t>
            </w:r>
          </w:p>
        </w:tc>
      </w:tr>
    </w:tbl>
    <w:p>
      <w:pPr>
        <w:pStyle w:val="Normal"/>
        <w:pBdr>
          <w:bottom w:val="single" w:sz="4" w:space="1" w:color="00000A"/>
        </w:pBdr>
        <w:spacing w:before="240" w:after="60"/>
        <w:jc w:val="center"/>
        <w:rPr>
          <w:rFonts w:ascii="Open Sans" w:hAnsi="Open Sans"/>
          <w:sz w:val="20"/>
          <w:szCs w:val="20"/>
        </w:rPr>
      </w:pPr>
      <w:r>
        <w:rPr>
          <w:rFonts w:ascii="Open Sans" w:hAnsi="Open Sans"/>
          <w:sz w:val="20"/>
          <w:szCs w:val="20"/>
        </w:rPr>
      </w:r>
    </w:p>
    <w:p>
      <w:pPr>
        <w:pStyle w:val="Normal"/>
        <w:pBdr>
          <w:bottom w:val="single" w:sz="4" w:space="1" w:color="00000A"/>
        </w:pBdr>
        <w:spacing w:before="240" w:after="60"/>
        <w:jc w:val="left"/>
        <w:rPr>
          <w:rFonts w:ascii="Open Sans" w:hAnsi="Open Sans"/>
          <w:i/>
          <w:i/>
          <w:iCs/>
          <w:color w:val="FF00CC"/>
          <w:sz w:val="20"/>
          <w:szCs w:val="20"/>
        </w:rPr>
      </w:pPr>
      <w:r>
        <w:rPr>
          <w:rFonts w:ascii="Open Sans" w:hAnsi="Open Sans"/>
          <w:i/>
          <w:iCs/>
          <w:color w:val="FF00CC"/>
          <w:sz w:val="20"/>
          <w:szCs w:val="20"/>
        </w:rPr>
        <w:t>Smlouva slouží pouze jako podklad pro zpracování honoráře, není nutné vyplňovat jednotlivé položky.</w:t>
      </w:r>
    </w:p>
    <w:p>
      <w:pPr>
        <w:pStyle w:val="Normal"/>
        <w:pBdr>
          <w:bottom w:val="single" w:sz="4" w:space="1" w:color="00000A"/>
        </w:pBdr>
        <w:spacing w:before="240" w:after="60"/>
        <w:jc w:val="left"/>
        <w:rPr>
          <w:rFonts w:ascii="Open Sans" w:hAnsi="Open Sans"/>
          <w:i/>
          <w:i/>
          <w:iCs/>
          <w:color w:val="FF00CC"/>
          <w:sz w:val="20"/>
          <w:szCs w:val="20"/>
        </w:rPr>
      </w:pPr>
      <w:r>
        <w:rPr>
          <w:rFonts w:ascii="Open Sans" w:hAnsi="Open Sans"/>
          <w:i/>
          <w:iCs/>
          <w:color w:val="FF00CC"/>
          <w:sz w:val="20"/>
          <w:szCs w:val="20"/>
        </w:rPr>
      </w:r>
    </w:p>
    <w:p>
      <w:pPr>
        <w:pStyle w:val="Nadpis1"/>
        <w:pBdr>
          <w:bottom w:val="single" w:sz="4" w:space="1" w:color="00000A"/>
        </w:pBdr>
        <w:jc w:val="center"/>
        <w:rPr>
          <w:rFonts w:ascii="Open Sans" w:hAnsi="Open Sans"/>
          <w:sz w:val="20"/>
          <w:szCs w:val="20"/>
        </w:rPr>
      </w:pPr>
      <w:r>
        <w:rPr>
          <w:rFonts w:ascii="Open Sans" w:hAnsi="Open Sans"/>
          <w:sz w:val="20"/>
          <w:szCs w:val="20"/>
        </w:rPr>
        <w:t>smlouva o dílo</w:t>
      </w:r>
    </w:p>
    <w:p>
      <w:pPr>
        <w:pStyle w:val="Normal"/>
        <w:tabs>
          <w:tab w:val="left" w:pos="2835" w:leader="none"/>
        </w:tabs>
        <w:spacing w:before="0" w:after="0"/>
        <w:rPr>
          <w:rFonts w:ascii="Open Sans" w:hAnsi="Open Sans"/>
          <w:sz w:val="20"/>
          <w:szCs w:val="20"/>
        </w:rPr>
      </w:pPr>
      <w:r>
        <w:rPr>
          <w:rFonts w:ascii="Open Sans" w:hAnsi="Open Sans"/>
          <w:b/>
          <w:sz w:val="20"/>
          <w:szCs w:val="20"/>
        </w:rPr>
        <w:t>Město Tábor</w:t>
      </w:r>
    </w:p>
    <w:p>
      <w:pPr>
        <w:pStyle w:val="Normal"/>
        <w:tabs>
          <w:tab w:val="left" w:pos="2835" w:leader="none"/>
        </w:tabs>
        <w:spacing w:before="0" w:after="0"/>
        <w:rPr>
          <w:rFonts w:ascii="Open Sans" w:hAnsi="Open Sans"/>
          <w:sz w:val="20"/>
          <w:szCs w:val="20"/>
        </w:rPr>
      </w:pPr>
      <w:r>
        <w:rPr>
          <w:rFonts w:ascii="Open Sans" w:hAnsi="Open Sans"/>
          <w:sz w:val="20"/>
          <w:szCs w:val="20"/>
        </w:rPr>
        <w:t>se sídlem:</w:t>
        <w:tab/>
        <w:tab/>
        <w:t>Žižkovo náměstí 2, 390 15 Tábor</w:t>
      </w:r>
    </w:p>
    <w:p>
      <w:pPr>
        <w:pStyle w:val="Normal"/>
        <w:tabs>
          <w:tab w:val="left" w:pos="2835" w:leader="none"/>
        </w:tabs>
        <w:spacing w:before="0" w:after="0"/>
        <w:rPr>
          <w:rFonts w:ascii="Open Sans" w:hAnsi="Open Sans"/>
          <w:sz w:val="20"/>
          <w:szCs w:val="20"/>
        </w:rPr>
      </w:pPr>
      <w:r>
        <w:rPr>
          <w:rFonts w:ascii="Open Sans" w:hAnsi="Open Sans"/>
          <w:sz w:val="20"/>
          <w:szCs w:val="20"/>
        </w:rPr>
        <w:t>zastoupený:</w:t>
        <w:tab/>
        <w:tab/>
        <w:t>Ing. Štěpánem Pavlíkem, starostou</w:t>
      </w:r>
    </w:p>
    <w:p>
      <w:pPr>
        <w:pStyle w:val="Normal"/>
        <w:tabs>
          <w:tab w:val="left" w:pos="2835" w:leader="none"/>
        </w:tabs>
        <w:spacing w:before="0" w:after="0"/>
        <w:rPr>
          <w:rFonts w:ascii="Open Sans" w:hAnsi="Open Sans"/>
          <w:sz w:val="20"/>
          <w:szCs w:val="20"/>
        </w:rPr>
      </w:pPr>
      <w:r>
        <w:rPr>
          <w:rFonts w:ascii="Open Sans" w:hAnsi="Open Sans"/>
          <w:sz w:val="20"/>
          <w:szCs w:val="20"/>
        </w:rPr>
        <w:t>pověřen k jednání</w:t>
      </w:r>
    </w:p>
    <w:p>
      <w:pPr>
        <w:pStyle w:val="Normal"/>
        <w:tabs>
          <w:tab w:val="left" w:pos="2835" w:leader="none"/>
        </w:tabs>
        <w:spacing w:before="0" w:after="0"/>
        <w:rPr>
          <w:rFonts w:ascii="Open Sans" w:hAnsi="Open Sans"/>
          <w:sz w:val="20"/>
          <w:szCs w:val="20"/>
        </w:rPr>
      </w:pPr>
      <w:r>
        <w:rPr>
          <w:rFonts w:ascii="Open Sans" w:hAnsi="Open Sans"/>
          <w:sz w:val="20"/>
          <w:szCs w:val="20"/>
        </w:rPr>
        <w:t>ve věcech technických:</w:t>
        <w:tab/>
        <w:tab/>
        <w:t>Ing. Vlastimil Křemen, vedoucí odboru rozvoje</w:t>
      </w:r>
    </w:p>
    <w:p>
      <w:pPr>
        <w:pStyle w:val="Normal"/>
        <w:tabs>
          <w:tab w:val="left" w:pos="2835" w:leader="none"/>
        </w:tabs>
        <w:spacing w:before="0" w:after="0"/>
        <w:rPr>
          <w:rFonts w:ascii="Open Sans" w:hAnsi="Open Sans"/>
          <w:sz w:val="20"/>
          <w:szCs w:val="20"/>
        </w:rPr>
      </w:pPr>
      <w:r>
        <w:rPr>
          <w:rFonts w:ascii="Open Sans" w:hAnsi="Open Sans"/>
          <w:sz w:val="20"/>
          <w:szCs w:val="20"/>
        </w:rPr>
        <w:tab/>
        <w:tab/>
        <w:t>tel. 381 486 170, e-mail: vlastimil.kremen@mutabor.cz</w:t>
      </w:r>
    </w:p>
    <w:p>
      <w:pPr>
        <w:pStyle w:val="Normal"/>
        <w:tabs>
          <w:tab w:val="left" w:pos="2835" w:leader="none"/>
        </w:tabs>
        <w:spacing w:before="0" w:after="0"/>
        <w:rPr>
          <w:rFonts w:ascii="Open Sans" w:hAnsi="Open Sans"/>
          <w:sz w:val="20"/>
          <w:szCs w:val="20"/>
        </w:rPr>
      </w:pPr>
      <w:r>
        <w:rPr>
          <w:rFonts w:ascii="Open Sans" w:hAnsi="Open Sans"/>
          <w:sz w:val="20"/>
          <w:szCs w:val="20"/>
        </w:rPr>
        <w:t>IČ:</w:t>
        <w:tab/>
        <w:t>00253014</w:t>
      </w:r>
    </w:p>
    <w:p>
      <w:pPr>
        <w:pStyle w:val="Normal"/>
        <w:tabs>
          <w:tab w:val="left" w:pos="2835" w:leader="none"/>
        </w:tabs>
        <w:spacing w:before="0" w:after="0"/>
        <w:rPr>
          <w:rFonts w:ascii="Open Sans" w:hAnsi="Open Sans"/>
          <w:sz w:val="20"/>
          <w:szCs w:val="20"/>
        </w:rPr>
      </w:pPr>
      <w:r>
        <w:rPr>
          <w:rFonts w:ascii="Open Sans" w:hAnsi="Open Sans"/>
          <w:sz w:val="20"/>
          <w:szCs w:val="20"/>
        </w:rPr>
        <w:t>DIČ:</w:t>
        <w:tab/>
        <w:tab/>
        <w:t>CZ00253014</w:t>
      </w:r>
    </w:p>
    <w:p>
      <w:pPr>
        <w:pStyle w:val="Normal"/>
        <w:tabs>
          <w:tab w:val="left" w:pos="2835" w:leader="none"/>
        </w:tabs>
        <w:spacing w:before="0" w:after="0"/>
        <w:rPr>
          <w:rFonts w:ascii="Open Sans" w:hAnsi="Open Sans"/>
          <w:sz w:val="20"/>
          <w:szCs w:val="20"/>
        </w:rPr>
      </w:pPr>
      <w:r>
        <w:rPr>
          <w:rFonts w:ascii="Open Sans" w:hAnsi="Open Sans"/>
          <w:sz w:val="20"/>
          <w:szCs w:val="20"/>
        </w:rPr>
        <w:t>(dále jen „</w:t>
      </w:r>
      <w:r>
        <w:rPr>
          <w:rFonts w:ascii="Open Sans" w:hAnsi="Open Sans"/>
          <w:b/>
          <w:bCs/>
          <w:sz w:val="20"/>
          <w:szCs w:val="20"/>
        </w:rPr>
        <w:t>objednatel</w:t>
      </w:r>
      <w:r>
        <w:rPr>
          <w:rFonts w:ascii="Open Sans" w:hAnsi="Open Sans"/>
          <w:sz w:val="20"/>
          <w:szCs w:val="20"/>
        </w:rPr>
        <w:t>“)</w:t>
      </w:r>
    </w:p>
    <w:p>
      <w:pPr>
        <w:pStyle w:val="Normal"/>
        <w:spacing w:before="0" w:after="0"/>
        <w:rPr>
          <w:rFonts w:ascii="Open Sans" w:hAnsi="Open Sans"/>
          <w:sz w:val="20"/>
          <w:szCs w:val="20"/>
        </w:rPr>
      </w:pPr>
      <w:r>
        <w:rPr>
          <w:rFonts w:ascii="Open Sans" w:hAnsi="Open Sans"/>
          <w:sz w:val="20"/>
          <w:szCs w:val="20"/>
        </w:rPr>
        <w:t>a</w:t>
      </w:r>
    </w:p>
    <w:p>
      <w:pPr>
        <w:pStyle w:val="Normal"/>
        <w:spacing w:before="0" w:after="0"/>
        <w:rPr>
          <w:rFonts w:ascii="Open Sans" w:hAnsi="Open Sans"/>
          <w:sz w:val="20"/>
          <w:szCs w:val="20"/>
        </w:rPr>
      </w:pPr>
      <w:r>
        <w:rPr>
          <w:rFonts w:ascii="Open Sans" w:hAnsi="Open Sans"/>
          <w:sz w:val="20"/>
          <w:szCs w:val="20"/>
        </w:rPr>
      </w:r>
    </w:p>
    <w:p>
      <w:pPr>
        <w:pStyle w:val="Normal"/>
        <w:spacing w:before="0" w:after="0"/>
        <w:rPr>
          <w:rFonts w:ascii="Open Sans" w:hAnsi="Open Sans"/>
          <w:sz w:val="20"/>
          <w:szCs w:val="20"/>
        </w:rPr>
      </w:pPr>
      <w:r>
        <w:rPr>
          <w:rFonts w:ascii="Open Sans" w:hAnsi="Open Sans"/>
          <w:b/>
          <w:sz w:val="20"/>
          <w:szCs w:val="20"/>
        </w:rPr>
        <w:t>Zhotovitel</w:t>
        <w:tab/>
        <w:tab/>
        <w:tab/>
      </w:r>
    </w:p>
    <w:p>
      <w:pPr>
        <w:pStyle w:val="Normal"/>
        <w:spacing w:before="0" w:after="0"/>
        <w:ind w:left="2835" w:hanging="2835"/>
        <w:rPr>
          <w:rFonts w:ascii="Open Sans" w:hAnsi="Open Sans"/>
          <w:sz w:val="20"/>
          <w:szCs w:val="20"/>
        </w:rPr>
      </w:pPr>
      <w:r>
        <w:rPr>
          <w:rFonts w:ascii="Open Sans" w:hAnsi="Open Sans"/>
          <w:sz w:val="20"/>
          <w:szCs w:val="20"/>
        </w:rPr>
        <w:t>se sídlem:</w:t>
        <w:tab/>
        <w:t>xxxxxx</w:t>
      </w:r>
    </w:p>
    <w:p>
      <w:pPr>
        <w:pStyle w:val="Normal"/>
        <w:spacing w:before="0" w:after="0"/>
        <w:ind w:left="2835" w:hanging="2835"/>
        <w:rPr>
          <w:rFonts w:ascii="Open Sans" w:hAnsi="Open Sans"/>
          <w:sz w:val="20"/>
          <w:szCs w:val="20"/>
        </w:rPr>
      </w:pPr>
      <w:r>
        <w:rPr>
          <w:rFonts w:ascii="Open Sans" w:hAnsi="Open Sans"/>
          <w:sz w:val="20"/>
          <w:szCs w:val="20"/>
        </w:rPr>
        <w:t>zastoupený:</w:t>
        <w:tab/>
        <w:t>xxxxxx</w:t>
      </w:r>
    </w:p>
    <w:p>
      <w:pPr>
        <w:pStyle w:val="Normal"/>
        <w:spacing w:before="0" w:after="0"/>
        <w:jc w:val="left"/>
        <w:rPr>
          <w:rFonts w:ascii="Open Sans" w:hAnsi="Open Sans"/>
          <w:sz w:val="20"/>
          <w:szCs w:val="20"/>
        </w:rPr>
      </w:pPr>
      <w:r>
        <w:rPr>
          <w:rFonts w:ascii="Open Sans" w:hAnsi="Open Sans"/>
          <w:sz w:val="20"/>
          <w:szCs w:val="20"/>
        </w:rPr>
        <w:t>pověřen k jednání</w:t>
        <w:br/>
        <w:t>ve věcech technických:</w:t>
        <w:tab/>
        <w:t>xxxxxx</w:t>
      </w:r>
    </w:p>
    <w:p>
      <w:pPr>
        <w:pStyle w:val="Normal"/>
        <w:spacing w:before="0" w:after="0"/>
        <w:ind w:left="2835" w:hanging="2835"/>
        <w:rPr>
          <w:rFonts w:ascii="Open Sans" w:hAnsi="Open Sans"/>
          <w:sz w:val="20"/>
          <w:szCs w:val="20"/>
        </w:rPr>
      </w:pPr>
      <w:r>
        <w:rPr>
          <w:rFonts w:ascii="Open Sans" w:hAnsi="Open Sans"/>
          <w:sz w:val="20"/>
          <w:szCs w:val="20"/>
        </w:rPr>
        <w:t>IČO:</w:t>
        <w:tab/>
        <w:tab/>
        <w:t>xxxxxx</w:t>
      </w:r>
    </w:p>
    <w:p>
      <w:pPr>
        <w:pStyle w:val="Normal"/>
        <w:spacing w:before="0" w:after="0"/>
        <w:ind w:left="2835" w:hanging="2835"/>
        <w:rPr>
          <w:rFonts w:ascii="Open Sans" w:hAnsi="Open Sans"/>
          <w:sz w:val="20"/>
          <w:szCs w:val="20"/>
        </w:rPr>
      </w:pPr>
      <w:r>
        <w:rPr>
          <w:rFonts w:ascii="Open Sans" w:hAnsi="Open Sans"/>
          <w:sz w:val="20"/>
          <w:szCs w:val="20"/>
        </w:rPr>
        <w:t>DIČ:</w:t>
        <w:tab/>
        <w:t>xxxxxx</w:t>
      </w:r>
    </w:p>
    <w:p>
      <w:pPr>
        <w:pStyle w:val="Normal"/>
        <w:spacing w:before="0" w:after="0"/>
        <w:ind w:left="2835" w:hanging="2835"/>
        <w:rPr>
          <w:rFonts w:ascii="Open Sans" w:hAnsi="Open Sans"/>
          <w:sz w:val="20"/>
          <w:szCs w:val="20"/>
        </w:rPr>
      </w:pPr>
      <w:r>
        <w:rPr>
          <w:rFonts w:ascii="Open Sans" w:hAnsi="Open Sans"/>
          <w:sz w:val="20"/>
          <w:szCs w:val="20"/>
        </w:rPr>
        <w:t>(dále jen „</w:t>
      </w:r>
      <w:r>
        <w:rPr>
          <w:rFonts w:ascii="Open Sans" w:hAnsi="Open Sans"/>
          <w:b/>
          <w:bCs/>
          <w:sz w:val="20"/>
          <w:szCs w:val="20"/>
        </w:rPr>
        <w:t>zhotovitel</w:t>
      </w:r>
      <w:r>
        <w:rPr>
          <w:rFonts w:ascii="Open Sans" w:hAnsi="Open Sans"/>
          <w:sz w:val="20"/>
          <w:szCs w:val="20"/>
        </w:rPr>
        <w:t>“)</w:t>
      </w:r>
    </w:p>
    <w:p>
      <w:pPr>
        <w:pStyle w:val="Normal"/>
        <w:spacing w:before="0" w:after="0"/>
        <w:rPr>
          <w:rFonts w:ascii="Open Sans" w:hAnsi="Open Sans"/>
          <w:sz w:val="20"/>
          <w:szCs w:val="20"/>
        </w:rPr>
      </w:pPr>
      <w:r>
        <w:rPr>
          <w:rFonts w:ascii="Open Sans" w:hAnsi="Open Sans"/>
          <w:sz w:val="20"/>
          <w:szCs w:val="20"/>
        </w:rPr>
      </w:r>
    </w:p>
    <w:p>
      <w:pPr>
        <w:pStyle w:val="Normal"/>
        <w:rPr>
          <w:rFonts w:ascii="Open Sans" w:hAnsi="Open Sans"/>
          <w:sz w:val="20"/>
          <w:szCs w:val="20"/>
        </w:rPr>
      </w:pPr>
      <w:r>
        <w:rPr>
          <w:rFonts w:ascii="Open Sans" w:hAnsi="Open Sans"/>
          <w:sz w:val="20"/>
          <w:szCs w:val="20"/>
        </w:rPr>
        <w:t>Objednatel a Zhotovitel dále také společně jako „</w:t>
      </w:r>
      <w:r>
        <w:rPr>
          <w:rFonts w:ascii="Open Sans" w:hAnsi="Open Sans"/>
          <w:b/>
          <w:sz w:val="20"/>
          <w:szCs w:val="20"/>
        </w:rPr>
        <w:t>Smluvní strany</w:t>
      </w:r>
      <w:r>
        <w:rPr>
          <w:rFonts w:ascii="Open Sans" w:hAnsi="Open Sans"/>
          <w:sz w:val="20"/>
          <w:szCs w:val="20"/>
        </w:rPr>
        <w:t>“ a každý samostatně jako „</w:t>
      </w:r>
      <w:r>
        <w:rPr>
          <w:rFonts w:ascii="Open Sans" w:hAnsi="Open Sans"/>
          <w:b/>
          <w:sz w:val="20"/>
          <w:szCs w:val="20"/>
        </w:rPr>
        <w:t>Smluvní strana</w:t>
      </w:r>
      <w:r>
        <w:rPr>
          <w:rFonts w:ascii="Open Sans" w:hAnsi="Open Sans"/>
          <w:sz w:val="20"/>
          <w:szCs w:val="20"/>
        </w:rPr>
        <w:t>“ uzavírají níže uvedeného dne, měsíce a roku v souladu s ustanovením § 2586 a násl. zákona č. 89/2012 Sb., občanský zákoník, ve znění pozdějších předpisů, tuto</w:t>
      </w:r>
    </w:p>
    <w:p>
      <w:pPr>
        <w:pStyle w:val="Normal"/>
        <w:jc w:val="center"/>
        <w:rPr>
          <w:rFonts w:ascii="Open Sans" w:hAnsi="Open Sans"/>
          <w:sz w:val="20"/>
          <w:szCs w:val="20"/>
        </w:rPr>
      </w:pPr>
      <w:r>
        <w:rPr>
          <w:rFonts w:ascii="Open Sans" w:hAnsi="Open Sans"/>
          <w:b/>
          <w:sz w:val="20"/>
          <w:szCs w:val="20"/>
        </w:rPr>
        <w:t>Smlouvu o dílo</w:t>
      </w:r>
    </w:p>
    <w:p>
      <w:pPr>
        <w:pStyle w:val="Normal"/>
        <w:spacing w:before="0" w:after="0"/>
        <w:jc w:val="center"/>
        <w:rPr>
          <w:rFonts w:ascii="Open Sans" w:hAnsi="Open Sans"/>
          <w:sz w:val="20"/>
          <w:szCs w:val="20"/>
        </w:rPr>
      </w:pPr>
      <w:r>
        <w:rPr>
          <w:rFonts w:ascii="Open Sans" w:hAnsi="Open Sans"/>
          <w:sz w:val="20"/>
          <w:szCs w:val="20"/>
        </w:rPr>
        <w:t>(dále jen „</w:t>
      </w:r>
      <w:r>
        <w:rPr>
          <w:rFonts w:ascii="Open Sans" w:hAnsi="Open Sans"/>
          <w:b/>
          <w:sz w:val="20"/>
          <w:szCs w:val="20"/>
        </w:rPr>
        <w:t>Smlouva</w:t>
      </w:r>
      <w:r>
        <w:rPr>
          <w:rFonts w:ascii="Open Sans" w:hAnsi="Open Sans"/>
          <w:sz w:val="20"/>
          <w:szCs w:val="20"/>
        </w:rPr>
        <w:t>“)</w:t>
      </w:r>
    </w:p>
    <w:p>
      <w:pPr>
        <w:pStyle w:val="Normal"/>
        <w:spacing w:before="0" w:after="0"/>
        <w:jc w:val="center"/>
        <w:rPr>
          <w:rFonts w:ascii="Open Sans" w:hAnsi="Open Sans"/>
          <w:sz w:val="20"/>
          <w:szCs w:val="20"/>
        </w:rPr>
      </w:pPr>
      <w:r>
        <w:rPr>
          <w:rFonts w:ascii="Open Sans" w:hAnsi="Open Sans"/>
          <w:sz w:val="20"/>
          <w:szCs w:val="20"/>
        </w:rPr>
      </w:r>
    </w:p>
    <w:p>
      <w:pPr>
        <w:pStyle w:val="Nadpis2"/>
        <w:rPr>
          <w:rFonts w:ascii="Open Sans" w:hAnsi="Open Sans"/>
          <w:sz w:val="20"/>
          <w:szCs w:val="20"/>
        </w:rPr>
      </w:pPr>
      <w:r>
        <w:rPr>
          <w:rFonts w:ascii="Open Sans" w:hAnsi="Open Sans"/>
          <w:sz w:val="20"/>
          <w:szCs w:val="20"/>
        </w:rPr>
        <w:t xml:space="preserve">I. </w:t>
      </w:r>
    </w:p>
    <w:p>
      <w:pPr>
        <w:pStyle w:val="Nadpis2"/>
        <w:rPr>
          <w:rFonts w:ascii="Open Sans" w:hAnsi="Open Sans"/>
          <w:sz w:val="20"/>
          <w:szCs w:val="20"/>
        </w:rPr>
      </w:pPr>
      <w:r>
        <w:rPr>
          <w:rFonts w:ascii="Open Sans" w:hAnsi="Open Sans"/>
          <w:sz w:val="20"/>
          <w:szCs w:val="20"/>
        </w:rPr>
        <w:t>Předmět smlouvy</w:t>
      </w:r>
    </w:p>
    <w:p>
      <w:pPr>
        <w:pStyle w:val="ListBullet3"/>
        <w:numPr>
          <w:ilvl w:val="0"/>
          <w:numId w:val="2"/>
        </w:numPr>
        <w:rPr>
          <w:rFonts w:ascii="Open Sans" w:hAnsi="Open Sans"/>
          <w:sz w:val="20"/>
          <w:szCs w:val="20"/>
        </w:rPr>
      </w:pPr>
      <w:r>
        <w:rPr>
          <w:rFonts w:ascii="Open Sans" w:hAnsi="Open Sans"/>
          <w:sz w:val="20"/>
          <w:szCs w:val="20"/>
        </w:rPr>
        <w:t xml:space="preserve">Předmětem díla je zpracování „Územní studie – Obytná čtvrť Dvroce, Tábor“ podle požadavků objednatele (dále jen „dílo“). Podrobnější specifikace rozsahu a členění díla je uvedena v Zadání územní studie, které tvoří přílohu č. 1 této smlouvy. Územní studie má sloužit jako komplexní územně plánovací podklad pro stavební rozvoj území. </w:t>
      </w:r>
    </w:p>
    <w:p>
      <w:pPr>
        <w:pStyle w:val="ListBullet3"/>
        <w:numPr>
          <w:ilvl w:val="0"/>
          <w:numId w:val="2"/>
        </w:numPr>
        <w:ind w:left="454" w:hanging="454"/>
        <w:rPr>
          <w:rFonts w:ascii="Open Sans" w:hAnsi="Open Sans"/>
          <w:sz w:val="20"/>
          <w:szCs w:val="20"/>
        </w:rPr>
      </w:pPr>
      <w:r>
        <w:rPr>
          <w:rFonts w:ascii="Open Sans" w:hAnsi="Open Sans"/>
          <w:sz w:val="20"/>
          <w:szCs w:val="20"/>
        </w:rPr>
        <w:t>Dílo dle bodu 1. tohoto článku bude zhotoveno v těchto výkonových fázích:</w:t>
      </w:r>
    </w:p>
    <w:p>
      <w:pPr>
        <w:pStyle w:val="Tlotextu"/>
        <w:ind w:left="283" w:hanging="0"/>
        <w:rPr>
          <w:rFonts w:ascii="Open Sans" w:hAnsi="Open Sans"/>
          <w:color w:val="000000"/>
          <w:sz w:val="20"/>
          <w:szCs w:val="20"/>
        </w:rPr>
      </w:pPr>
      <w:r>
        <w:rPr>
          <w:rFonts w:ascii="Open Sans" w:hAnsi="Open Sans"/>
          <w:color w:val="000000"/>
          <w:sz w:val="20"/>
          <w:szCs w:val="20"/>
        </w:rPr>
      </w:r>
    </w:p>
    <w:p>
      <w:pPr>
        <w:pStyle w:val="Tlotextu"/>
        <w:ind w:left="283" w:hanging="0"/>
        <w:rPr>
          <w:rFonts w:ascii="Open Sans" w:hAnsi="Open Sans"/>
          <w:sz w:val="20"/>
          <w:szCs w:val="20"/>
        </w:rPr>
      </w:pPr>
      <w:bookmarkStart w:id="0" w:name="docs-internal-guid-593d1a8f-7fff-8c10-0f"/>
      <w:bookmarkEnd w:id="0"/>
      <w:r>
        <w:rPr>
          <w:rFonts w:ascii="Open Sans" w:hAnsi="Open Sans"/>
          <w:b/>
          <w:bCs/>
          <w:color w:val="000000"/>
          <w:sz w:val="20"/>
          <w:szCs w:val="20"/>
        </w:rPr>
        <w:t xml:space="preserve">VFS 1 </w:t>
      </w:r>
      <w:r>
        <w:rPr>
          <w:rFonts w:ascii="Open Sans" w:hAnsi="Open Sans"/>
          <w:color w:val="000000"/>
          <w:sz w:val="20"/>
          <w:szCs w:val="20"/>
        </w:rPr>
        <w:t>Příprava prací a konzultace pro zadání potřebných dodatečných podkladů, průzkumů a rozborů. Spolupráce při tvorbě zadání územní studie s pořizovatelem. </w:t>
      </w:r>
    </w:p>
    <w:p>
      <w:pPr>
        <w:pStyle w:val="Tlotextu"/>
        <w:ind w:left="283" w:hanging="0"/>
        <w:rPr>
          <w:rFonts w:ascii="Open Sans" w:hAnsi="Open Sans"/>
          <w:sz w:val="20"/>
          <w:szCs w:val="20"/>
        </w:rPr>
      </w:pPr>
      <w:r>
        <w:rPr>
          <w:rFonts w:ascii="Open Sans" w:hAnsi="Open Sans"/>
          <w:b/>
          <w:bCs/>
          <w:color w:val="000000"/>
          <w:sz w:val="20"/>
          <w:szCs w:val="20"/>
        </w:rPr>
        <w:t xml:space="preserve">VFS 2 </w:t>
      </w:r>
      <w:r>
        <w:rPr>
          <w:rFonts w:ascii="Open Sans" w:hAnsi="Open Sans"/>
          <w:color w:val="000000"/>
          <w:sz w:val="20"/>
          <w:szCs w:val="20"/>
        </w:rPr>
        <w:t>Zpracování návrhu územní studie jako dopracování urbanistické studie vzešlé ze soutěžního workshopu pro účely projednání. </w:t>
      </w:r>
    </w:p>
    <w:p>
      <w:pPr>
        <w:pStyle w:val="Tlotextu"/>
        <w:ind w:left="283" w:hanging="0"/>
        <w:rPr>
          <w:rFonts w:ascii="Open Sans" w:hAnsi="Open Sans"/>
          <w:sz w:val="20"/>
          <w:szCs w:val="20"/>
        </w:rPr>
      </w:pPr>
      <w:r>
        <w:rPr>
          <w:rFonts w:ascii="Open Sans" w:hAnsi="Open Sans"/>
          <w:b/>
          <w:bCs/>
          <w:color w:val="000000"/>
          <w:sz w:val="20"/>
          <w:szCs w:val="20"/>
        </w:rPr>
        <w:t xml:space="preserve">VFS 3 </w:t>
      </w:r>
      <w:r>
        <w:rPr>
          <w:rFonts w:ascii="Open Sans" w:hAnsi="Open Sans"/>
          <w:color w:val="000000"/>
          <w:sz w:val="20"/>
          <w:szCs w:val="20"/>
        </w:rPr>
        <w:t>Projednání územní studie s pořizovatelem, DOSS, majiteli technické infrastruktury, městem Tábor, aktéry území a občany. Vyhodnocení výsledků projednání ve spolupráci s pořizovatelem a objednatelem.</w:t>
      </w:r>
    </w:p>
    <w:p>
      <w:pPr>
        <w:pStyle w:val="Tlotextu"/>
        <w:ind w:left="283" w:hanging="0"/>
        <w:rPr>
          <w:rFonts w:ascii="Open Sans" w:hAnsi="Open Sans"/>
          <w:sz w:val="20"/>
          <w:szCs w:val="20"/>
        </w:rPr>
      </w:pPr>
      <w:r>
        <w:rPr>
          <w:rFonts w:ascii="Open Sans" w:hAnsi="Open Sans"/>
          <w:b/>
          <w:bCs/>
          <w:color w:val="000000"/>
          <w:sz w:val="20"/>
          <w:szCs w:val="20"/>
        </w:rPr>
        <w:t xml:space="preserve">VFS 4 </w:t>
      </w:r>
      <w:r>
        <w:rPr>
          <w:rFonts w:ascii="Open Sans" w:hAnsi="Open Sans"/>
          <w:color w:val="000000"/>
          <w:sz w:val="20"/>
          <w:szCs w:val="20"/>
        </w:rPr>
        <w:t xml:space="preserve">Zpracování konečného návrhu územního studie se zapracováním požadavků a připomínek z projednání, předání dokončeného díla pořizovateli. </w:t>
      </w:r>
    </w:p>
    <w:p>
      <w:pPr>
        <w:pStyle w:val="ListBullet3"/>
        <w:numPr>
          <w:ilvl w:val="0"/>
          <w:numId w:val="2"/>
        </w:numPr>
        <w:ind w:left="454" w:hanging="454"/>
        <w:rPr>
          <w:rFonts w:ascii="Open Sans" w:hAnsi="Open Sans"/>
          <w:sz w:val="20"/>
          <w:szCs w:val="20"/>
        </w:rPr>
      </w:pPr>
      <w:r>
        <w:rPr>
          <w:rFonts w:ascii="Open Sans" w:hAnsi="Open Sans"/>
          <w:sz w:val="20"/>
          <w:szCs w:val="20"/>
        </w:rPr>
        <w:t>Dílo dle bodu 2. tohoto článku bud předáno pro účely projednání ve dvou kompletních tištěných vyhotoveních, konečný návrh v šesti kompletních tištěných vyhotoveních a současně v digitální formě – CD/DVD/datový nosič.</w:t>
      </w:r>
    </w:p>
    <w:p>
      <w:pPr>
        <w:pStyle w:val="ListBullet3"/>
        <w:numPr>
          <w:ilvl w:val="0"/>
          <w:numId w:val="2"/>
        </w:numPr>
        <w:rPr>
          <w:rFonts w:ascii="Open Sans" w:hAnsi="Open Sans"/>
          <w:sz w:val="20"/>
          <w:szCs w:val="20"/>
        </w:rPr>
      </w:pPr>
      <w:r>
        <w:rPr>
          <w:rFonts w:ascii="Open Sans" w:hAnsi="Open Sans"/>
          <w:sz w:val="20"/>
          <w:szCs w:val="20"/>
        </w:rPr>
        <w:t xml:space="preserve">  </w:t>
      </w:r>
      <w:r>
        <w:rPr>
          <w:rFonts w:ascii="Open Sans" w:hAnsi="Open Sans"/>
          <w:sz w:val="20"/>
          <w:szCs w:val="20"/>
        </w:rPr>
        <w:t>Územní studie bude zpracována podle ustanovení stavebního zákona č. 183/2006 Sb., ve znění pozdějších předpisů a jeho prováděcích vyhlášek.</w:t>
      </w:r>
    </w:p>
    <w:p>
      <w:pPr>
        <w:pStyle w:val="ListBullet3"/>
        <w:numPr>
          <w:ilvl w:val="0"/>
          <w:numId w:val="2"/>
        </w:numPr>
        <w:ind w:left="454" w:hanging="454"/>
        <w:rPr>
          <w:rFonts w:ascii="Open Sans" w:hAnsi="Open Sans"/>
          <w:sz w:val="20"/>
          <w:szCs w:val="20"/>
        </w:rPr>
      </w:pPr>
      <w:r>
        <w:rPr>
          <w:rFonts w:ascii="Open Sans" w:hAnsi="Open Sans"/>
          <w:sz w:val="20"/>
          <w:szCs w:val="20"/>
        </w:rPr>
        <w:t xml:space="preserve">Veškeré odchylky od předmětu díla mohou být prováděny zhotovitelem pouze tehdy, budou-li písemně odsouhlaseny objednatelem. </w:t>
      </w:r>
    </w:p>
    <w:p>
      <w:pPr>
        <w:pStyle w:val="Normal"/>
        <w:rPr>
          <w:rFonts w:ascii="Open Sans" w:hAnsi="Open Sans"/>
          <w:sz w:val="20"/>
          <w:szCs w:val="20"/>
        </w:rPr>
      </w:pPr>
      <w:r>
        <w:rPr>
          <w:rFonts w:ascii="Open Sans" w:hAnsi="Open Sans"/>
          <w:sz w:val="20"/>
          <w:szCs w:val="20"/>
        </w:rPr>
      </w:r>
    </w:p>
    <w:p>
      <w:pPr>
        <w:pStyle w:val="Nadpis2"/>
        <w:rPr>
          <w:rFonts w:ascii="Open Sans" w:hAnsi="Open Sans"/>
          <w:sz w:val="20"/>
          <w:szCs w:val="20"/>
        </w:rPr>
      </w:pPr>
      <w:r>
        <w:rPr>
          <w:rFonts w:ascii="Open Sans" w:hAnsi="Open Sans"/>
          <w:sz w:val="20"/>
          <w:szCs w:val="20"/>
        </w:rPr>
        <w:t xml:space="preserve">II. </w:t>
      </w:r>
    </w:p>
    <w:p>
      <w:pPr>
        <w:pStyle w:val="Nadpis2"/>
        <w:rPr>
          <w:rFonts w:ascii="Open Sans" w:hAnsi="Open Sans"/>
          <w:sz w:val="20"/>
          <w:szCs w:val="20"/>
        </w:rPr>
      </w:pPr>
      <w:r>
        <w:rPr>
          <w:rFonts w:ascii="Open Sans" w:hAnsi="Open Sans"/>
          <w:sz w:val="20"/>
          <w:szCs w:val="20"/>
        </w:rPr>
        <w:t>Doba plnění díla</w:t>
      </w:r>
    </w:p>
    <w:p>
      <w:pPr>
        <w:pStyle w:val="ListBullet3"/>
        <w:numPr>
          <w:ilvl w:val="0"/>
          <w:numId w:val="3"/>
        </w:numPr>
        <w:ind w:left="454" w:hanging="454"/>
        <w:rPr>
          <w:rFonts w:ascii="Open Sans" w:hAnsi="Open Sans"/>
          <w:sz w:val="20"/>
          <w:szCs w:val="20"/>
        </w:rPr>
      </w:pPr>
      <w:r>
        <w:rPr>
          <w:rFonts w:ascii="Open Sans" w:hAnsi="Open Sans"/>
          <w:caps/>
          <w:sz w:val="20"/>
          <w:szCs w:val="20"/>
        </w:rPr>
        <w:t>Z</w:t>
      </w:r>
      <w:r>
        <w:rPr>
          <w:rFonts w:ascii="Open Sans" w:hAnsi="Open Sans"/>
          <w:sz w:val="20"/>
          <w:szCs w:val="20"/>
        </w:rPr>
        <w:t>hotovitel se zavazuje zhotovit a dokončené dílo předat objednateli dle jeho pokynů, tak aby nedošlo ke zbytečným průtahům v plnění díla a v návaznosti na plnění jednotlivých výkonových fází.</w:t>
      </w:r>
    </w:p>
    <w:p>
      <w:pPr>
        <w:pStyle w:val="ListBullet3"/>
        <w:numPr>
          <w:ilvl w:val="0"/>
          <w:numId w:val="3"/>
        </w:numPr>
        <w:ind w:left="454" w:hanging="454"/>
        <w:rPr>
          <w:rFonts w:ascii="Open Sans" w:hAnsi="Open Sans"/>
          <w:sz w:val="20"/>
          <w:szCs w:val="20"/>
        </w:rPr>
      </w:pPr>
      <w:r>
        <w:rPr>
          <w:rFonts w:ascii="Open Sans" w:hAnsi="Open Sans"/>
          <w:sz w:val="20"/>
          <w:szCs w:val="20"/>
        </w:rPr>
        <w:t>Smluvní strany se dohodly na následujícících termínech plnění jednotlivých výkonových fází dle článku II. této smlouvy:</w:t>
      </w:r>
    </w:p>
    <w:p>
      <w:pPr>
        <w:pStyle w:val="ListBullet3"/>
        <w:ind w:left="283" w:hanging="0"/>
        <w:rPr>
          <w:rFonts w:ascii="Open Sans" w:hAnsi="Open Sans"/>
          <w:sz w:val="20"/>
          <w:szCs w:val="20"/>
        </w:rPr>
      </w:pPr>
      <w:r>
        <w:rPr>
          <w:rFonts w:ascii="Open Sans" w:hAnsi="Open Sans"/>
          <w:sz w:val="20"/>
          <w:szCs w:val="20"/>
        </w:rPr>
        <w:t xml:space="preserve">VFS 1: Zhotovitel se zavazuje spolupracovat s pořizovatelem po celou dobu tvorby zadání územní studie a zadání dodatečných průzkumů a rozborů. </w:t>
      </w:r>
    </w:p>
    <w:p>
      <w:pPr>
        <w:pStyle w:val="ListBullet3"/>
        <w:ind w:left="283" w:hanging="0"/>
        <w:rPr>
          <w:rFonts w:ascii="Open Sans" w:hAnsi="Open Sans"/>
          <w:sz w:val="20"/>
          <w:szCs w:val="20"/>
        </w:rPr>
      </w:pPr>
      <w:r>
        <w:rPr>
          <w:rFonts w:ascii="Open Sans" w:hAnsi="Open Sans"/>
          <w:sz w:val="20"/>
          <w:szCs w:val="20"/>
        </w:rPr>
        <w:t xml:space="preserve">VFS 2: Zhotovitel se zavazuje předat objednateli návrh územní studie </w:t>
      </w:r>
      <w:r>
        <w:rPr>
          <w:rFonts w:ascii="Open Sans" w:hAnsi="Open Sans"/>
          <w:b/>
          <w:bCs/>
          <w:sz w:val="20"/>
          <w:szCs w:val="20"/>
        </w:rPr>
        <w:t>do 60 kalendářních dnů</w:t>
      </w:r>
      <w:r>
        <w:rPr>
          <w:rFonts w:ascii="Open Sans" w:hAnsi="Open Sans"/>
          <w:sz w:val="20"/>
          <w:szCs w:val="20"/>
        </w:rPr>
        <w:t xml:space="preserve"> od výzvy objednatele a předání zadání územní studie. </w:t>
      </w:r>
    </w:p>
    <w:p>
      <w:pPr>
        <w:pStyle w:val="ListBullet3"/>
        <w:ind w:left="283" w:hanging="0"/>
        <w:rPr>
          <w:rFonts w:ascii="Open Sans" w:hAnsi="Open Sans"/>
          <w:sz w:val="20"/>
          <w:szCs w:val="20"/>
        </w:rPr>
      </w:pPr>
      <w:r>
        <w:rPr>
          <w:rFonts w:ascii="Open Sans" w:hAnsi="Open Sans"/>
          <w:sz w:val="20"/>
          <w:szCs w:val="20"/>
        </w:rPr>
        <w:t xml:space="preserve">VFS 3: Zhotovitel se zavazuje spolupracovat s pořizovatelem po celou dobu projednávání územní studie a účastnit se všech jednání. </w:t>
      </w:r>
    </w:p>
    <w:p>
      <w:pPr>
        <w:pStyle w:val="ListBullet3"/>
        <w:ind w:left="283" w:hanging="0"/>
        <w:rPr>
          <w:rFonts w:ascii="Open Sans" w:hAnsi="Open Sans"/>
          <w:sz w:val="20"/>
          <w:szCs w:val="20"/>
        </w:rPr>
      </w:pPr>
      <w:r>
        <w:rPr>
          <w:rFonts w:ascii="Open Sans" w:hAnsi="Open Sans"/>
          <w:sz w:val="20"/>
          <w:szCs w:val="20"/>
        </w:rPr>
        <w:t xml:space="preserve">VFS 4: Zhotovitel se zavazuje předat objednateli konečný návrh územní studie </w:t>
      </w:r>
      <w:r>
        <w:rPr>
          <w:rFonts w:ascii="Open Sans" w:hAnsi="Open Sans"/>
          <w:b/>
          <w:bCs/>
          <w:sz w:val="20"/>
          <w:szCs w:val="20"/>
        </w:rPr>
        <w:t>do 30 kalendářních dnů</w:t>
      </w:r>
      <w:r>
        <w:rPr>
          <w:rFonts w:ascii="Open Sans" w:hAnsi="Open Sans"/>
          <w:sz w:val="20"/>
          <w:szCs w:val="20"/>
        </w:rPr>
        <w:t xml:space="preserve"> od výzvy objednatele a předání výsledků vyhodnocení projednání. </w:t>
      </w:r>
    </w:p>
    <w:p>
      <w:pPr>
        <w:pStyle w:val="ListBullet3"/>
        <w:numPr>
          <w:ilvl w:val="0"/>
          <w:numId w:val="3"/>
        </w:numPr>
        <w:ind w:left="454" w:hanging="454"/>
        <w:rPr>
          <w:rFonts w:ascii="Open Sans" w:hAnsi="Open Sans"/>
          <w:sz w:val="20"/>
          <w:szCs w:val="20"/>
        </w:rPr>
      </w:pPr>
      <w:r>
        <w:rPr>
          <w:rFonts w:ascii="Open Sans" w:hAnsi="Open Sans"/>
          <w:sz w:val="20"/>
          <w:szCs w:val="20"/>
        </w:rPr>
        <w:t>Zhotovitel je povinen jednotlivé části díla předat objednateli na adrese jeho sídla uvedené v záhlaví této smlouvy nejpozději v poslední den lhůt stanovených výše v odstavci 2 tohoto článku a objednatel je povinen danou část díla od zhotovitele převzít. Připadne-li poslední den lhůty na sobotu, neděli nebo svátek, je posledním dnem lhůty nejbližší příští pracovní den.</w:t>
      </w:r>
    </w:p>
    <w:p>
      <w:pPr>
        <w:pStyle w:val="Normal"/>
        <w:rPr>
          <w:rFonts w:ascii="Open Sans" w:hAnsi="Open Sans"/>
          <w:sz w:val="20"/>
          <w:szCs w:val="20"/>
        </w:rPr>
      </w:pPr>
      <w:r>
        <w:rPr>
          <w:rFonts w:ascii="Open Sans" w:hAnsi="Open Sans"/>
          <w:sz w:val="20"/>
          <w:szCs w:val="20"/>
        </w:rPr>
      </w:r>
    </w:p>
    <w:p>
      <w:pPr>
        <w:pStyle w:val="Nadpis2"/>
        <w:rPr>
          <w:rFonts w:ascii="Open Sans" w:hAnsi="Open Sans"/>
          <w:sz w:val="20"/>
          <w:szCs w:val="20"/>
        </w:rPr>
      </w:pPr>
      <w:r>
        <w:rPr>
          <w:rFonts w:ascii="Open Sans" w:hAnsi="Open Sans"/>
          <w:sz w:val="20"/>
          <w:szCs w:val="20"/>
        </w:rPr>
        <w:t xml:space="preserve">III. </w:t>
      </w:r>
    </w:p>
    <w:p>
      <w:pPr>
        <w:pStyle w:val="Nadpis2"/>
        <w:rPr>
          <w:rFonts w:ascii="Open Sans" w:hAnsi="Open Sans"/>
          <w:sz w:val="20"/>
          <w:szCs w:val="20"/>
        </w:rPr>
      </w:pPr>
      <w:r>
        <w:rPr>
          <w:rFonts w:ascii="Open Sans" w:hAnsi="Open Sans"/>
          <w:sz w:val="20"/>
          <w:szCs w:val="20"/>
        </w:rPr>
        <w:t xml:space="preserve">Cena díla </w:t>
      </w:r>
    </w:p>
    <w:p>
      <w:pPr>
        <w:pStyle w:val="ListBullet3"/>
        <w:numPr>
          <w:ilvl w:val="0"/>
          <w:numId w:val="4"/>
        </w:numPr>
        <w:ind w:left="454" w:hanging="454"/>
        <w:rPr>
          <w:rFonts w:ascii="Open Sans" w:hAnsi="Open Sans"/>
          <w:sz w:val="20"/>
          <w:szCs w:val="20"/>
        </w:rPr>
      </w:pPr>
      <w:r>
        <w:rPr>
          <w:rFonts w:ascii="Open Sans" w:hAnsi="Open Sans"/>
          <w:sz w:val="20"/>
          <w:szCs w:val="20"/>
        </w:rPr>
        <w:t>Cena za dílo specifikované v čl. I. této smlouvy je sjednána dohodou v souladu se zákonem č. 526/1990 Sb., o cenách ve znění pozdějších předpisů. Obsahuje veškeré nezbytné náklady nutné k realizaci předmětu zakázky v rozsahu veškerých služeb požadovaných v zadání územní studie.</w:t>
      </w:r>
    </w:p>
    <w:p>
      <w:pPr>
        <w:pStyle w:val="ListBullet3"/>
        <w:numPr>
          <w:ilvl w:val="0"/>
          <w:numId w:val="4"/>
        </w:numPr>
        <w:ind w:left="454" w:hanging="454"/>
        <w:rPr>
          <w:rFonts w:ascii="Open Sans" w:hAnsi="Open Sans"/>
          <w:sz w:val="20"/>
          <w:szCs w:val="20"/>
        </w:rPr>
      </w:pPr>
      <w:r>
        <w:rPr>
          <w:rFonts w:ascii="Open Sans" w:hAnsi="Open Sans"/>
          <w:sz w:val="20"/>
          <w:szCs w:val="20"/>
        </w:rPr>
        <w:t>Celková cena za dílo je stanovena jako nejvýše přípustná a činí xxx xxx Kč vč. 21 % DPH (slovy: xxxxxx korun českých), cena bez DPH xxx xxx Kč a 21 % DPH xxx xxx Kč.</w:t>
      </w:r>
    </w:p>
    <w:p>
      <w:pPr>
        <w:pStyle w:val="Normln1"/>
        <w:keepNext/>
        <w:rPr>
          <w:rFonts w:ascii="Open Sans" w:hAnsi="Open Sans"/>
          <w:sz w:val="20"/>
          <w:szCs w:val="20"/>
        </w:rPr>
      </w:pPr>
      <w:r>
        <w:rPr>
          <w:rFonts w:ascii="Open Sans" w:hAnsi="Open Sans"/>
          <w:sz w:val="20"/>
          <w:szCs w:val="20"/>
        </w:rPr>
        <w:t>Z toho cena jednotlivých výkonových fází díla činí vč. 21 % DPH:</w:t>
      </w:r>
    </w:p>
    <w:p>
      <w:pPr>
        <w:pStyle w:val="Normal"/>
        <w:keepNext/>
        <w:spacing w:before="0" w:after="0"/>
        <w:ind w:left="2126" w:hanging="0"/>
        <w:rPr>
          <w:rFonts w:ascii="Open Sans" w:hAnsi="Open Sans"/>
          <w:sz w:val="20"/>
          <w:szCs w:val="20"/>
        </w:rPr>
      </w:pPr>
      <w:r>
        <w:rPr>
          <w:rFonts w:ascii="Open Sans" w:hAnsi="Open Sans"/>
          <w:sz w:val="20"/>
          <w:szCs w:val="20"/>
        </w:rPr>
        <w:t>VFS 1:</w:t>
        <w:tab/>
        <w:tab/>
        <w:t>xxx xxx</w:t>
      </w:r>
      <w:r>
        <w:rPr>
          <w:rFonts w:cs="Arial" w:ascii="Open Sans" w:hAnsi="Open Sans"/>
          <w:sz w:val="20"/>
          <w:szCs w:val="20"/>
        </w:rPr>
        <w:t>,- Kč</w:t>
      </w:r>
    </w:p>
    <w:p>
      <w:pPr>
        <w:pStyle w:val="Normal"/>
        <w:spacing w:before="0" w:after="0"/>
        <w:ind w:left="2126" w:hanging="0"/>
        <w:rPr>
          <w:rFonts w:ascii="Open Sans" w:hAnsi="Open Sans"/>
          <w:sz w:val="20"/>
          <w:szCs w:val="20"/>
        </w:rPr>
      </w:pPr>
      <w:r>
        <w:rPr>
          <w:rFonts w:ascii="Open Sans" w:hAnsi="Open Sans"/>
          <w:sz w:val="20"/>
          <w:szCs w:val="20"/>
        </w:rPr>
        <w:t>VFS 2:</w:t>
        <w:tab/>
      </w:r>
      <w:r>
        <w:rPr>
          <w:rFonts w:cs="Arial" w:ascii="Open Sans" w:hAnsi="Open Sans"/>
          <w:sz w:val="20"/>
          <w:szCs w:val="20"/>
        </w:rPr>
        <w:tab/>
        <w:t>xxx xxx,- Kč</w:t>
      </w:r>
    </w:p>
    <w:p>
      <w:pPr>
        <w:pStyle w:val="Normal"/>
        <w:spacing w:before="0" w:after="0"/>
        <w:ind w:left="2126" w:hanging="0"/>
        <w:rPr>
          <w:rFonts w:ascii="Open Sans" w:hAnsi="Open Sans"/>
          <w:sz w:val="20"/>
          <w:szCs w:val="20"/>
        </w:rPr>
      </w:pPr>
      <w:r>
        <w:rPr>
          <w:rFonts w:ascii="Open Sans" w:hAnsi="Open Sans"/>
          <w:sz w:val="20"/>
          <w:szCs w:val="20"/>
        </w:rPr>
        <w:t>VFS 3:</w:t>
        <w:tab/>
      </w:r>
      <w:r>
        <w:rPr>
          <w:rFonts w:cs="Arial" w:ascii="Open Sans" w:hAnsi="Open Sans"/>
          <w:sz w:val="20"/>
          <w:szCs w:val="20"/>
        </w:rPr>
        <w:tab/>
        <w:t>xxx xxx,- Kč</w:t>
      </w:r>
    </w:p>
    <w:p>
      <w:pPr>
        <w:pStyle w:val="Normal"/>
        <w:spacing w:before="0" w:after="0"/>
        <w:ind w:left="2126" w:hanging="0"/>
        <w:rPr>
          <w:rFonts w:ascii="Open Sans" w:hAnsi="Open Sans"/>
          <w:sz w:val="20"/>
          <w:szCs w:val="20"/>
        </w:rPr>
      </w:pPr>
      <w:r>
        <w:rPr>
          <w:rFonts w:cs="Arial" w:ascii="Open Sans" w:hAnsi="Open Sans"/>
          <w:sz w:val="20"/>
          <w:szCs w:val="20"/>
        </w:rPr>
        <w:t>VFS 4:</w:t>
        <w:tab/>
        <w:tab/>
        <w:t>xxx xxx,- Kč</w:t>
      </w:r>
    </w:p>
    <w:p>
      <w:pPr>
        <w:pStyle w:val="ListBullet3"/>
        <w:numPr>
          <w:ilvl w:val="0"/>
          <w:numId w:val="4"/>
        </w:numPr>
        <w:ind w:left="454" w:hanging="454"/>
        <w:rPr>
          <w:rFonts w:ascii="Open Sans" w:hAnsi="Open Sans"/>
          <w:sz w:val="20"/>
          <w:szCs w:val="20"/>
        </w:rPr>
      </w:pPr>
      <w:r>
        <w:rPr>
          <w:rFonts w:ascii="Open Sans" w:hAnsi="Open Sans"/>
          <w:sz w:val="20"/>
          <w:szCs w:val="20"/>
        </w:rPr>
        <w:t>V případě, že dojde ke změně zákonné sazby DPH, je zhotovitel k ceně díla bez DPH povinen účtovat DPH v platné výši. Smluvní strany se dohodly, že v případě změny ceny díla v důsledku změny sazby DPH není nutno ke smlouvě uzavírat dodatek. Zhotovitel odpovídá za to, že sazba daně z přidané hodnoty bude stanovena v souladu s platnými právními předpisy.</w:t>
      </w:r>
    </w:p>
    <w:p>
      <w:pPr>
        <w:pStyle w:val="ListBullet3"/>
        <w:numPr>
          <w:ilvl w:val="0"/>
          <w:numId w:val="4"/>
        </w:numPr>
        <w:ind w:left="454" w:hanging="454"/>
        <w:rPr>
          <w:rFonts w:ascii="Open Sans" w:hAnsi="Open Sans"/>
          <w:sz w:val="20"/>
          <w:szCs w:val="20"/>
        </w:rPr>
      </w:pPr>
      <w:r>
        <w:rPr>
          <w:rFonts w:ascii="Open Sans" w:hAnsi="Open Sans"/>
          <w:sz w:val="20"/>
          <w:szCs w:val="20"/>
        </w:rPr>
        <w:t>Dohodnutou konečnou cenu bez DPH lze měnit pouze na základě vzájemně odsouhlasených a podepsaných dodatků k této smlouvě.</w:t>
      </w:r>
    </w:p>
    <w:p>
      <w:pPr>
        <w:pStyle w:val="Normal"/>
        <w:rPr>
          <w:rFonts w:ascii="Open Sans" w:hAnsi="Open Sans"/>
          <w:sz w:val="20"/>
          <w:szCs w:val="20"/>
        </w:rPr>
      </w:pPr>
      <w:r>
        <w:rPr>
          <w:rFonts w:ascii="Open Sans" w:hAnsi="Open Sans"/>
          <w:sz w:val="20"/>
          <w:szCs w:val="20"/>
        </w:rPr>
      </w:r>
    </w:p>
    <w:p>
      <w:pPr>
        <w:pStyle w:val="Nadpis2"/>
        <w:rPr>
          <w:rFonts w:ascii="Open Sans" w:hAnsi="Open Sans"/>
          <w:sz w:val="20"/>
          <w:szCs w:val="20"/>
        </w:rPr>
      </w:pPr>
      <w:r>
        <w:rPr>
          <w:rFonts w:ascii="Open Sans" w:hAnsi="Open Sans"/>
          <w:sz w:val="20"/>
          <w:szCs w:val="20"/>
        </w:rPr>
        <w:t xml:space="preserve">IV. </w:t>
      </w:r>
    </w:p>
    <w:p>
      <w:pPr>
        <w:pStyle w:val="Nadpis2"/>
        <w:rPr>
          <w:rFonts w:ascii="Open Sans" w:hAnsi="Open Sans"/>
          <w:sz w:val="20"/>
          <w:szCs w:val="20"/>
        </w:rPr>
      </w:pPr>
      <w:r>
        <w:rPr>
          <w:rFonts w:ascii="Open Sans" w:hAnsi="Open Sans"/>
          <w:sz w:val="20"/>
          <w:szCs w:val="20"/>
        </w:rPr>
        <w:t>Platební podmínky</w:t>
      </w:r>
    </w:p>
    <w:p>
      <w:pPr>
        <w:pStyle w:val="ListBullet3"/>
        <w:numPr>
          <w:ilvl w:val="0"/>
          <w:numId w:val="5"/>
        </w:numPr>
        <w:ind w:left="454" w:hanging="454"/>
        <w:rPr>
          <w:rFonts w:ascii="Open Sans" w:hAnsi="Open Sans"/>
          <w:sz w:val="20"/>
          <w:szCs w:val="20"/>
        </w:rPr>
      </w:pPr>
      <w:r>
        <w:rPr>
          <w:rFonts w:ascii="Open Sans" w:hAnsi="Open Sans"/>
          <w:sz w:val="20"/>
          <w:szCs w:val="20"/>
        </w:rPr>
        <w:t>Ceny jednotlivých výkonových fází, uvedené v článku III. této smlouvy, budou zhotovitelem fakturovány v následujích termínech:</w:t>
      </w:r>
    </w:p>
    <w:p>
      <w:pPr>
        <w:pStyle w:val="ListBullet3"/>
        <w:ind w:left="737" w:hanging="0"/>
        <w:rPr>
          <w:rFonts w:ascii="Open Sans" w:hAnsi="Open Sans"/>
          <w:sz w:val="20"/>
          <w:szCs w:val="20"/>
        </w:rPr>
      </w:pPr>
      <w:r>
        <w:rPr>
          <w:rFonts w:ascii="Open Sans" w:hAnsi="Open Sans"/>
          <w:sz w:val="20"/>
          <w:szCs w:val="20"/>
        </w:rPr>
        <w:t>a) na základě ukončení fáze VF1 a VF2 a předání návrhu územní studie k projednání objednateli</w:t>
      </w:r>
    </w:p>
    <w:p>
      <w:pPr>
        <w:pStyle w:val="ListBullet3"/>
        <w:ind w:left="737" w:hanging="0"/>
        <w:rPr>
          <w:rFonts w:ascii="Open Sans" w:hAnsi="Open Sans"/>
          <w:sz w:val="20"/>
          <w:szCs w:val="20"/>
        </w:rPr>
      </w:pPr>
      <w:r>
        <w:rPr>
          <w:rFonts w:ascii="Open Sans" w:hAnsi="Open Sans"/>
          <w:sz w:val="20"/>
          <w:szCs w:val="20"/>
        </w:rPr>
        <w:t xml:space="preserve">b) na základě ukončení fáze VF3 a VF4 a předání konečného návrhu územní studie objednateli. </w:t>
      </w:r>
    </w:p>
    <w:p>
      <w:pPr>
        <w:pStyle w:val="ListBullet3"/>
        <w:numPr>
          <w:ilvl w:val="0"/>
          <w:numId w:val="5"/>
        </w:numPr>
        <w:ind w:left="454" w:hanging="454"/>
        <w:rPr>
          <w:rFonts w:ascii="Open Sans" w:hAnsi="Open Sans"/>
          <w:sz w:val="20"/>
          <w:szCs w:val="20"/>
        </w:rPr>
      </w:pPr>
      <w:r>
        <w:rPr>
          <w:rFonts w:ascii="Open Sans" w:hAnsi="Open Sans"/>
          <w:sz w:val="20"/>
          <w:szCs w:val="20"/>
        </w:rPr>
        <w:t xml:space="preserve">Objednatel se zavazuje dokončené dílo převzít a zaplatit za dílo cenu dle čl. III. této smlouvy v členění dle odst. 1 čl. IV. této smlouvy. </w:t>
      </w:r>
    </w:p>
    <w:p>
      <w:pPr>
        <w:pStyle w:val="ListBullet3"/>
        <w:numPr>
          <w:ilvl w:val="0"/>
          <w:numId w:val="5"/>
        </w:numPr>
        <w:ind w:left="454" w:hanging="454"/>
        <w:rPr>
          <w:rFonts w:ascii="Open Sans" w:hAnsi="Open Sans"/>
          <w:sz w:val="20"/>
          <w:szCs w:val="20"/>
        </w:rPr>
      </w:pPr>
      <w:r>
        <w:rPr>
          <w:rFonts w:ascii="Open Sans" w:hAnsi="Open Sans"/>
          <w:sz w:val="20"/>
          <w:szCs w:val="20"/>
        </w:rPr>
        <w:t>Vyúčtování ceny za dílo bude provedeno daňovým dokladem – fakturou, která musí obsahovat všechny náležitosti daňového dokladu dle platných právních předpisů. Pokud daňový doklad nebude obsahovat předepsané náležitosti, je objednatel oprávněn vrátit fakturu zpět zhotoviteli s tím, že od doručení opravené faktury běží nová lhůta její splatnosti.</w:t>
      </w:r>
    </w:p>
    <w:p>
      <w:pPr>
        <w:pStyle w:val="ListBullet3"/>
        <w:numPr>
          <w:ilvl w:val="0"/>
          <w:numId w:val="5"/>
        </w:numPr>
        <w:ind w:left="454" w:hanging="454"/>
        <w:rPr>
          <w:rFonts w:ascii="Open Sans" w:hAnsi="Open Sans"/>
          <w:sz w:val="20"/>
          <w:szCs w:val="20"/>
        </w:rPr>
      </w:pPr>
      <w:r>
        <w:rPr>
          <w:rFonts w:ascii="Open Sans" w:hAnsi="Open Sans"/>
          <w:sz w:val="20"/>
          <w:szCs w:val="20"/>
        </w:rPr>
        <w:t xml:space="preserve">Objednatel se zavazuje uhradit fakturu ve lhůtě splatnosti </w:t>
      </w:r>
      <w:r>
        <w:rPr>
          <w:rFonts w:ascii="Open Sans" w:hAnsi="Open Sans"/>
          <w:b/>
          <w:sz w:val="20"/>
          <w:szCs w:val="20"/>
        </w:rPr>
        <w:t>30 dnů</w:t>
      </w:r>
      <w:r>
        <w:rPr>
          <w:rFonts w:ascii="Open Sans" w:hAnsi="Open Sans"/>
          <w:sz w:val="20"/>
          <w:szCs w:val="20"/>
        </w:rPr>
        <w:t xml:space="preserve"> od data doručení faktury na adresu sídla objednatele. </w:t>
      </w:r>
    </w:p>
    <w:p>
      <w:pPr>
        <w:pStyle w:val="ListBullet3"/>
        <w:numPr>
          <w:ilvl w:val="0"/>
          <w:numId w:val="5"/>
        </w:numPr>
        <w:ind w:left="454" w:hanging="454"/>
        <w:rPr>
          <w:rFonts w:ascii="Open Sans" w:hAnsi="Open Sans"/>
          <w:sz w:val="20"/>
          <w:szCs w:val="20"/>
        </w:rPr>
      </w:pPr>
      <w:r>
        <w:rPr>
          <w:rFonts w:ascii="Open Sans" w:hAnsi="Open Sans"/>
          <w:sz w:val="20"/>
          <w:szCs w:val="20"/>
        </w:rPr>
        <w:t xml:space="preserve">Cena za dílo bude uhrazena bezhotovostním převodem příslušné částky na účet zhotovitele, který bude uveden na faktuře. </w:t>
      </w:r>
    </w:p>
    <w:p>
      <w:pPr>
        <w:pStyle w:val="ListBullet3"/>
        <w:numPr>
          <w:ilvl w:val="0"/>
          <w:numId w:val="5"/>
        </w:numPr>
        <w:ind w:left="454" w:hanging="454"/>
        <w:rPr>
          <w:rFonts w:ascii="Open Sans" w:hAnsi="Open Sans"/>
          <w:sz w:val="20"/>
          <w:szCs w:val="20"/>
        </w:rPr>
      </w:pPr>
      <w:r>
        <w:rPr>
          <w:rFonts w:ascii="Open Sans" w:hAnsi="Open Sans"/>
          <w:sz w:val="20"/>
          <w:szCs w:val="20"/>
        </w:rPr>
        <w:t xml:space="preserve">Vlastnické právo k předmětu díla přechází na objednatele okamžikem úplného zaplacení faktury zhotovitelem vystavené a objednatelem akceptované. </w:t>
      </w:r>
    </w:p>
    <w:p>
      <w:pPr>
        <w:pStyle w:val="Normal"/>
        <w:rPr>
          <w:rFonts w:ascii="Open Sans" w:hAnsi="Open Sans"/>
          <w:sz w:val="20"/>
          <w:szCs w:val="20"/>
        </w:rPr>
      </w:pPr>
      <w:r>
        <w:rPr>
          <w:rFonts w:ascii="Open Sans" w:hAnsi="Open Sans"/>
          <w:sz w:val="20"/>
          <w:szCs w:val="20"/>
        </w:rPr>
      </w:r>
    </w:p>
    <w:p>
      <w:pPr>
        <w:pStyle w:val="Nadpis2"/>
        <w:rPr>
          <w:rFonts w:ascii="Open Sans" w:hAnsi="Open Sans"/>
          <w:sz w:val="20"/>
          <w:szCs w:val="20"/>
        </w:rPr>
      </w:pPr>
      <w:r>
        <w:rPr>
          <w:rFonts w:ascii="Open Sans" w:hAnsi="Open Sans"/>
          <w:sz w:val="20"/>
          <w:szCs w:val="20"/>
        </w:rPr>
        <w:t xml:space="preserve">V. </w:t>
      </w:r>
    </w:p>
    <w:p>
      <w:pPr>
        <w:pStyle w:val="Nadpis2"/>
        <w:rPr>
          <w:rFonts w:ascii="Open Sans" w:hAnsi="Open Sans"/>
          <w:sz w:val="20"/>
          <w:szCs w:val="20"/>
        </w:rPr>
      </w:pPr>
      <w:r>
        <w:rPr>
          <w:rFonts w:ascii="Open Sans" w:hAnsi="Open Sans"/>
          <w:sz w:val="20"/>
          <w:szCs w:val="20"/>
        </w:rPr>
        <w:t>Práva a povinnosti smluvních stran</w:t>
      </w:r>
    </w:p>
    <w:p>
      <w:pPr>
        <w:pStyle w:val="ListBullet3"/>
        <w:numPr>
          <w:ilvl w:val="0"/>
          <w:numId w:val="6"/>
        </w:numPr>
        <w:ind w:left="454" w:hanging="454"/>
        <w:rPr>
          <w:rFonts w:ascii="Open Sans" w:hAnsi="Open Sans"/>
          <w:sz w:val="20"/>
          <w:szCs w:val="20"/>
        </w:rPr>
      </w:pPr>
      <w:r>
        <w:rPr>
          <w:rFonts w:ascii="Open Sans" w:hAnsi="Open Sans"/>
          <w:sz w:val="20"/>
          <w:szCs w:val="20"/>
        </w:rPr>
        <w:t>Zhotovitel se zavazuje zhotovit dílo na svůj náklad, na své nebezpečí a v dohodnutých termínech. Při zpracování díla je zhotovitel povinen postupovat dle pokynů předaných objednatelem.</w:t>
      </w:r>
    </w:p>
    <w:p>
      <w:pPr>
        <w:pStyle w:val="ListBullet3"/>
        <w:numPr>
          <w:ilvl w:val="0"/>
          <w:numId w:val="6"/>
        </w:numPr>
        <w:ind w:left="454" w:hanging="454"/>
        <w:rPr>
          <w:rFonts w:ascii="Open Sans" w:hAnsi="Open Sans"/>
          <w:sz w:val="20"/>
          <w:szCs w:val="20"/>
        </w:rPr>
      </w:pPr>
      <w:r>
        <w:rPr>
          <w:rFonts w:ascii="Open Sans" w:hAnsi="Open Sans"/>
          <w:sz w:val="20"/>
          <w:szCs w:val="20"/>
        </w:rPr>
        <w:t>Pokud zhotovitel zjistí, že předané pokyny jsou v rozporu s platnou právní úpravou stavebního zákona nebo souvisejících předpisů (dále jen „rozporované pokyny“), je povinen na toto objednatele a pořizovatele písemně upozornit a to nejpozději do 3 dnů ode dne, kdy tuto skutečnost zjistil. Objednatel a pořizovatel se zavazují písemně potvrdit nebo změnit rozporované pokyny nejpozději do 7 dnů od obdržení písemného upozornění zhotovitele nebude-li smluvními stranami dohodnuto jinak. Termín dokončení výkonové fáze, které se týkají rozporované pokyny, se v tomto případě prodlužuje o tolik dnů, kolik činí lhůta, ve které objednatel a pořizovatel předají upravené pokyny k jejímu dokončení zhotoviteli.</w:t>
      </w:r>
    </w:p>
    <w:p>
      <w:pPr>
        <w:pStyle w:val="ListBullet3"/>
        <w:numPr>
          <w:ilvl w:val="0"/>
          <w:numId w:val="6"/>
        </w:numPr>
        <w:ind w:left="454" w:hanging="454"/>
        <w:rPr>
          <w:rFonts w:ascii="Open Sans" w:hAnsi="Open Sans"/>
          <w:sz w:val="20"/>
          <w:szCs w:val="20"/>
        </w:rPr>
      </w:pPr>
      <w:r>
        <w:rPr>
          <w:rFonts w:ascii="Open Sans" w:hAnsi="Open Sans"/>
          <w:sz w:val="20"/>
          <w:szCs w:val="20"/>
        </w:rPr>
        <w:t>Objednatel je oprávněn kontrolovat provádění díla, zda je prováděno v souladu s podmínkami této smlouvy, prostřednictvím písemně pověřené osoby a zhotovitel je povinen případnou kontrolu během provádění díla strpět.</w:t>
      </w:r>
    </w:p>
    <w:p>
      <w:pPr>
        <w:pStyle w:val="ListBullet3"/>
        <w:numPr>
          <w:ilvl w:val="0"/>
          <w:numId w:val="6"/>
        </w:numPr>
        <w:ind w:left="454" w:hanging="454"/>
        <w:rPr>
          <w:rFonts w:ascii="Open Sans" w:hAnsi="Open Sans"/>
          <w:sz w:val="20"/>
          <w:szCs w:val="20"/>
        </w:rPr>
      </w:pPr>
      <w:r>
        <w:rPr>
          <w:rFonts w:ascii="Open Sans" w:hAnsi="Open Sans"/>
          <w:sz w:val="20"/>
          <w:szCs w:val="20"/>
        </w:rPr>
        <w:t>S ohledem na zákon č. 106/1999 Sb., o svobodném přístupu k informacím v platném znění a v souladu se zákonem č. 101/2000 Sb., o ochraně osobních údajů v platném znění, zhotovitel předem výslovně souhlasí s využitím jeho osobních údajů zadavatelem pro účely vnitřní potřeby a dále pro informování veřejnosti o jeho činnosti. Za tímto účelem je zadavateli konstatován souhlas zhotovitele s možným zpřístupněním či zveřejněním celé smlouvy v plném znění, jakož i všech úkonů a okolností se smlouvou souvisejících.</w:t>
      </w:r>
    </w:p>
    <w:p>
      <w:pPr>
        <w:pStyle w:val="ListBullet3"/>
        <w:numPr>
          <w:ilvl w:val="0"/>
          <w:numId w:val="6"/>
        </w:numPr>
        <w:ind w:left="454" w:hanging="454"/>
        <w:rPr>
          <w:rFonts w:ascii="Open Sans" w:hAnsi="Open Sans"/>
          <w:sz w:val="20"/>
          <w:szCs w:val="20"/>
        </w:rPr>
      </w:pPr>
      <w:r>
        <w:rPr>
          <w:rFonts w:ascii="Open Sans" w:hAnsi="Open Sans"/>
          <w:sz w:val="20"/>
          <w:szCs w:val="20"/>
        </w:rPr>
        <w:t>Zhotovitel prohlašuje, že byl informován o tom, že objednatel je povinným subjektem ve smyslu §2 odst. 1 zákona č. 340/2015 Sb., o registru smluv. Smluvní strany se dohodly, že správci registru smluv zašle k uveřejnění v registru smluv tuto smlouvu objednatel, a to bez zbytečného odkladu, nejpozději do 30 dní ode dne uzavření této smlouvy. Smlouva nabývá účinnosti dnem jejího uveřejnění v registru smluv.</w:t>
      </w:r>
    </w:p>
    <w:p>
      <w:pPr>
        <w:pStyle w:val="Normal"/>
        <w:spacing w:before="0" w:after="0"/>
        <w:ind w:left="454" w:hanging="0"/>
        <w:rPr>
          <w:rFonts w:ascii="Open Sans" w:hAnsi="Open Sans"/>
          <w:sz w:val="20"/>
          <w:szCs w:val="20"/>
        </w:rPr>
      </w:pPr>
      <w:r>
        <w:rPr>
          <w:rFonts w:ascii="Open Sans" w:hAnsi="Open Sans"/>
          <w:sz w:val="20"/>
          <w:szCs w:val="20"/>
        </w:rPr>
      </w:r>
    </w:p>
    <w:p>
      <w:pPr>
        <w:pStyle w:val="Nadpis2"/>
        <w:rPr>
          <w:rFonts w:ascii="Open Sans" w:hAnsi="Open Sans"/>
          <w:sz w:val="20"/>
          <w:szCs w:val="20"/>
        </w:rPr>
      </w:pPr>
      <w:r>
        <w:rPr>
          <w:rFonts w:ascii="Open Sans" w:hAnsi="Open Sans"/>
          <w:sz w:val="20"/>
          <w:szCs w:val="20"/>
        </w:rPr>
        <w:t xml:space="preserve">VI. </w:t>
      </w:r>
    </w:p>
    <w:p>
      <w:pPr>
        <w:pStyle w:val="Nadpis2"/>
        <w:rPr>
          <w:rFonts w:ascii="Open Sans" w:hAnsi="Open Sans"/>
          <w:sz w:val="20"/>
          <w:szCs w:val="20"/>
        </w:rPr>
      </w:pPr>
      <w:r>
        <w:rPr>
          <w:rFonts w:ascii="Open Sans" w:hAnsi="Open Sans"/>
          <w:sz w:val="20"/>
          <w:szCs w:val="20"/>
        </w:rPr>
        <w:t>Autorská práva, licenční ujednání</w:t>
      </w:r>
    </w:p>
    <w:p>
      <w:pPr>
        <w:pStyle w:val="ListBullet3"/>
        <w:numPr>
          <w:ilvl w:val="0"/>
          <w:numId w:val="7"/>
        </w:numPr>
        <w:ind w:left="454" w:hanging="454"/>
        <w:rPr>
          <w:rFonts w:ascii="Open Sans" w:hAnsi="Open Sans"/>
          <w:sz w:val="20"/>
          <w:szCs w:val="20"/>
        </w:rPr>
      </w:pPr>
      <w:r>
        <w:rPr>
          <w:rFonts w:ascii="Open Sans" w:hAnsi="Open Sans"/>
          <w:sz w:val="20"/>
          <w:szCs w:val="20"/>
        </w:rPr>
        <w:t>Dokumentace zpracovaná zhotovitelem v rámci výkonových fází VFS1-VFS4 je autorským dílem v souladu s autorským zákonem. Zhotovitel touto smlouvou poskytuje objednateli oprávnění k výkonu práva užití díla (licenci) ke všem způsobům užití známým v době uzavření této smlouvy v rozsahu neomezeném, co se týká času, množství užití díla a územního rozsahu. Objednatel není povinen licenci využít.</w:t>
      </w:r>
    </w:p>
    <w:p>
      <w:pPr>
        <w:pStyle w:val="ListBullet3"/>
        <w:numPr>
          <w:ilvl w:val="0"/>
          <w:numId w:val="7"/>
        </w:numPr>
        <w:ind w:left="454" w:hanging="454"/>
        <w:rPr>
          <w:rFonts w:ascii="Open Sans" w:hAnsi="Open Sans"/>
          <w:sz w:val="20"/>
          <w:szCs w:val="20"/>
        </w:rPr>
      </w:pPr>
      <w:r>
        <w:rPr>
          <w:rFonts w:ascii="Open Sans" w:hAnsi="Open Sans"/>
          <w:sz w:val="20"/>
          <w:szCs w:val="20"/>
        </w:rPr>
        <w:t xml:space="preserve">Cena za dílo a každou jeho výkonovou fázi již v sobě obsahuje úplatu za licenci k veškerým autorským a obdobným právům zhotovitele a příp. zaměstnanců či subdodavatelů k dílu jeho části odpovídající výkonové fázi. Objednatel může dokumentaci použít k účelu vyplývajícímu ze smlouvy, čímž se rozumí dokončení územní studie specifikované dle článku I. této smlouvy a souvisejícím postupům. </w:t>
      </w:r>
    </w:p>
    <w:p>
      <w:pPr>
        <w:pStyle w:val="ListBullet3"/>
        <w:numPr>
          <w:ilvl w:val="0"/>
          <w:numId w:val="7"/>
        </w:numPr>
        <w:ind w:left="454" w:hanging="454"/>
        <w:rPr>
          <w:rFonts w:ascii="Open Sans" w:hAnsi="Open Sans"/>
          <w:sz w:val="20"/>
          <w:szCs w:val="20"/>
        </w:rPr>
      </w:pPr>
      <w:r>
        <w:rPr>
          <w:rFonts w:ascii="Open Sans" w:hAnsi="Open Sans"/>
          <w:sz w:val="20"/>
          <w:szCs w:val="20"/>
        </w:rPr>
        <w:t xml:space="preserve">V případě, že bude autorské dílo z jakýchkoliv důvodů a v jakékoliv fázi dále měněno či dopracováváno objednatelem či třetí stranou z důvodu podstatného porušení povinností zhotovitele dle této smlouvy či zákona (např. postupem dle § 2002 zákona č. 89/2012 Sb., občanský zákoník), nebude ze strany objednatele hrazena žádná finanční kompenzace za zásah do autorských práv zhotovitele související se změnou či dopracováním díla. </w:t>
      </w:r>
    </w:p>
    <w:p>
      <w:pPr>
        <w:pStyle w:val="ListBullet3"/>
        <w:numPr>
          <w:ilvl w:val="0"/>
          <w:numId w:val="7"/>
        </w:numPr>
        <w:ind w:left="454" w:hanging="454"/>
        <w:rPr>
          <w:rFonts w:ascii="Open Sans" w:hAnsi="Open Sans"/>
          <w:sz w:val="20"/>
          <w:szCs w:val="20"/>
        </w:rPr>
      </w:pPr>
      <w:r>
        <w:rPr>
          <w:rFonts w:ascii="Open Sans" w:hAnsi="Open Sans"/>
          <w:sz w:val="20"/>
          <w:szCs w:val="20"/>
        </w:rPr>
        <w:t>Objednatel i zhotovitel jsou oprávněni užít autorské dílo nebo jeho část pro potřeby marketingu, pro potřeby prezentace díla na veřejnosti, výstavách či jednotlivě u třetích osob v jakékoliv formě zachycené na jakémkoliv nosiči.</w:t>
      </w:r>
    </w:p>
    <w:p>
      <w:pPr>
        <w:pStyle w:val="Normal"/>
        <w:tabs>
          <w:tab w:val="left" w:pos="516" w:leader="none"/>
        </w:tabs>
        <w:spacing w:before="0" w:after="0"/>
        <w:ind w:left="567" w:hanging="454"/>
        <w:rPr>
          <w:rFonts w:ascii="Open Sans" w:hAnsi="Open Sans"/>
          <w:color w:val="6666FF"/>
          <w:sz w:val="20"/>
          <w:szCs w:val="20"/>
        </w:rPr>
      </w:pPr>
      <w:r>
        <w:rPr>
          <w:rFonts w:ascii="Open Sans" w:hAnsi="Open Sans"/>
          <w:color w:val="6666FF"/>
          <w:sz w:val="20"/>
          <w:szCs w:val="20"/>
        </w:rPr>
      </w:r>
    </w:p>
    <w:p>
      <w:pPr>
        <w:pStyle w:val="Nadpis2"/>
        <w:rPr>
          <w:rFonts w:ascii="Open Sans" w:hAnsi="Open Sans"/>
          <w:sz w:val="20"/>
          <w:szCs w:val="20"/>
        </w:rPr>
      </w:pPr>
      <w:r>
        <w:rPr>
          <w:rFonts w:ascii="Open Sans" w:hAnsi="Open Sans"/>
          <w:sz w:val="20"/>
          <w:szCs w:val="20"/>
        </w:rPr>
        <w:t xml:space="preserve">VII. </w:t>
      </w:r>
    </w:p>
    <w:p>
      <w:pPr>
        <w:pStyle w:val="Nadpis2"/>
        <w:rPr>
          <w:rFonts w:ascii="Open Sans" w:hAnsi="Open Sans"/>
          <w:sz w:val="20"/>
          <w:szCs w:val="20"/>
        </w:rPr>
      </w:pPr>
      <w:r>
        <w:rPr>
          <w:rFonts w:ascii="Open Sans" w:hAnsi="Open Sans"/>
          <w:sz w:val="20"/>
          <w:szCs w:val="20"/>
        </w:rPr>
        <w:t>Součinnost a mlčenlivost</w:t>
      </w:r>
    </w:p>
    <w:p>
      <w:pPr>
        <w:pStyle w:val="ListBullet3"/>
        <w:numPr>
          <w:ilvl w:val="0"/>
          <w:numId w:val="13"/>
        </w:numPr>
        <w:ind w:left="454" w:hanging="454"/>
        <w:rPr>
          <w:rFonts w:ascii="Open Sans" w:hAnsi="Open Sans"/>
          <w:sz w:val="20"/>
          <w:szCs w:val="20"/>
        </w:rPr>
      </w:pPr>
      <w:r>
        <w:rPr>
          <w:rFonts w:ascii="Open Sans" w:hAnsi="Open Sans"/>
          <w:sz w:val="20"/>
          <w:szCs w:val="20"/>
        </w:rPr>
        <w:t>V zájmu řádného zhotovení díla se obě smluvní strany zavazují k úzké spolupráci a vzájemné součinnosti.</w:t>
      </w:r>
    </w:p>
    <w:p>
      <w:pPr>
        <w:pStyle w:val="ListBullet3"/>
        <w:numPr>
          <w:ilvl w:val="0"/>
          <w:numId w:val="13"/>
        </w:numPr>
        <w:ind w:left="454" w:hanging="454"/>
        <w:rPr>
          <w:rFonts w:ascii="Open Sans" w:hAnsi="Open Sans"/>
          <w:sz w:val="20"/>
          <w:szCs w:val="20"/>
        </w:rPr>
      </w:pPr>
      <w:r>
        <w:rPr>
          <w:rFonts w:ascii="Open Sans" w:hAnsi="Open Sans"/>
          <w:sz w:val="20"/>
          <w:szCs w:val="20"/>
        </w:rPr>
        <w:t xml:space="preserve">V zájmu řádného zhotovení díla poskytne objednatel nezbytné podklady, které bude mít k dispozici, v rámci plnění VFS 1. </w:t>
      </w:r>
    </w:p>
    <w:p>
      <w:pPr>
        <w:pStyle w:val="ListBullet3"/>
        <w:numPr>
          <w:ilvl w:val="0"/>
          <w:numId w:val="13"/>
        </w:numPr>
        <w:ind w:left="454" w:hanging="454"/>
        <w:rPr>
          <w:rFonts w:ascii="Open Sans" w:hAnsi="Open Sans"/>
          <w:sz w:val="20"/>
          <w:szCs w:val="20"/>
        </w:rPr>
      </w:pPr>
      <w:r>
        <w:rPr>
          <w:rFonts w:ascii="Open Sans" w:hAnsi="Open Sans"/>
          <w:sz w:val="20"/>
          <w:szCs w:val="20"/>
        </w:rPr>
        <w:t xml:space="preserve">Zhotovitel se zavazuje zachovávat mlčenlivost o skutečnostech, se kterými přišel do styku a které mu byly zpřístupněny v souvislosti s prováděním díla, a které byly objednatelem označeny za důvěrné. </w:t>
      </w:r>
    </w:p>
    <w:p>
      <w:pPr>
        <w:pStyle w:val="ListBullet3"/>
        <w:numPr>
          <w:ilvl w:val="0"/>
          <w:numId w:val="13"/>
        </w:numPr>
        <w:ind w:left="454" w:hanging="454"/>
        <w:rPr>
          <w:rFonts w:ascii="Open Sans" w:hAnsi="Open Sans"/>
          <w:sz w:val="20"/>
          <w:szCs w:val="20"/>
        </w:rPr>
      </w:pPr>
      <w:r>
        <w:rPr>
          <w:rFonts w:ascii="Open Sans" w:hAnsi="Open Sans"/>
          <w:sz w:val="20"/>
          <w:szCs w:val="20"/>
        </w:rPr>
        <w:t>Zhotovitel podpisem smlouvy stvrzuje, že zapůjčené podklady budou použity pouze pro vyhotovení stanoveného předmětu a obsahu díla a ani průběhu prací ani kdykoliv poté nebudou poskytnuty třetí osobě.</w:t>
      </w:r>
    </w:p>
    <w:p>
      <w:pPr>
        <w:pStyle w:val="ListBullet3"/>
        <w:numPr>
          <w:ilvl w:val="0"/>
          <w:numId w:val="13"/>
        </w:numPr>
        <w:ind w:left="454" w:hanging="454"/>
        <w:rPr>
          <w:rFonts w:ascii="Open Sans" w:hAnsi="Open Sans"/>
          <w:sz w:val="20"/>
          <w:szCs w:val="20"/>
        </w:rPr>
      </w:pPr>
      <w:r>
        <w:rPr>
          <w:rFonts w:ascii="Open Sans" w:hAnsi="Open Sans"/>
          <w:sz w:val="20"/>
          <w:szCs w:val="20"/>
        </w:rPr>
        <w:t>Odevzdané dílo bude opatřeno otiskem razítka osob zajišťujících odbornou způsobilost. Osoby zajišťující odbornou způsobilost budou přítomny na společných projednáních s vedením, odbory města a dotčenými organizacemi a projednání s veřejností.</w:t>
      </w:r>
    </w:p>
    <w:p>
      <w:pPr>
        <w:pStyle w:val="Normal"/>
        <w:spacing w:lineRule="auto" w:line="240" w:before="0" w:after="0"/>
        <w:jc w:val="left"/>
        <w:rPr>
          <w:rFonts w:ascii="Open Sans" w:hAnsi="Open Sans"/>
          <w:sz w:val="20"/>
          <w:szCs w:val="20"/>
        </w:rPr>
      </w:pPr>
      <w:r>
        <w:rPr>
          <w:rFonts w:ascii="Open Sans" w:hAnsi="Open Sans"/>
          <w:sz w:val="20"/>
          <w:szCs w:val="20"/>
        </w:rPr>
      </w:r>
    </w:p>
    <w:p>
      <w:pPr>
        <w:pStyle w:val="Nadpis2"/>
        <w:rPr>
          <w:rFonts w:ascii="Open Sans" w:hAnsi="Open Sans"/>
          <w:sz w:val="20"/>
          <w:szCs w:val="20"/>
        </w:rPr>
      </w:pPr>
      <w:r>
        <w:rPr>
          <w:rFonts w:ascii="Open Sans" w:hAnsi="Open Sans"/>
          <w:sz w:val="20"/>
          <w:szCs w:val="20"/>
        </w:rPr>
        <w:t xml:space="preserve">V III. </w:t>
      </w:r>
    </w:p>
    <w:p>
      <w:pPr>
        <w:pStyle w:val="Nadpis2"/>
        <w:rPr>
          <w:rFonts w:ascii="Open Sans" w:hAnsi="Open Sans"/>
          <w:sz w:val="20"/>
          <w:szCs w:val="20"/>
        </w:rPr>
      </w:pPr>
      <w:r>
        <w:rPr>
          <w:rFonts w:ascii="Open Sans" w:hAnsi="Open Sans"/>
          <w:sz w:val="20"/>
          <w:szCs w:val="20"/>
        </w:rPr>
        <w:t>Předání díla</w:t>
      </w:r>
    </w:p>
    <w:p>
      <w:pPr>
        <w:pStyle w:val="ListBullet3"/>
        <w:numPr>
          <w:ilvl w:val="0"/>
          <w:numId w:val="8"/>
        </w:numPr>
        <w:ind w:left="454" w:hanging="454"/>
        <w:rPr>
          <w:rFonts w:ascii="Open Sans" w:hAnsi="Open Sans"/>
          <w:sz w:val="20"/>
          <w:szCs w:val="20"/>
        </w:rPr>
      </w:pPr>
      <w:r>
        <w:rPr>
          <w:rFonts w:ascii="Open Sans" w:hAnsi="Open Sans"/>
          <w:sz w:val="20"/>
          <w:szCs w:val="20"/>
        </w:rPr>
        <w:t>Zhotovitel splní svoji povinnost zhotovit dílo jeho řádným a včasným ukončením v souladu s podmínkami této smlouvy a předáním díla objednateli bez vad a nedodělků.</w:t>
      </w:r>
    </w:p>
    <w:p>
      <w:pPr>
        <w:pStyle w:val="ListBullet3"/>
        <w:numPr>
          <w:ilvl w:val="0"/>
          <w:numId w:val="8"/>
        </w:numPr>
        <w:ind w:left="454" w:hanging="454"/>
        <w:rPr>
          <w:rFonts w:ascii="Open Sans" w:hAnsi="Open Sans"/>
          <w:sz w:val="20"/>
          <w:szCs w:val="20"/>
        </w:rPr>
      </w:pPr>
      <w:r>
        <w:rPr>
          <w:rFonts w:ascii="Open Sans" w:hAnsi="Open Sans"/>
          <w:sz w:val="20"/>
          <w:szCs w:val="20"/>
        </w:rPr>
        <w:t xml:space="preserve">O předání (ukončení) díla sepíší smluvní strany předávací protokol, který připraví zhotovitel. Předávací protokol bude podepsaný oprávněnými zástupci obou smluvních stran a bude obsahovat stručný popis a zhodnocení kompletnosti díla a datum předání (ukončení) díla. </w:t>
      </w:r>
    </w:p>
    <w:p>
      <w:pPr>
        <w:pStyle w:val="Normal"/>
        <w:rPr>
          <w:rFonts w:ascii="Open Sans" w:hAnsi="Open Sans"/>
          <w:sz w:val="20"/>
          <w:szCs w:val="20"/>
        </w:rPr>
      </w:pPr>
      <w:r>
        <w:rPr>
          <w:rFonts w:ascii="Open Sans" w:hAnsi="Open Sans"/>
          <w:sz w:val="20"/>
          <w:szCs w:val="20"/>
        </w:rPr>
      </w:r>
    </w:p>
    <w:p>
      <w:pPr>
        <w:pStyle w:val="Nadpis2"/>
        <w:rPr>
          <w:rFonts w:ascii="Open Sans" w:hAnsi="Open Sans"/>
          <w:sz w:val="20"/>
          <w:szCs w:val="20"/>
        </w:rPr>
      </w:pPr>
      <w:r>
        <w:rPr>
          <w:rFonts w:ascii="Open Sans" w:hAnsi="Open Sans"/>
          <w:sz w:val="20"/>
          <w:szCs w:val="20"/>
        </w:rPr>
        <w:t>IX.</w:t>
      </w:r>
    </w:p>
    <w:p>
      <w:pPr>
        <w:pStyle w:val="Nadpis2"/>
        <w:rPr>
          <w:rFonts w:ascii="Open Sans" w:hAnsi="Open Sans"/>
          <w:sz w:val="20"/>
          <w:szCs w:val="20"/>
        </w:rPr>
      </w:pPr>
      <w:r>
        <w:rPr>
          <w:rFonts w:ascii="Open Sans" w:hAnsi="Open Sans"/>
          <w:sz w:val="20"/>
          <w:szCs w:val="20"/>
        </w:rPr>
        <w:t>Odpovědnost za vady</w:t>
      </w:r>
    </w:p>
    <w:p>
      <w:pPr>
        <w:pStyle w:val="ListBullet3"/>
        <w:numPr>
          <w:ilvl w:val="0"/>
          <w:numId w:val="9"/>
        </w:numPr>
        <w:ind w:left="454" w:hanging="454"/>
        <w:rPr>
          <w:rFonts w:ascii="Open Sans" w:hAnsi="Open Sans"/>
          <w:sz w:val="20"/>
          <w:szCs w:val="20"/>
        </w:rPr>
      </w:pPr>
      <w:r>
        <w:rPr>
          <w:rFonts w:ascii="Open Sans" w:hAnsi="Open Sans"/>
          <w:sz w:val="20"/>
          <w:szCs w:val="20"/>
        </w:rPr>
        <w:t xml:space="preserve">Na dílo podle článku I této smlouvy poskytuje zhotovitel objednateli záruku 36 (třicetšest) měsíců. Záruční doba začíná běžet dnem předání úplného díla objednateli. </w:t>
      </w:r>
    </w:p>
    <w:p>
      <w:pPr>
        <w:pStyle w:val="ListBullet3"/>
        <w:numPr>
          <w:ilvl w:val="0"/>
          <w:numId w:val="9"/>
        </w:numPr>
        <w:ind w:left="454" w:hanging="454"/>
        <w:rPr>
          <w:rFonts w:ascii="Open Sans" w:hAnsi="Open Sans"/>
          <w:sz w:val="20"/>
          <w:szCs w:val="20"/>
        </w:rPr>
      </w:pPr>
      <w:r>
        <w:rPr>
          <w:rFonts w:ascii="Open Sans" w:hAnsi="Open Sans"/>
          <w:sz w:val="20"/>
          <w:szCs w:val="20"/>
        </w:rPr>
        <w:t>Dílo má vady, pokud některá z jeho etap nebo jejích dílčích částí není zhotovena v souladu:</w:t>
      </w:r>
    </w:p>
    <w:p>
      <w:pPr>
        <w:pStyle w:val="ListBullet"/>
        <w:numPr>
          <w:ilvl w:val="0"/>
          <w:numId w:val="1"/>
        </w:numPr>
        <w:rPr>
          <w:rFonts w:ascii="Open Sans" w:hAnsi="Open Sans"/>
          <w:sz w:val="20"/>
          <w:szCs w:val="20"/>
        </w:rPr>
      </w:pPr>
      <w:r>
        <w:rPr>
          <w:rFonts w:ascii="Open Sans" w:hAnsi="Open Sans"/>
          <w:sz w:val="20"/>
          <w:szCs w:val="20"/>
        </w:rPr>
        <w:t>s platnými právními předpisy</w:t>
      </w:r>
    </w:p>
    <w:p>
      <w:pPr>
        <w:pStyle w:val="ListBullet"/>
        <w:numPr>
          <w:ilvl w:val="0"/>
          <w:numId w:val="1"/>
        </w:numPr>
        <w:rPr>
          <w:rFonts w:ascii="Open Sans" w:hAnsi="Open Sans"/>
          <w:sz w:val="20"/>
          <w:szCs w:val="20"/>
        </w:rPr>
      </w:pPr>
      <w:r>
        <w:rPr>
          <w:rFonts w:ascii="Open Sans" w:hAnsi="Open Sans"/>
          <w:sz w:val="20"/>
          <w:szCs w:val="20"/>
        </w:rPr>
        <w:t>s požadavky této smlouvy</w:t>
      </w:r>
    </w:p>
    <w:p>
      <w:pPr>
        <w:pStyle w:val="ListBullet3"/>
        <w:numPr>
          <w:ilvl w:val="0"/>
          <w:numId w:val="9"/>
        </w:numPr>
        <w:ind w:left="454" w:hanging="454"/>
        <w:rPr>
          <w:rFonts w:ascii="Open Sans" w:hAnsi="Open Sans"/>
          <w:sz w:val="20"/>
          <w:szCs w:val="20"/>
        </w:rPr>
      </w:pPr>
      <w:r>
        <w:rPr>
          <w:rFonts w:ascii="Open Sans" w:hAnsi="Open Sans"/>
          <w:sz w:val="20"/>
          <w:szCs w:val="20"/>
        </w:rPr>
        <w:t xml:space="preserve">Zjištění vady díla v záruční době je objednatel povinen oznámit zhotoviteli neprodleně, a zhotovitel je povinen reklamovanou vadu bezplatně odstranit v termínu 15 pracovních dnů od nahlášení vady objednatelem na adresu sídla zhotovitele, pokud nebude sjednáno jinak. </w:t>
      </w:r>
    </w:p>
    <w:p>
      <w:pPr>
        <w:pStyle w:val="ListBullet3"/>
        <w:numPr>
          <w:ilvl w:val="0"/>
          <w:numId w:val="9"/>
        </w:numPr>
        <w:ind w:left="454" w:hanging="454"/>
        <w:rPr>
          <w:rFonts w:ascii="Open Sans" w:hAnsi="Open Sans"/>
          <w:sz w:val="20"/>
          <w:szCs w:val="20"/>
        </w:rPr>
      </w:pPr>
      <w:r>
        <w:rPr>
          <w:rFonts w:ascii="Open Sans" w:hAnsi="Open Sans"/>
          <w:sz w:val="20"/>
          <w:szCs w:val="20"/>
        </w:rPr>
        <w:t>Zhotovitel neodpovídá za vady díla, které byly po jeho převzetí objednatelem způsobeny neoprávněným zásahem třetí osoby anebo neodvratitelnými událostmi (vis maior).</w:t>
      </w:r>
    </w:p>
    <w:p>
      <w:pPr>
        <w:pStyle w:val="ListBullet3"/>
        <w:numPr>
          <w:ilvl w:val="0"/>
          <w:numId w:val="9"/>
        </w:numPr>
        <w:ind w:left="454" w:hanging="454"/>
        <w:rPr>
          <w:rFonts w:ascii="Open Sans" w:hAnsi="Open Sans"/>
          <w:sz w:val="20"/>
          <w:szCs w:val="20"/>
        </w:rPr>
      </w:pPr>
      <w:r>
        <w:rPr>
          <w:rFonts w:ascii="Open Sans" w:hAnsi="Open Sans"/>
          <w:sz w:val="20"/>
          <w:szCs w:val="20"/>
        </w:rPr>
        <w:t>Objednatel je oprávněn pozdržet provedení platby za jakoukoliv část díla, je–li dílo plněno vadně, do doby odstranění takových vad a jeho důsledků pro objednatele,  a/nebo je–li zhotovitel s plněním svých povinností podle této smlouvy v prodlení do doby odstranění prodlení a jeho důsledků pro objednatele.</w:t>
      </w:r>
    </w:p>
    <w:p>
      <w:pPr>
        <w:pStyle w:val="Normal"/>
        <w:rPr>
          <w:rFonts w:ascii="Open Sans" w:hAnsi="Open Sans"/>
          <w:sz w:val="20"/>
          <w:szCs w:val="20"/>
        </w:rPr>
      </w:pPr>
      <w:r>
        <w:rPr>
          <w:rFonts w:ascii="Open Sans" w:hAnsi="Open Sans"/>
          <w:sz w:val="20"/>
          <w:szCs w:val="20"/>
        </w:rPr>
      </w:r>
    </w:p>
    <w:p>
      <w:pPr>
        <w:pStyle w:val="Nadpis2"/>
        <w:rPr>
          <w:rFonts w:ascii="Open Sans" w:hAnsi="Open Sans"/>
          <w:sz w:val="20"/>
          <w:szCs w:val="20"/>
        </w:rPr>
      </w:pPr>
      <w:r>
        <w:rPr>
          <w:rFonts w:ascii="Open Sans" w:hAnsi="Open Sans"/>
          <w:sz w:val="20"/>
          <w:szCs w:val="20"/>
        </w:rPr>
        <w:t>X.</w:t>
      </w:r>
    </w:p>
    <w:p>
      <w:pPr>
        <w:pStyle w:val="Nadpis2"/>
        <w:rPr>
          <w:rFonts w:ascii="Open Sans" w:hAnsi="Open Sans"/>
          <w:sz w:val="20"/>
          <w:szCs w:val="20"/>
        </w:rPr>
      </w:pPr>
      <w:r>
        <w:rPr>
          <w:rFonts w:ascii="Open Sans" w:hAnsi="Open Sans"/>
          <w:sz w:val="20"/>
          <w:szCs w:val="20"/>
        </w:rPr>
        <w:t>Smluvní pokuty</w:t>
      </w:r>
    </w:p>
    <w:p>
      <w:pPr>
        <w:pStyle w:val="ListBullet3"/>
        <w:numPr>
          <w:ilvl w:val="0"/>
          <w:numId w:val="10"/>
        </w:numPr>
        <w:ind w:left="454" w:hanging="454"/>
        <w:rPr>
          <w:rFonts w:ascii="Open Sans" w:hAnsi="Open Sans"/>
          <w:sz w:val="20"/>
          <w:szCs w:val="20"/>
        </w:rPr>
      </w:pPr>
      <w:r>
        <w:rPr>
          <w:rFonts w:ascii="Open Sans" w:hAnsi="Open Sans"/>
          <w:sz w:val="20"/>
          <w:szCs w:val="20"/>
        </w:rPr>
        <w:t>Strany smlouvy se dohodly, že v případě prodlení zhotovitele se splněním dohodnutého termínu provedení a předání díla, zavazuje se zhotovitel zaplatit objednateli smluvní pokutu ve výši 0,1 % z ceny díla bez DPH, uvedené v čl. III. smlouvy, a to za každý započatý den prodlení. Splatnost smluvních pokut se stanovuje ve lhůtě 21 dnů ode dne doručení daňového dokladu s vyčíslením smluvní pokuty.</w:t>
      </w:r>
    </w:p>
    <w:p>
      <w:pPr>
        <w:pStyle w:val="ListBullet3"/>
        <w:numPr>
          <w:ilvl w:val="0"/>
          <w:numId w:val="10"/>
        </w:numPr>
        <w:ind w:left="454" w:hanging="454"/>
        <w:rPr>
          <w:rFonts w:ascii="Open Sans" w:hAnsi="Open Sans"/>
          <w:sz w:val="20"/>
          <w:szCs w:val="20"/>
        </w:rPr>
      </w:pPr>
      <w:r>
        <w:rPr>
          <w:rFonts w:ascii="Open Sans" w:hAnsi="Open Sans"/>
          <w:sz w:val="20"/>
          <w:szCs w:val="20"/>
        </w:rPr>
        <w:t xml:space="preserve">Ocitne-li se objednatel v prodlení s placením faktury (tzn. nebude-li fakturovaná částka uhrazena k termínu splatnosti), je objednatel povinen zaplatit zhotoviteli za každý den prodlení smluvní pokutu ve výši 0,1 % z dlužné částky. </w:t>
      </w:r>
    </w:p>
    <w:p>
      <w:pPr>
        <w:pStyle w:val="ListBullet3"/>
        <w:numPr>
          <w:ilvl w:val="0"/>
          <w:numId w:val="10"/>
        </w:numPr>
        <w:ind w:left="454" w:hanging="454"/>
        <w:rPr>
          <w:rFonts w:ascii="Open Sans" w:hAnsi="Open Sans"/>
          <w:sz w:val="20"/>
          <w:szCs w:val="20"/>
        </w:rPr>
      </w:pPr>
      <w:r>
        <w:rPr>
          <w:rFonts w:ascii="Open Sans" w:hAnsi="Open Sans"/>
          <w:sz w:val="20"/>
          <w:szCs w:val="20"/>
        </w:rPr>
        <w:t>Zaplacením smluvní pokuty nezaniká povinnost druhé strany závazek splnit a není tím dotčeno právo oprávněné strany požadovat náhradu škody, která nesplněním povinnosti vznikla.</w:t>
      </w:r>
    </w:p>
    <w:p>
      <w:pPr>
        <w:pStyle w:val="Nadpis2"/>
        <w:rPr>
          <w:rFonts w:ascii="Open Sans" w:hAnsi="Open Sans"/>
          <w:sz w:val="20"/>
          <w:szCs w:val="20"/>
        </w:rPr>
      </w:pPr>
      <w:r>
        <w:rPr>
          <w:rFonts w:ascii="Open Sans" w:hAnsi="Open Sans"/>
          <w:sz w:val="20"/>
          <w:szCs w:val="20"/>
        </w:rPr>
        <w:t>XI.</w:t>
      </w:r>
    </w:p>
    <w:p>
      <w:pPr>
        <w:pStyle w:val="Nadpis2"/>
        <w:rPr>
          <w:rFonts w:ascii="Open Sans" w:hAnsi="Open Sans"/>
          <w:sz w:val="20"/>
          <w:szCs w:val="20"/>
        </w:rPr>
      </w:pPr>
      <w:r>
        <w:rPr>
          <w:rFonts w:ascii="Open Sans" w:hAnsi="Open Sans"/>
          <w:sz w:val="20"/>
          <w:szCs w:val="20"/>
        </w:rPr>
        <w:t>Odstoupení od smlouvy</w:t>
      </w:r>
    </w:p>
    <w:p>
      <w:pPr>
        <w:pStyle w:val="ListBullet3"/>
        <w:numPr>
          <w:ilvl w:val="0"/>
          <w:numId w:val="11"/>
        </w:numPr>
        <w:ind w:left="454" w:hanging="454"/>
        <w:rPr>
          <w:rFonts w:ascii="Open Sans" w:hAnsi="Open Sans"/>
          <w:sz w:val="20"/>
          <w:szCs w:val="20"/>
        </w:rPr>
      </w:pPr>
      <w:r>
        <w:rPr>
          <w:rFonts w:ascii="Open Sans" w:hAnsi="Open Sans"/>
          <w:sz w:val="20"/>
          <w:szCs w:val="20"/>
        </w:rPr>
        <w:t>Kterákoli smluvní strana může od smlouvy jednostranně odstoupit s uvedením důvodu za podmínek upravených občanským zákoníkem.</w:t>
      </w:r>
    </w:p>
    <w:p>
      <w:pPr>
        <w:pStyle w:val="ListBullet3"/>
        <w:numPr>
          <w:ilvl w:val="0"/>
          <w:numId w:val="11"/>
        </w:numPr>
        <w:ind w:left="454" w:hanging="454"/>
        <w:rPr>
          <w:rFonts w:ascii="Open Sans" w:hAnsi="Open Sans"/>
          <w:sz w:val="20"/>
          <w:szCs w:val="20"/>
        </w:rPr>
      </w:pPr>
      <w:r>
        <w:rPr>
          <w:rFonts w:ascii="Open Sans" w:hAnsi="Open Sans"/>
          <w:sz w:val="20"/>
          <w:szCs w:val="20"/>
        </w:rPr>
        <w:t xml:space="preserve">K platnosti projevu vůle o odstoupení od smlouvy je třeba písemná forma a k účinnosti pak doručení druhé smluvní straně. </w:t>
      </w:r>
    </w:p>
    <w:p>
      <w:pPr>
        <w:pStyle w:val="ListBullet3"/>
        <w:numPr>
          <w:ilvl w:val="0"/>
          <w:numId w:val="11"/>
        </w:numPr>
        <w:ind w:left="454" w:hanging="454"/>
        <w:rPr>
          <w:rFonts w:ascii="Open Sans" w:hAnsi="Open Sans"/>
          <w:sz w:val="20"/>
          <w:szCs w:val="20"/>
        </w:rPr>
      </w:pPr>
      <w:r>
        <w:rPr>
          <w:rFonts w:ascii="Open Sans" w:hAnsi="Open Sans"/>
          <w:sz w:val="20"/>
          <w:szCs w:val="20"/>
        </w:rPr>
        <w:t>Je-li smlouva ukončena dohodou či odstoupením před dokončením díla, smluvní strany protokolárně provedou inventarizaci veškerých plnění, prací a dodávek na díle, provedených k datu, kdy byla smlouva ukončena a na tomto základě provedou vyrovnání vzájemných závazků a pohledávek vyplývajících z rozpracovanosti díla a smluvních kooperačních vztahů.</w:t>
      </w:r>
    </w:p>
    <w:p>
      <w:pPr>
        <w:pStyle w:val="Normal"/>
        <w:rPr>
          <w:rFonts w:ascii="Open Sans" w:hAnsi="Open Sans"/>
          <w:sz w:val="20"/>
          <w:szCs w:val="20"/>
        </w:rPr>
      </w:pPr>
      <w:r>
        <w:rPr>
          <w:rFonts w:ascii="Open Sans" w:hAnsi="Open Sans"/>
          <w:sz w:val="20"/>
          <w:szCs w:val="20"/>
        </w:rPr>
      </w:r>
    </w:p>
    <w:p>
      <w:pPr>
        <w:pStyle w:val="Nadpis2"/>
        <w:rPr>
          <w:rFonts w:ascii="Open Sans" w:hAnsi="Open Sans"/>
          <w:sz w:val="20"/>
          <w:szCs w:val="20"/>
        </w:rPr>
      </w:pPr>
      <w:r>
        <w:rPr>
          <w:rFonts w:ascii="Open Sans" w:hAnsi="Open Sans"/>
          <w:sz w:val="20"/>
          <w:szCs w:val="20"/>
        </w:rPr>
        <w:t>XII.</w:t>
      </w:r>
    </w:p>
    <w:p>
      <w:pPr>
        <w:pStyle w:val="Nadpis2"/>
        <w:rPr>
          <w:rFonts w:ascii="Open Sans" w:hAnsi="Open Sans"/>
          <w:sz w:val="20"/>
          <w:szCs w:val="20"/>
        </w:rPr>
      </w:pPr>
      <w:r>
        <w:rPr>
          <w:rFonts w:ascii="Open Sans" w:hAnsi="Open Sans"/>
          <w:sz w:val="20"/>
          <w:szCs w:val="20"/>
        </w:rPr>
        <w:t xml:space="preserve">Závěrečná ustanovení </w:t>
      </w:r>
    </w:p>
    <w:p>
      <w:pPr>
        <w:pStyle w:val="ListBullet3"/>
        <w:numPr>
          <w:ilvl w:val="0"/>
          <w:numId w:val="12"/>
        </w:numPr>
        <w:ind w:left="454" w:hanging="454"/>
        <w:rPr>
          <w:rFonts w:ascii="Open Sans" w:hAnsi="Open Sans"/>
          <w:sz w:val="20"/>
          <w:szCs w:val="20"/>
        </w:rPr>
      </w:pPr>
      <w:r>
        <w:rPr>
          <w:rFonts w:ascii="Open Sans" w:hAnsi="Open Sans"/>
          <w:sz w:val="20"/>
          <w:szCs w:val="20"/>
        </w:rPr>
        <w:t>Tato Smlouva a vztahy z ní vyplývající se řídí právním řádem České republiky, zejména příslušnými ustanoveními zák. č. 89/2012 Sb., občanský zákoník, ve znění pozdějších předpisů.</w:t>
      </w:r>
    </w:p>
    <w:p>
      <w:pPr>
        <w:pStyle w:val="ListBullet3"/>
        <w:numPr>
          <w:ilvl w:val="0"/>
          <w:numId w:val="12"/>
        </w:numPr>
        <w:ind w:left="454" w:hanging="454"/>
        <w:rPr>
          <w:rFonts w:ascii="Open Sans" w:hAnsi="Open Sans"/>
          <w:sz w:val="20"/>
          <w:szCs w:val="20"/>
        </w:rPr>
      </w:pPr>
      <w:r>
        <w:rPr>
          <w:rFonts w:ascii="Open Sans" w:hAnsi="Open Sans"/>
          <w:sz w:val="20"/>
          <w:szCs w:val="20"/>
        </w:rPr>
        <w:t>Jakékoliv změny či doplňky této smlouvy jsou možné a platné jen tehdy, pokud byly učiněny formou písemných, vzestupně číslovaných a oboustranně podepsaných dodatků.</w:t>
      </w:r>
    </w:p>
    <w:p>
      <w:pPr>
        <w:pStyle w:val="ListBullet3"/>
        <w:numPr>
          <w:ilvl w:val="0"/>
          <w:numId w:val="12"/>
        </w:numPr>
        <w:ind w:left="454" w:hanging="454"/>
        <w:rPr>
          <w:rFonts w:ascii="Open Sans" w:hAnsi="Open Sans"/>
          <w:sz w:val="20"/>
          <w:szCs w:val="20"/>
        </w:rPr>
      </w:pPr>
      <w:r>
        <w:rPr>
          <w:rFonts w:ascii="Open Sans" w:hAnsi="Open Sans"/>
          <w:sz w:val="20"/>
          <w:szCs w:val="20"/>
        </w:rPr>
        <w:t>Platnosti a účinnosti tato smlouva nabývá dnem jejího podpisu oběma smluvními stranami, resp. poslední z nich.</w:t>
      </w:r>
    </w:p>
    <w:p>
      <w:pPr>
        <w:pStyle w:val="ListBullet3"/>
        <w:numPr>
          <w:ilvl w:val="0"/>
          <w:numId w:val="12"/>
        </w:numPr>
        <w:ind w:left="454" w:hanging="454"/>
        <w:rPr>
          <w:rFonts w:ascii="Open Sans" w:hAnsi="Open Sans"/>
          <w:sz w:val="20"/>
          <w:szCs w:val="20"/>
        </w:rPr>
      </w:pPr>
      <w:r>
        <w:rPr>
          <w:rFonts w:ascii="Open Sans" w:hAnsi="Open Sans"/>
          <w:sz w:val="20"/>
          <w:szCs w:val="20"/>
        </w:rPr>
        <w:t>Tato smlouva je vyhotovena ve třech stejnopisech, z nichž dva obdrží objednatel a  jeden zhotovitel.</w:t>
      </w:r>
    </w:p>
    <w:p>
      <w:pPr>
        <w:pStyle w:val="ListBullet3"/>
        <w:numPr>
          <w:ilvl w:val="0"/>
          <w:numId w:val="12"/>
        </w:numPr>
        <w:ind w:left="454" w:hanging="454"/>
        <w:rPr>
          <w:rFonts w:ascii="Open Sans" w:hAnsi="Open Sans"/>
          <w:sz w:val="20"/>
          <w:szCs w:val="20"/>
        </w:rPr>
      </w:pPr>
      <w:r>
        <w:rPr>
          <w:rFonts w:ascii="Open Sans" w:hAnsi="Open Sans"/>
          <w:sz w:val="20"/>
          <w:szCs w:val="20"/>
        </w:rPr>
        <w:t xml:space="preserve">Smluvní strany prohlašují, že si smlouvu před jejím podpisem přečetly, že souhlasí s jejím obsahem, který je jim srozumitelný, že smlouva je projevem jejich pravé a svobodné vůle, a že tato byla sepsána určitě, vážně, srozumitelně, což stvrzují podpisy svých oprávněných zástupců na smlouvě. </w:t>
      </w:r>
    </w:p>
    <w:p>
      <w:pPr>
        <w:pStyle w:val="ListBullet3"/>
        <w:rPr>
          <w:rFonts w:ascii="Open Sans" w:hAnsi="Open Sans"/>
          <w:sz w:val="20"/>
          <w:szCs w:val="20"/>
        </w:rPr>
      </w:pPr>
      <w:r>
        <w:rPr>
          <w:rFonts w:ascii="Open Sans" w:hAnsi="Open Sans"/>
          <w:sz w:val="20"/>
          <w:szCs w:val="20"/>
        </w:rPr>
      </w:r>
    </w:p>
    <w:p>
      <w:pPr>
        <w:pStyle w:val="Normal"/>
        <w:tabs>
          <w:tab w:val="left" w:pos="5103" w:leader="none"/>
        </w:tabs>
        <w:rPr>
          <w:rFonts w:ascii="Open Sans" w:hAnsi="Open Sans"/>
          <w:sz w:val="20"/>
          <w:szCs w:val="20"/>
        </w:rPr>
      </w:pPr>
      <w:r>
        <w:rPr>
          <w:rFonts w:ascii="Open Sans" w:hAnsi="Open Sans"/>
          <w:sz w:val="20"/>
          <w:szCs w:val="20"/>
        </w:rPr>
        <w:t>Datum:</w:t>
        <w:tab/>
        <w:t>Datum:</w:t>
      </w:r>
    </w:p>
    <w:p>
      <w:pPr>
        <w:pStyle w:val="Normal"/>
        <w:rPr>
          <w:rFonts w:ascii="Open Sans" w:hAnsi="Open Sans"/>
          <w:sz w:val="20"/>
          <w:szCs w:val="20"/>
        </w:rPr>
      </w:pPr>
      <w:r>
        <w:rPr>
          <w:rFonts w:ascii="Open Sans" w:hAnsi="Open Sans"/>
          <w:sz w:val="20"/>
          <w:szCs w:val="20"/>
        </w:rPr>
      </w:r>
    </w:p>
    <w:p>
      <w:pPr>
        <w:pStyle w:val="Normal"/>
        <w:rPr>
          <w:rFonts w:ascii="Open Sans" w:hAnsi="Open Sans"/>
          <w:sz w:val="20"/>
          <w:szCs w:val="20"/>
        </w:rPr>
      </w:pPr>
      <w:r>
        <w:rPr>
          <w:rFonts w:ascii="Open Sans" w:hAnsi="Open Sans"/>
          <w:sz w:val="20"/>
          <w:szCs w:val="20"/>
        </w:rPr>
      </w:r>
    </w:p>
    <w:p>
      <w:pPr>
        <w:pStyle w:val="Normal"/>
        <w:tabs>
          <w:tab w:val="left" w:pos="5245" w:leader="none"/>
        </w:tabs>
        <w:rPr>
          <w:rFonts w:ascii="Open Sans" w:hAnsi="Open Sans"/>
          <w:sz w:val="20"/>
          <w:szCs w:val="20"/>
        </w:rPr>
      </w:pPr>
      <w:r>
        <w:rPr>
          <w:rFonts w:ascii="Open Sans" w:hAnsi="Open Sans"/>
          <w:sz w:val="20"/>
          <w:szCs w:val="20"/>
        </w:rPr>
        <w:t>………………………………………</w:t>
      </w:r>
      <w:r>
        <w:rPr>
          <w:rFonts w:ascii="Open Sans" w:hAnsi="Open Sans"/>
          <w:sz w:val="20"/>
          <w:szCs w:val="20"/>
        </w:rPr>
        <w:tab/>
        <w:t>…………………………………………..</w:t>
      </w:r>
    </w:p>
    <w:p>
      <w:pPr>
        <w:pStyle w:val="Normal"/>
        <w:tabs>
          <w:tab w:val="left" w:pos="851" w:leader="none"/>
          <w:tab w:val="left" w:pos="6096" w:leader="none"/>
        </w:tabs>
        <w:spacing w:before="0" w:after="0"/>
        <w:rPr>
          <w:rFonts w:ascii="Open Sans" w:hAnsi="Open Sans"/>
          <w:sz w:val="20"/>
          <w:szCs w:val="20"/>
        </w:rPr>
      </w:pPr>
      <w:r>
        <w:rPr>
          <w:rFonts w:ascii="Open Sans" w:hAnsi="Open Sans"/>
          <w:sz w:val="20"/>
          <w:szCs w:val="20"/>
        </w:rPr>
        <w:tab/>
        <w:t>za objednatele</w:t>
        <w:tab/>
        <w:t>za zhotovitele</w:t>
      </w:r>
    </w:p>
    <w:p>
      <w:pPr>
        <w:pStyle w:val="Normal"/>
        <w:tabs>
          <w:tab w:val="left" w:pos="851" w:leader="none"/>
          <w:tab w:val="left" w:pos="5812" w:leader="none"/>
        </w:tabs>
        <w:rPr>
          <w:rFonts w:ascii="Open Sans" w:hAnsi="Open Sans"/>
          <w:sz w:val="20"/>
          <w:szCs w:val="20"/>
        </w:rPr>
      </w:pPr>
      <w:r>
        <w:rPr>
          <w:rFonts w:ascii="Open Sans" w:hAnsi="Open Sans"/>
          <w:sz w:val="20"/>
          <w:szCs w:val="20"/>
        </w:rPr>
        <w:tab/>
        <w:t>Ing. Štěpán Pavlík</w:t>
        <w:tab/>
        <w:tab/>
        <w:t>xxxxx</w:t>
      </w:r>
    </w:p>
    <w:p>
      <w:pPr>
        <w:pStyle w:val="Normal"/>
        <w:tabs>
          <w:tab w:val="left" w:pos="851" w:leader="none"/>
          <w:tab w:val="left" w:pos="5103" w:leader="none"/>
        </w:tabs>
        <w:spacing w:before="0" w:after="0"/>
        <w:rPr>
          <w:rFonts w:ascii="Open Sans" w:hAnsi="Open Sans"/>
          <w:sz w:val="20"/>
          <w:szCs w:val="20"/>
        </w:rPr>
      </w:pPr>
      <w:r>
        <w:rPr>
          <w:rFonts w:ascii="Open Sans" w:hAnsi="Open Sans"/>
          <w:sz w:val="20"/>
          <w:szCs w:val="20"/>
        </w:rPr>
        <w:tab/>
        <w:t>starosta města</w:t>
        <w:tab/>
        <w:tab/>
        <w:tab/>
        <w:t>xxxxx</w:t>
      </w:r>
    </w:p>
    <w:p>
      <w:pPr>
        <w:pStyle w:val="ListBullet3"/>
        <w:tabs>
          <w:tab w:val="left" w:pos="851" w:leader="none"/>
          <w:tab w:val="left" w:pos="5103" w:leader="none"/>
        </w:tabs>
        <w:spacing w:before="0" w:after="0"/>
        <w:rPr>
          <w:rFonts w:ascii="Open Sans" w:hAnsi="Open Sans"/>
          <w:sz w:val="20"/>
          <w:szCs w:val="20"/>
        </w:rPr>
      </w:pPr>
      <w:r>
        <w:rPr>
          <w:rFonts w:ascii="Open Sans" w:hAnsi="Open Sans"/>
          <w:sz w:val="20"/>
          <w:szCs w:val="20"/>
        </w:rPr>
      </w:r>
    </w:p>
    <w:p>
      <w:pPr>
        <w:pStyle w:val="ListBullet3"/>
        <w:tabs>
          <w:tab w:val="left" w:pos="851" w:leader="none"/>
          <w:tab w:val="left" w:pos="5103" w:leader="none"/>
        </w:tabs>
        <w:spacing w:before="0" w:after="0"/>
        <w:rPr>
          <w:rFonts w:ascii="Open Sans" w:hAnsi="Open Sans"/>
          <w:sz w:val="20"/>
          <w:szCs w:val="20"/>
        </w:rPr>
      </w:pPr>
      <w:r>
        <w:rPr>
          <w:rFonts w:ascii="Open Sans" w:hAnsi="Open Sans"/>
          <w:sz w:val="20"/>
          <w:szCs w:val="20"/>
        </w:rPr>
      </w:r>
    </w:p>
    <w:p>
      <w:pPr>
        <w:pStyle w:val="ListBullet3"/>
        <w:tabs>
          <w:tab w:val="left" w:pos="851" w:leader="none"/>
          <w:tab w:val="left" w:pos="5103" w:leader="none"/>
        </w:tabs>
        <w:spacing w:before="0" w:after="0"/>
        <w:rPr>
          <w:rFonts w:ascii="Open Sans" w:hAnsi="Open Sans"/>
          <w:sz w:val="20"/>
          <w:szCs w:val="20"/>
        </w:rPr>
      </w:pPr>
      <w:r>
        <w:rPr>
          <w:rFonts w:ascii="Open Sans" w:hAnsi="Open Sans"/>
          <w:sz w:val="20"/>
          <w:szCs w:val="20"/>
        </w:rPr>
      </w:r>
    </w:p>
    <w:p>
      <w:pPr>
        <w:pStyle w:val="ListBullet3"/>
        <w:tabs>
          <w:tab w:val="left" w:pos="851" w:leader="none"/>
          <w:tab w:val="left" w:pos="5103" w:leader="none"/>
        </w:tabs>
        <w:spacing w:before="0" w:after="0"/>
        <w:rPr/>
      </w:pPr>
      <w:r>
        <w:rPr>
          <w:rFonts w:ascii="Open Sans" w:hAnsi="Open Sans"/>
          <w:sz w:val="20"/>
          <w:szCs w:val="20"/>
        </w:rPr>
        <w:t>Příloha č. 1 – Zadání územní studie</w:t>
      </w:r>
    </w:p>
    <w:sectPr>
      <w:footerReference w:type="default" r:id="rId3"/>
      <w:type w:val="nextPage"/>
      <w:pgSz w:w="11906" w:h="16838"/>
      <w:pgMar w:left="1418" w:right="1418" w:header="0" w:top="1418" w:footer="708" w:bottom="1418" w:gutter="0"/>
      <w:pgNumType w:fmt="decimal"/>
      <w:formProt w:val="false"/>
      <w:textDirection w:val="lrTb"/>
      <w:docGrid w:type="default" w:linePitch="24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Times New Roman">
    <w:charset w:val="01"/>
    <w:family w:val="roman"/>
    <w:pitch w:val="default"/>
  </w:font>
  <w:font w:name="Arial">
    <w:charset w:val="01"/>
    <w:family w:val="roman"/>
    <w:pitch w:val="default"/>
  </w:font>
  <w:font w:name="Segoe UI">
    <w:charset w:val="01"/>
    <w:family w:val="roman"/>
    <w:pitch w:val="default"/>
  </w:font>
  <w:font w:name="Open Sans">
    <w:charset w:val="01"/>
    <w:family w:val="roman"/>
    <w:pitch w:val="default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sdt>
    <w:sdtPr>
      <w:docPartObj>
        <w:docPartGallery w:val="Page Numbers (Bottom of Page)"/>
        <w:docPartUnique w:val="true"/>
      </w:docPartObj>
      <w:id w:val="1556145258"/>
    </w:sdtPr>
    <w:sdtContent>
      <w:p>
        <w:pPr>
          <w:pStyle w:val="Zpat"/>
          <w:spacing w:before="120" w:after="0"/>
          <w:jc w:val="center"/>
          <w:rPr/>
        </w:pPr>
        <w:r>
          <w:rPr/>
          <w:fldChar w:fldCharType="begin"/>
        </w:r>
        <w:r>
          <w:instrText> PAGE </w:instrText>
        </w:r>
        <w:r>
          <w:fldChar w:fldCharType="separate"/>
        </w:r>
        <w:r>
          <w:t>8</w:t>
        </w:r>
        <w:r>
          <w:fldChar w:fldCharType="end"/>
        </w:r>
      </w:p>
    </w:sdtContent>
  </w:sdt>
  <w:p>
    <w:pPr>
      <w:pStyle w:val="Zpat"/>
      <w:ind w:right="360" w:hanging="0"/>
      <w:rPr/>
    </w:pPr>
    <w:r>
      <w:rPr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lvlText w:val=""/>
      <w:lvlJc w:val="left"/>
      <w:pPr>
        <w:tabs>
          <w:tab w:val="num" w:pos="1077"/>
        </w:tabs>
        <w:ind w:left="1077" w:hanging="368"/>
      </w:pPr>
      <w:rPr>
        <w:rFonts w:ascii="Symbol" w:hAnsi="Symbol" w:cs="Symbol" w:hint="default"/>
        <w:sz w:val="20"/>
        <w:rFonts w:cs="Symbol"/>
      </w:rPr>
    </w:lvl>
    <w:lvl w:ilvl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  <w:rFonts w:cs="Courier New"/>
      </w:rPr>
    </w:lvl>
    <w:lvl w:ilvl="2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cs="Wingdings" w:hint="default"/>
        <w:rFonts w:cs="Wingdings"/>
      </w:rPr>
    </w:lvl>
    <w:lvl w:ilvl="3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  <w:rFonts w:cs="Courier New"/>
      </w:rPr>
    </w:lvl>
    <w:lvl w:ilvl="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  <w:rFonts w:cs="Wingdings"/>
      </w:rPr>
    </w:lvl>
    <w:lvl w:ilvl="6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  <w:rFonts w:cs="Courier New"/>
      </w:rPr>
    </w:lvl>
    <w:lvl w:ilvl="8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  <w:rFonts w:cs="Wingdings"/>
      </w:rPr>
    </w:lvl>
  </w:abstractNum>
  <w:abstractNum w:abstractNumId="2">
    <w:lvl w:ilvl="0">
      <w:start w:val="1"/>
      <w:numFmt w:val="decimal"/>
      <w:lvlText w:val="%1."/>
      <w:lvlJc w:val="left"/>
      <w:pPr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lvl w:ilvl="0">
      <w:start w:val="1"/>
      <w:numFmt w:val="decimal"/>
      <w:lvlText w:val="%1."/>
      <w:lvlJc w:val="left"/>
      <w:pPr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lvl w:ilvl="0">
      <w:start w:val="1"/>
      <w:numFmt w:val="decimal"/>
      <w:lvlText w:val="%1."/>
      <w:lvlJc w:val="left"/>
      <w:pPr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>
    <w:lvl w:ilvl="0">
      <w:start w:val="1"/>
      <w:numFmt w:val="decimal"/>
      <w:lvlText w:val="%1."/>
      <w:lvlJc w:val="left"/>
      <w:pPr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>
    <w:lvl w:ilvl="0">
      <w:start w:val="1"/>
      <w:numFmt w:val="decimal"/>
      <w:lvlText w:val="%1."/>
      <w:lvlJc w:val="left"/>
      <w:pPr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>
    <w:lvl w:ilvl="0">
      <w:start w:val="1"/>
      <w:numFmt w:val="decimal"/>
      <w:lvlText w:val="%1."/>
      <w:lvlJc w:val="left"/>
      <w:pPr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>
    <w:lvl w:ilvl="0">
      <w:start w:val="1"/>
      <w:numFmt w:val="decimal"/>
      <w:lvlText w:val="%1."/>
      <w:lvlJc w:val="left"/>
      <w:pPr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>
    <w:lvl w:ilvl="0">
      <w:start w:val="1"/>
      <w:numFmt w:val="decimal"/>
      <w:lvlText w:val="%1."/>
      <w:lvlJc w:val="left"/>
      <w:pPr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>
    <w:lvl w:ilvl="0">
      <w:start w:val="1"/>
      <w:numFmt w:val="decimal"/>
      <w:lvlText w:val="%1."/>
      <w:lvlJc w:val="left"/>
      <w:pPr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>
    <w:lvl w:ilvl="0">
      <w:start w:val="1"/>
      <w:numFmt w:val="decimal"/>
      <w:lvlText w:val="%1."/>
      <w:lvlJc w:val="left"/>
      <w:pPr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>
    <w:lvl w:ilvl="0">
      <w:start w:val="1"/>
      <w:numFmt w:val="decimal"/>
      <w:lvlText w:val="%1."/>
      <w:lvlJc w:val="left"/>
      <w:pPr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>
    <w:lvl w:ilvl="0">
      <w:start w:val="1"/>
      <w:numFmt w:val="decimal"/>
      <w:lvlText w:val="%1."/>
      <w:lvlJc w:val="left"/>
      <w:pPr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"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</w:numbering>
</file>

<file path=word/settings.xml><?xml version="1.0" encoding="utf-8"?>
<w:settings xmlns:w="http://schemas.openxmlformats.org/wordprocessingml/2006/main">
  <w:zoom w:percent="120"/>
  <w:defaultTabStop w:val="720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themeFontLang w:val="cs-CZ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cs-CZ" w:eastAsia="cs-CZ" w:bidi="ar-SA"/>
      </w:rPr>
    </w:rPrDefault>
    <w:pPrDefault>
      <w:pPr/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uiPriority="0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false"/>
      <w:bidi w:val="0"/>
      <w:spacing w:lineRule="auto" w:line="288" w:before="120" w:after="0"/>
      <w:jc w:val="both"/>
    </w:pPr>
    <w:rPr>
      <w:rFonts w:ascii="Arial" w:hAnsi="Arial" w:eastAsia="Times New Roman" w:cs="Times New Roman"/>
      <w:color w:val="00000A"/>
      <w:sz w:val="22"/>
      <w:szCs w:val="24"/>
      <w:lang w:val="cs-CZ" w:eastAsia="cs-CZ" w:bidi="ar-SA"/>
    </w:rPr>
  </w:style>
  <w:style w:type="paragraph" w:styleId="Nadpis1">
    <w:name w:val="Heading 1"/>
    <w:basedOn w:val="Normal"/>
    <w:qFormat/>
    <w:pPr>
      <w:keepNext/>
      <w:tabs>
        <w:tab w:val="left" w:pos="454" w:leader="none"/>
      </w:tabs>
      <w:spacing w:before="240" w:after="60"/>
      <w:outlineLvl w:val="0"/>
    </w:pPr>
    <w:rPr>
      <w:b/>
      <w:caps/>
      <w:sz w:val="28"/>
    </w:rPr>
  </w:style>
  <w:style w:type="paragraph" w:styleId="Nadpis2">
    <w:name w:val="Heading 2"/>
    <w:basedOn w:val="Normal"/>
    <w:qFormat/>
    <w:pPr>
      <w:keepNext/>
      <w:tabs>
        <w:tab w:val="left" w:pos="454" w:leader="none"/>
      </w:tabs>
      <w:spacing w:before="0" w:after="0"/>
      <w:jc w:val="center"/>
      <w:outlineLvl w:val="1"/>
    </w:pPr>
    <w:rPr>
      <w:b/>
      <w:sz w:val="26"/>
    </w:rPr>
  </w:style>
  <w:style w:type="paragraph" w:styleId="Nadpis3">
    <w:name w:val="Heading 3"/>
    <w:basedOn w:val="Normal"/>
    <w:qFormat/>
    <w:pPr>
      <w:keepNext/>
      <w:tabs>
        <w:tab w:val="left" w:pos="454" w:leader="none"/>
      </w:tabs>
      <w:spacing w:before="240" w:after="0"/>
      <w:outlineLvl w:val="2"/>
    </w:pPr>
    <w:rPr>
      <w:b/>
    </w:rPr>
  </w:style>
  <w:style w:type="paragraph" w:styleId="Nadpis4">
    <w:name w:val="Heading 4"/>
    <w:basedOn w:val="Normal"/>
    <w:qFormat/>
    <w:pPr>
      <w:keepNext/>
      <w:tabs>
        <w:tab w:val="left" w:pos="454" w:leader="none"/>
      </w:tabs>
      <w:spacing w:before="240" w:after="0"/>
      <w:outlineLvl w:val="3"/>
    </w:pPr>
    <w:rPr>
      <w:b/>
      <w:i/>
    </w:rPr>
  </w:style>
  <w:style w:type="paragraph" w:styleId="Nadpis5">
    <w:name w:val="Heading 5"/>
    <w:basedOn w:val="Normal"/>
    <w:qFormat/>
    <w:pPr>
      <w:keepNext/>
      <w:tabs>
        <w:tab w:val="left" w:pos="454" w:leader="none"/>
      </w:tabs>
      <w:spacing w:before="240" w:after="0"/>
      <w:outlineLvl w:val="4"/>
    </w:pPr>
    <w:rPr>
      <w:i/>
    </w:rPr>
  </w:style>
  <w:style w:type="paragraph" w:styleId="Nadpis6">
    <w:name w:val="Heading 6"/>
    <w:basedOn w:val="Normal"/>
    <w:qFormat/>
    <w:pPr>
      <w:keepNext/>
      <w:tabs>
        <w:tab w:val="left" w:pos="454" w:leader="none"/>
      </w:tabs>
      <w:spacing w:before="240" w:after="0"/>
      <w:outlineLvl w:val="5"/>
    </w:pPr>
    <w:rPr>
      <w:u w:val="single"/>
    </w:rPr>
  </w:style>
  <w:style w:type="paragraph" w:styleId="Nadpis7">
    <w:name w:val="Heading 7"/>
    <w:basedOn w:val="Normal"/>
    <w:qFormat/>
    <w:pPr>
      <w:keepNext/>
      <w:spacing w:lineRule="auto" w:line="240" w:before="40" w:after="40"/>
      <w:outlineLvl w:val="6"/>
    </w:pPr>
    <w:rPr>
      <w:rFonts w:cs="Arial"/>
      <w:b/>
      <w:bCs/>
      <w:sz w:val="20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Pagenumber">
    <w:name w:val="page number"/>
    <w:basedOn w:val="DefaultParagraphFont"/>
    <w:semiHidden/>
    <w:qFormat/>
    <w:rPr>
      <w:rFonts w:ascii="Arial" w:hAnsi="Arial"/>
      <w:sz w:val="20"/>
    </w:rPr>
  </w:style>
  <w:style w:type="character" w:styleId="ZpatChar" w:customStyle="1">
    <w:name w:val="Zápatí Char"/>
    <w:basedOn w:val="DefaultParagraphFont"/>
    <w:link w:val="Zpat"/>
    <w:uiPriority w:val="99"/>
    <w:qFormat/>
    <w:rsid w:val="005514c6"/>
    <w:rPr>
      <w:rFonts w:ascii="Arial" w:hAnsi="Arial"/>
      <w:sz w:val="22"/>
      <w:szCs w:val="24"/>
    </w:rPr>
  </w:style>
  <w:style w:type="character" w:styleId="TextbublinyChar" w:customStyle="1">
    <w:name w:val="Text bubliny Char"/>
    <w:basedOn w:val="DefaultParagraphFont"/>
    <w:link w:val="Textbubliny"/>
    <w:uiPriority w:val="99"/>
    <w:semiHidden/>
    <w:qFormat/>
    <w:rsid w:val="00f74975"/>
    <w:rPr>
      <w:rFonts w:ascii="Segoe UI" w:hAnsi="Segoe UI" w:cs="Segoe UI"/>
      <w:sz w:val="18"/>
      <w:szCs w:val="18"/>
    </w:rPr>
  </w:style>
  <w:style w:type="character" w:styleId="ListLabel1" w:customStyle="1">
    <w:name w:val="ListLabel 1"/>
    <w:qFormat/>
    <w:rPr>
      <w:rFonts w:cs="Courier New"/>
    </w:rPr>
  </w:style>
  <w:style w:type="character" w:styleId="ListLabel2" w:customStyle="1">
    <w:name w:val="ListLabel 2"/>
    <w:qFormat/>
    <w:rPr>
      <w:rFonts w:cs="Courier New"/>
    </w:rPr>
  </w:style>
  <w:style w:type="character" w:styleId="ListLabel3" w:customStyle="1">
    <w:name w:val="ListLabel 3"/>
    <w:qFormat/>
    <w:rPr>
      <w:rFonts w:cs="Courier New"/>
    </w:rPr>
  </w:style>
  <w:style w:type="character" w:styleId="Symbolyproslovn" w:customStyle="1">
    <w:name w:val="Symboly pro číslování"/>
    <w:qFormat/>
    <w:rPr/>
  </w:style>
  <w:style w:type="character" w:styleId="ListLabel4" w:customStyle="1">
    <w:name w:val="ListLabel 4"/>
    <w:qFormat/>
    <w:rPr>
      <w:rFonts w:cs="Symbol"/>
    </w:rPr>
  </w:style>
  <w:style w:type="character" w:styleId="ListLabel5" w:customStyle="1">
    <w:name w:val="ListLabel 5"/>
    <w:qFormat/>
    <w:rPr>
      <w:rFonts w:cs="Courier New"/>
    </w:rPr>
  </w:style>
  <w:style w:type="character" w:styleId="ListLabel6" w:customStyle="1">
    <w:name w:val="ListLabel 6"/>
    <w:qFormat/>
    <w:rPr>
      <w:rFonts w:cs="Wingdings"/>
    </w:rPr>
  </w:style>
  <w:style w:type="character" w:styleId="ListLabel7" w:customStyle="1">
    <w:name w:val="ListLabel 7"/>
    <w:qFormat/>
    <w:rPr>
      <w:rFonts w:cs="Symbol"/>
    </w:rPr>
  </w:style>
  <w:style w:type="character" w:styleId="ListLabel8" w:customStyle="1">
    <w:name w:val="ListLabel 8"/>
    <w:qFormat/>
    <w:rPr>
      <w:rFonts w:cs="Courier New"/>
    </w:rPr>
  </w:style>
  <w:style w:type="character" w:styleId="ListLabel9" w:customStyle="1">
    <w:name w:val="ListLabel 9"/>
    <w:qFormat/>
    <w:rPr>
      <w:rFonts w:cs="Wingdings"/>
    </w:rPr>
  </w:style>
  <w:style w:type="character" w:styleId="ListLabel10" w:customStyle="1">
    <w:name w:val="ListLabel 10"/>
    <w:qFormat/>
    <w:rPr>
      <w:rFonts w:cs="Symbol"/>
    </w:rPr>
  </w:style>
  <w:style w:type="character" w:styleId="ListLabel11" w:customStyle="1">
    <w:name w:val="ListLabel 11"/>
    <w:qFormat/>
    <w:rPr>
      <w:rFonts w:cs="Courier New"/>
    </w:rPr>
  </w:style>
  <w:style w:type="character" w:styleId="ListLabel12" w:customStyle="1">
    <w:name w:val="ListLabel 12"/>
    <w:qFormat/>
    <w:rPr>
      <w:rFonts w:cs="Wingdings"/>
    </w:rPr>
  </w:style>
  <w:style w:type="character" w:styleId="ListLabel13" w:customStyle="1">
    <w:name w:val="ListLabel 13"/>
    <w:qFormat/>
    <w:rPr>
      <w:rFonts w:cs="Symbol"/>
    </w:rPr>
  </w:style>
  <w:style w:type="character" w:styleId="ListLabel14" w:customStyle="1">
    <w:name w:val="ListLabel 14"/>
    <w:qFormat/>
    <w:rPr>
      <w:rFonts w:cs="Symbol"/>
    </w:rPr>
  </w:style>
  <w:style w:type="character" w:styleId="ListLabel15" w:customStyle="1">
    <w:name w:val="ListLabel 15"/>
    <w:qFormat/>
    <w:rPr>
      <w:rFonts w:cs="Courier New"/>
    </w:rPr>
  </w:style>
  <w:style w:type="character" w:styleId="ListLabel16" w:customStyle="1">
    <w:name w:val="ListLabel 16"/>
    <w:qFormat/>
    <w:rPr>
      <w:rFonts w:cs="Wingdings"/>
    </w:rPr>
  </w:style>
  <w:style w:type="character" w:styleId="ListLabel17" w:customStyle="1">
    <w:name w:val="ListLabel 17"/>
    <w:qFormat/>
    <w:rPr>
      <w:rFonts w:cs="Symbol"/>
    </w:rPr>
  </w:style>
  <w:style w:type="character" w:styleId="ListLabel18" w:customStyle="1">
    <w:name w:val="ListLabel 18"/>
    <w:qFormat/>
    <w:rPr>
      <w:rFonts w:cs="Courier New"/>
    </w:rPr>
  </w:style>
  <w:style w:type="character" w:styleId="ListLabel19" w:customStyle="1">
    <w:name w:val="ListLabel 19"/>
    <w:qFormat/>
    <w:rPr>
      <w:rFonts w:cs="Wingdings"/>
    </w:rPr>
  </w:style>
  <w:style w:type="character" w:styleId="ListLabel20" w:customStyle="1">
    <w:name w:val="ListLabel 20"/>
    <w:qFormat/>
    <w:rPr>
      <w:rFonts w:cs="Symbol"/>
    </w:rPr>
  </w:style>
  <w:style w:type="character" w:styleId="ListLabel21" w:customStyle="1">
    <w:name w:val="ListLabel 21"/>
    <w:qFormat/>
    <w:rPr>
      <w:rFonts w:cs="Courier New"/>
    </w:rPr>
  </w:style>
  <w:style w:type="character" w:styleId="ListLabel22" w:customStyle="1">
    <w:name w:val="ListLabel 22"/>
    <w:qFormat/>
    <w:rPr>
      <w:rFonts w:cs="Wingdings"/>
    </w:rPr>
  </w:style>
  <w:style w:type="character" w:styleId="ListLabel23" w:customStyle="1">
    <w:name w:val="ListLabel 23"/>
    <w:qFormat/>
    <w:rPr>
      <w:rFonts w:cs="Symbol"/>
    </w:rPr>
  </w:style>
  <w:style w:type="character" w:styleId="ListLabel24" w:customStyle="1">
    <w:name w:val="ListLabel 24"/>
    <w:qFormat/>
    <w:rPr>
      <w:rFonts w:cs="Courier New"/>
    </w:rPr>
  </w:style>
  <w:style w:type="character" w:styleId="ListLabel25" w:customStyle="1">
    <w:name w:val="ListLabel 25"/>
    <w:qFormat/>
    <w:rPr>
      <w:rFonts w:cs="Wingdings"/>
    </w:rPr>
  </w:style>
  <w:style w:type="character" w:styleId="ListLabel26" w:customStyle="1">
    <w:name w:val="ListLabel 26"/>
    <w:qFormat/>
    <w:rPr>
      <w:rFonts w:cs="Symbol"/>
    </w:rPr>
  </w:style>
  <w:style w:type="character" w:styleId="ListLabel27" w:customStyle="1">
    <w:name w:val="ListLabel 27"/>
    <w:qFormat/>
    <w:rPr>
      <w:rFonts w:cs="Courier New"/>
    </w:rPr>
  </w:style>
  <w:style w:type="character" w:styleId="ListLabel28" w:customStyle="1">
    <w:name w:val="ListLabel 28"/>
    <w:qFormat/>
    <w:rPr>
      <w:rFonts w:cs="Wingdings"/>
    </w:rPr>
  </w:style>
  <w:style w:type="character" w:styleId="ListLabel29" w:customStyle="1">
    <w:name w:val="ListLabel 29"/>
    <w:qFormat/>
    <w:rPr>
      <w:rFonts w:cs="Symbol"/>
    </w:rPr>
  </w:style>
  <w:style w:type="character" w:styleId="ListLabel30" w:customStyle="1">
    <w:name w:val="ListLabel 30"/>
    <w:qFormat/>
    <w:rPr>
      <w:rFonts w:cs="Courier New"/>
    </w:rPr>
  </w:style>
  <w:style w:type="character" w:styleId="ListLabel31" w:customStyle="1">
    <w:name w:val="ListLabel 31"/>
    <w:qFormat/>
    <w:rPr>
      <w:rFonts w:cs="Wingdings"/>
    </w:rPr>
  </w:style>
  <w:style w:type="character" w:styleId="ListLabel32" w:customStyle="1">
    <w:name w:val="ListLabel 32"/>
    <w:qFormat/>
    <w:rPr>
      <w:rFonts w:cs="Symbol"/>
    </w:rPr>
  </w:style>
  <w:style w:type="character" w:styleId="ListLabel33" w:customStyle="1">
    <w:name w:val="ListLabel 33"/>
    <w:qFormat/>
    <w:rPr>
      <w:rFonts w:cs="Courier New"/>
    </w:rPr>
  </w:style>
  <w:style w:type="character" w:styleId="ListLabel34" w:customStyle="1">
    <w:name w:val="ListLabel 34"/>
    <w:qFormat/>
    <w:rPr>
      <w:rFonts w:cs="Wingdings"/>
    </w:rPr>
  </w:style>
  <w:style w:type="character" w:styleId="ListLabel35" w:customStyle="1">
    <w:name w:val="ListLabel 35"/>
    <w:qFormat/>
    <w:rPr>
      <w:rFonts w:cs="Symbol"/>
    </w:rPr>
  </w:style>
  <w:style w:type="character" w:styleId="ListLabel36" w:customStyle="1">
    <w:name w:val="ListLabel 36"/>
    <w:qFormat/>
    <w:rPr>
      <w:rFonts w:cs="Courier New"/>
    </w:rPr>
  </w:style>
  <w:style w:type="character" w:styleId="ListLabel37" w:customStyle="1">
    <w:name w:val="ListLabel 37"/>
    <w:qFormat/>
    <w:rPr>
      <w:rFonts w:cs="Wingdings"/>
    </w:rPr>
  </w:style>
  <w:style w:type="character" w:styleId="ListLabel38" w:customStyle="1">
    <w:name w:val="ListLabel 38"/>
    <w:qFormat/>
    <w:rPr>
      <w:rFonts w:cs="Symbol"/>
    </w:rPr>
  </w:style>
  <w:style w:type="character" w:styleId="ListLabel39" w:customStyle="1">
    <w:name w:val="ListLabel 39"/>
    <w:qFormat/>
    <w:rPr>
      <w:rFonts w:cs="Courier New"/>
    </w:rPr>
  </w:style>
  <w:style w:type="character" w:styleId="ListLabel40" w:customStyle="1">
    <w:name w:val="ListLabel 40"/>
    <w:qFormat/>
    <w:rPr>
      <w:rFonts w:cs="Wingdings"/>
    </w:rPr>
  </w:style>
  <w:style w:type="character" w:styleId="ListLabel41" w:customStyle="1">
    <w:name w:val="ListLabel 41"/>
    <w:qFormat/>
    <w:rPr>
      <w:rFonts w:cs="Symbol"/>
    </w:rPr>
  </w:style>
  <w:style w:type="character" w:styleId="ListLabel42" w:customStyle="1">
    <w:name w:val="ListLabel 42"/>
    <w:qFormat/>
    <w:rPr>
      <w:rFonts w:cs="Courier New"/>
    </w:rPr>
  </w:style>
  <w:style w:type="character" w:styleId="ListLabel43" w:customStyle="1">
    <w:name w:val="ListLabel 43"/>
    <w:qFormat/>
    <w:rPr>
      <w:rFonts w:cs="Wingdings"/>
    </w:rPr>
  </w:style>
  <w:style w:type="character" w:styleId="ListLabel44" w:customStyle="1">
    <w:name w:val="ListLabel 44"/>
    <w:qFormat/>
    <w:rPr>
      <w:rFonts w:cs="Symbol"/>
    </w:rPr>
  </w:style>
  <w:style w:type="character" w:styleId="ListLabel45" w:customStyle="1">
    <w:name w:val="ListLabel 45"/>
    <w:qFormat/>
    <w:rPr>
      <w:rFonts w:cs="Courier New"/>
    </w:rPr>
  </w:style>
  <w:style w:type="character" w:styleId="ListLabel46" w:customStyle="1">
    <w:name w:val="ListLabel 46"/>
    <w:qFormat/>
    <w:rPr>
      <w:rFonts w:cs="Wingdings"/>
    </w:rPr>
  </w:style>
  <w:style w:type="character" w:styleId="ListLabel47" w:customStyle="1">
    <w:name w:val="ListLabel 47"/>
    <w:qFormat/>
    <w:rPr>
      <w:rFonts w:cs="Symbol"/>
    </w:rPr>
  </w:style>
  <w:style w:type="character" w:styleId="ListLabel48" w:customStyle="1">
    <w:name w:val="ListLabel 48"/>
    <w:qFormat/>
    <w:rPr>
      <w:rFonts w:cs="Courier New"/>
    </w:rPr>
  </w:style>
  <w:style w:type="character" w:styleId="ListLabel49" w:customStyle="1">
    <w:name w:val="ListLabel 49"/>
    <w:qFormat/>
    <w:rPr>
      <w:rFonts w:cs="Wingdings"/>
    </w:rPr>
  </w:style>
  <w:style w:type="character" w:styleId="ListLabel50" w:customStyle="1">
    <w:name w:val="ListLabel 50"/>
    <w:qFormat/>
    <w:rPr>
      <w:rFonts w:cs="Symbol"/>
    </w:rPr>
  </w:style>
  <w:style w:type="character" w:styleId="ListLabel51" w:customStyle="1">
    <w:name w:val="ListLabel 51"/>
    <w:qFormat/>
    <w:rPr>
      <w:rFonts w:cs="Courier New"/>
    </w:rPr>
  </w:style>
  <w:style w:type="character" w:styleId="ListLabel52" w:customStyle="1">
    <w:name w:val="ListLabel 52"/>
    <w:qFormat/>
    <w:rPr>
      <w:rFonts w:cs="Wingdings"/>
    </w:rPr>
  </w:style>
  <w:style w:type="character" w:styleId="ListLabel53" w:customStyle="1">
    <w:name w:val="ListLabel 53"/>
    <w:qFormat/>
    <w:rPr>
      <w:rFonts w:cs="Symbol"/>
    </w:rPr>
  </w:style>
  <w:style w:type="character" w:styleId="ListLabel54" w:customStyle="1">
    <w:name w:val="ListLabel 54"/>
    <w:qFormat/>
    <w:rPr>
      <w:rFonts w:cs="Courier New"/>
    </w:rPr>
  </w:style>
  <w:style w:type="character" w:styleId="ListLabel55" w:customStyle="1">
    <w:name w:val="ListLabel 55"/>
    <w:qFormat/>
    <w:rPr>
      <w:rFonts w:cs="Wingdings"/>
    </w:rPr>
  </w:style>
  <w:style w:type="character" w:styleId="ListLabel56" w:customStyle="1">
    <w:name w:val="ListLabel 56"/>
    <w:qFormat/>
    <w:rPr>
      <w:rFonts w:cs="Symbol"/>
    </w:rPr>
  </w:style>
  <w:style w:type="character" w:styleId="ListLabel57" w:customStyle="1">
    <w:name w:val="ListLabel 57"/>
    <w:qFormat/>
    <w:rPr>
      <w:rFonts w:cs="Courier New"/>
    </w:rPr>
  </w:style>
  <w:style w:type="character" w:styleId="ListLabel58" w:customStyle="1">
    <w:name w:val="ListLabel 58"/>
    <w:qFormat/>
    <w:rPr>
      <w:rFonts w:cs="Wingdings"/>
    </w:rPr>
  </w:style>
  <w:style w:type="character" w:styleId="ListLabel59" w:customStyle="1">
    <w:name w:val="ListLabel 59"/>
    <w:qFormat/>
    <w:rPr>
      <w:rFonts w:ascii="Open Sans" w:hAnsi="Open Sans" w:cs="Symbol"/>
      <w:sz w:val="20"/>
    </w:rPr>
  </w:style>
  <w:style w:type="character" w:styleId="ListLabel60" w:customStyle="1">
    <w:name w:val="ListLabel 60"/>
    <w:qFormat/>
    <w:rPr>
      <w:rFonts w:cs="Courier New"/>
    </w:rPr>
  </w:style>
  <w:style w:type="character" w:styleId="ListLabel61" w:customStyle="1">
    <w:name w:val="ListLabel 61"/>
    <w:qFormat/>
    <w:rPr>
      <w:rFonts w:cs="Wingdings"/>
    </w:rPr>
  </w:style>
  <w:style w:type="character" w:styleId="ListLabel62" w:customStyle="1">
    <w:name w:val="ListLabel 62"/>
    <w:qFormat/>
    <w:rPr>
      <w:rFonts w:cs="Symbol"/>
    </w:rPr>
  </w:style>
  <w:style w:type="character" w:styleId="ListLabel63" w:customStyle="1">
    <w:name w:val="ListLabel 63"/>
    <w:qFormat/>
    <w:rPr>
      <w:rFonts w:cs="Courier New"/>
    </w:rPr>
  </w:style>
  <w:style w:type="character" w:styleId="ListLabel64" w:customStyle="1">
    <w:name w:val="ListLabel 64"/>
    <w:qFormat/>
    <w:rPr>
      <w:rFonts w:cs="Wingdings"/>
    </w:rPr>
  </w:style>
  <w:style w:type="character" w:styleId="ListLabel65" w:customStyle="1">
    <w:name w:val="ListLabel 65"/>
    <w:qFormat/>
    <w:rPr>
      <w:rFonts w:cs="Symbol"/>
    </w:rPr>
  </w:style>
  <w:style w:type="character" w:styleId="ListLabel66" w:customStyle="1">
    <w:name w:val="ListLabel 66"/>
    <w:qFormat/>
    <w:rPr>
      <w:rFonts w:cs="Courier New"/>
    </w:rPr>
  </w:style>
  <w:style w:type="character" w:styleId="ListLabel67" w:customStyle="1">
    <w:name w:val="ListLabel 67"/>
    <w:qFormat/>
    <w:rPr>
      <w:rFonts w:cs="Wingdings"/>
    </w:rPr>
  </w:style>
  <w:style w:type="character" w:styleId="ListLabel68" w:customStyle="1">
    <w:name w:val="ListLabel 68"/>
    <w:qFormat/>
    <w:rPr>
      <w:rFonts w:ascii="Open Sans" w:hAnsi="Open Sans" w:cs="Symbol"/>
      <w:sz w:val="20"/>
    </w:rPr>
  </w:style>
  <w:style w:type="character" w:styleId="ListLabel69" w:customStyle="1">
    <w:name w:val="ListLabel 69"/>
    <w:qFormat/>
    <w:rPr>
      <w:rFonts w:cs="Courier New"/>
    </w:rPr>
  </w:style>
  <w:style w:type="character" w:styleId="ListLabel70" w:customStyle="1">
    <w:name w:val="ListLabel 70"/>
    <w:qFormat/>
    <w:rPr>
      <w:rFonts w:cs="Wingdings"/>
    </w:rPr>
  </w:style>
  <w:style w:type="character" w:styleId="ListLabel71" w:customStyle="1">
    <w:name w:val="ListLabel 71"/>
    <w:qFormat/>
    <w:rPr>
      <w:rFonts w:cs="Symbol"/>
    </w:rPr>
  </w:style>
  <w:style w:type="character" w:styleId="ListLabel72" w:customStyle="1">
    <w:name w:val="ListLabel 72"/>
    <w:qFormat/>
    <w:rPr>
      <w:rFonts w:cs="Courier New"/>
    </w:rPr>
  </w:style>
  <w:style w:type="character" w:styleId="ListLabel73" w:customStyle="1">
    <w:name w:val="ListLabel 73"/>
    <w:qFormat/>
    <w:rPr>
      <w:rFonts w:cs="Wingdings"/>
    </w:rPr>
  </w:style>
  <w:style w:type="character" w:styleId="ListLabel74" w:customStyle="1">
    <w:name w:val="ListLabel 74"/>
    <w:qFormat/>
    <w:rPr>
      <w:rFonts w:cs="Symbol"/>
    </w:rPr>
  </w:style>
  <w:style w:type="character" w:styleId="ListLabel75" w:customStyle="1">
    <w:name w:val="ListLabel 75"/>
    <w:qFormat/>
    <w:rPr>
      <w:rFonts w:cs="Courier New"/>
    </w:rPr>
  </w:style>
  <w:style w:type="character" w:styleId="ListLabel76" w:customStyle="1">
    <w:name w:val="ListLabel 76"/>
    <w:qFormat/>
    <w:rPr>
      <w:rFonts w:cs="Wingdings"/>
    </w:rPr>
  </w:style>
  <w:style w:type="character" w:styleId="ListLabel77">
    <w:name w:val="ListLabel 77"/>
    <w:qFormat/>
    <w:rPr>
      <w:rFonts w:ascii="Open Sans" w:hAnsi="Open Sans" w:cs="Symbol"/>
      <w:sz w:val="20"/>
    </w:rPr>
  </w:style>
  <w:style w:type="character" w:styleId="ListLabel78">
    <w:name w:val="ListLabel 78"/>
    <w:qFormat/>
    <w:rPr>
      <w:rFonts w:cs="Courier New"/>
    </w:rPr>
  </w:style>
  <w:style w:type="character" w:styleId="ListLabel79">
    <w:name w:val="ListLabel 79"/>
    <w:qFormat/>
    <w:rPr>
      <w:rFonts w:cs="Wingdings"/>
    </w:rPr>
  </w:style>
  <w:style w:type="character" w:styleId="ListLabel80">
    <w:name w:val="ListLabel 80"/>
    <w:qFormat/>
    <w:rPr>
      <w:rFonts w:cs="Symbol"/>
    </w:rPr>
  </w:style>
  <w:style w:type="character" w:styleId="ListLabel81">
    <w:name w:val="ListLabel 81"/>
    <w:qFormat/>
    <w:rPr>
      <w:rFonts w:cs="Courier New"/>
    </w:rPr>
  </w:style>
  <w:style w:type="character" w:styleId="ListLabel82">
    <w:name w:val="ListLabel 82"/>
    <w:qFormat/>
    <w:rPr>
      <w:rFonts w:cs="Wingdings"/>
    </w:rPr>
  </w:style>
  <w:style w:type="character" w:styleId="ListLabel83">
    <w:name w:val="ListLabel 83"/>
    <w:qFormat/>
    <w:rPr>
      <w:rFonts w:cs="Symbol"/>
    </w:rPr>
  </w:style>
  <w:style w:type="character" w:styleId="ListLabel84">
    <w:name w:val="ListLabel 84"/>
    <w:qFormat/>
    <w:rPr>
      <w:rFonts w:cs="Courier New"/>
    </w:rPr>
  </w:style>
  <w:style w:type="character" w:styleId="ListLabel85">
    <w:name w:val="ListLabel 85"/>
    <w:qFormat/>
    <w:rPr>
      <w:rFonts w:cs="Wingdings"/>
    </w:rPr>
  </w:style>
  <w:style w:type="paragraph" w:styleId="Nadpis" w:customStyle="1">
    <w:name w:val="Nadpis"/>
    <w:basedOn w:val="Normal"/>
    <w:next w:val="Tlotextu"/>
    <w:qFormat/>
    <w:pPr>
      <w:keepNext/>
      <w:spacing w:before="240" w:after="120"/>
    </w:pPr>
    <w:rPr>
      <w:rFonts w:eastAsia="Microsoft YaHei" w:cs="Mangal"/>
      <w:sz w:val="28"/>
      <w:szCs w:val="28"/>
    </w:rPr>
  </w:style>
  <w:style w:type="paragraph" w:styleId="Tlotextu">
    <w:name w:val="Body Text"/>
    <w:basedOn w:val="Normal"/>
    <w:pPr>
      <w:spacing w:before="0" w:after="140"/>
    </w:pPr>
    <w:rPr/>
  </w:style>
  <w:style w:type="paragraph" w:styleId="Seznam">
    <w:name w:val="List"/>
    <w:basedOn w:val="Tlotextu"/>
    <w:pPr/>
    <w:rPr>
      <w:rFonts w:ascii="Times New Roman" w:hAnsi="Times New Roman" w:cs="Mangal"/>
    </w:rPr>
  </w:style>
  <w:style w:type="paragraph" w:styleId="Popisek">
    <w:name w:val="Caption"/>
    <w:basedOn w:val="Normal"/>
    <w:qFormat/>
    <w:pPr>
      <w:suppressLineNumbers/>
      <w:spacing w:before="120" w:after="120"/>
    </w:pPr>
    <w:rPr>
      <w:rFonts w:ascii="Times New Roman" w:hAnsi="Times New Roman" w:cs="Mangal"/>
      <w:i/>
      <w:iCs/>
      <w:sz w:val="24"/>
      <w:szCs w:val="24"/>
    </w:rPr>
  </w:style>
  <w:style w:type="paragraph" w:styleId="Rejstk" w:customStyle="1">
    <w:name w:val="Rejstřík"/>
    <w:basedOn w:val="Normal"/>
    <w:qFormat/>
    <w:pPr>
      <w:suppressLineNumbers/>
    </w:pPr>
    <w:rPr>
      <w:rFonts w:ascii="Times New Roman" w:hAnsi="Times New Roman" w:cs="Mang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Times New Roman" w:hAnsi="Times New Roman" w:cs="Mangal"/>
      <w:i/>
      <w:iCs/>
      <w:sz w:val="24"/>
    </w:rPr>
  </w:style>
  <w:style w:type="paragraph" w:styleId="Zpat">
    <w:name w:val="Footer"/>
    <w:basedOn w:val="Normal"/>
    <w:link w:val="ZpatChar"/>
    <w:uiPriority w:val="99"/>
    <w:pPr>
      <w:tabs>
        <w:tab w:val="center" w:pos="4536" w:leader="none"/>
        <w:tab w:val="right" w:pos="9072" w:leader="none"/>
      </w:tabs>
    </w:pPr>
    <w:rPr/>
  </w:style>
  <w:style w:type="paragraph" w:styleId="Zhlav">
    <w:name w:val="Header"/>
    <w:basedOn w:val="Normal"/>
    <w:semiHidden/>
    <w:pPr>
      <w:widowControl w:val="false"/>
      <w:jc w:val="center"/>
    </w:pPr>
    <w:rPr>
      <w:rFonts w:ascii="Times New Roman" w:hAnsi="Times New Roman"/>
      <w:sz w:val="20"/>
      <w:szCs w:val="20"/>
    </w:rPr>
  </w:style>
  <w:style w:type="paragraph" w:styleId="Normln2" w:customStyle="1">
    <w:name w:val="Normální2"/>
    <w:basedOn w:val="Normal"/>
    <w:qFormat/>
    <w:pPr>
      <w:spacing w:lineRule="auto" w:line="240" w:before="40" w:after="40"/>
    </w:pPr>
    <w:rPr>
      <w:sz w:val="16"/>
    </w:rPr>
  </w:style>
  <w:style w:type="paragraph" w:styleId="ListBullet">
    <w:name w:val="List Bullet"/>
    <w:basedOn w:val="Normal"/>
    <w:semiHidden/>
    <w:qFormat/>
    <w:pPr>
      <w:spacing w:before="60" w:after="0"/>
    </w:pPr>
    <w:rPr/>
  </w:style>
  <w:style w:type="paragraph" w:styleId="ListBullet2">
    <w:name w:val="List Bullet 2"/>
    <w:basedOn w:val="Normal"/>
    <w:semiHidden/>
    <w:qFormat/>
    <w:pPr>
      <w:spacing w:before="0" w:after="0"/>
    </w:pPr>
    <w:rPr/>
  </w:style>
  <w:style w:type="paragraph" w:styleId="Normln1" w:customStyle="1">
    <w:name w:val="Normální1"/>
    <w:basedOn w:val="Normal"/>
    <w:qFormat/>
    <w:pPr>
      <w:ind w:firstLine="454"/>
    </w:pPr>
    <w:rPr/>
  </w:style>
  <w:style w:type="paragraph" w:styleId="ListBullet3">
    <w:name w:val="List Bullet 3"/>
    <w:basedOn w:val="Normal"/>
    <w:semiHidden/>
    <w:qFormat/>
    <w:pPr>
      <w:ind w:left="454" w:hanging="454"/>
    </w:pPr>
    <w:rPr/>
  </w:style>
  <w:style w:type="paragraph" w:styleId="ListBullet4">
    <w:name w:val="List Bullet 4"/>
    <w:basedOn w:val="Normal"/>
    <w:semiHidden/>
    <w:qFormat/>
    <w:pPr>
      <w:spacing w:before="60" w:after="0"/>
      <w:ind w:left="1163" w:hanging="454"/>
    </w:pPr>
    <w:rPr/>
  </w:style>
  <w:style w:type="paragraph" w:styleId="Footnotetext">
    <w:name w:val="footnote text"/>
    <w:basedOn w:val="Normal"/>
    <w:semiHidden/>
    <w:qFormat/>
    <w:pPr>
      <w:ind w:left="170" w:hanging="170"/>
    </w:pPr>
    <w:rPr>
      <w:i/>
      <w:sz w:val="18"/>
    </w:rPr>
  </w:style>
  <w:style w:type="paragraph" w:styleId="Zhlavtabulky" w:customStyle="1">
    <w:name w:val="Záhlaví tabulky"/>
    <w:basedOn w:val="Normal"/>
    <w:qFormat/>
    <w:pPr>
      <w:suppressAutoHyphens w:val="true"/>
      <w:spacing w:lineRule="auto" w:line="240" w:before="40" w:after="40"/>
      <w:jc w:val="center"/>
    </w:pPr>
    <w:rPr>
      <w:b/>
      <w:i/>
      <w:spacing w:val="-2"/>
      <w:sz w:val="16"/>
    </w:rPr>
  </w:style>
  <w:style w:type="paragraph" w:styleId="ListBullet5">
    <w:name w:val="List Bullet 5"/>
    <w:basedOn w:val="Normal"/>
    <w:semiHidden/>
    <w:qFormat/>
    <w:pPr>
      <w:spacing w:before="0" w:after="0"/>
      <w:ind w:left="851" w:hanging="397"/>
    </w:pPr>
    <w:rPr/>
  </w:style>
  <w:style w:type="paragraph" w:styleId="Normln" w:customStyle="1">
    <w:name w:val="Normální_"/>
    <w:basedOn w:val="Normal"/>
    <w:qFormat/>
    <w:pPr>
      <w:tabs>
        <w:tab w:val="left" w:pos="454" w:leader="none"/>
      </w:tabs>
      <w:spacing w:lineRule="auto" w:line="240"/>
      <w:ind w:left="624" w:hanging="227"/>
      <w:jc w:val="left"/>
    </w:pPr>
    <w:rPr>
      <w:rFonts w:ascii="Times New Roman" w:hAnsi="Times New Roman"/>
      <w:szCs w:val="20"/>
    </w:rPr>
  </w:style>
  <w:style w:type="paragraph" w:styleId="ListParagraph">
    <w:name w:val="List Paragraph"/>
    <w:basedOn w:val="Normal"/>
    <w:uiPriority w:val="34"/>
    <w:qFormat/>
    <w:rsid w:val="002350fc"/>
    <w:pPr>
      <w:spacing w:before="120" w:after="0"/>
      <w:ind w:left="720" w:hanging="0"/>
      <w:contextualSpacing/>
    </w:pPr>
    <w:rPr/>
  </w:style>
  <w:style w:type="paragraph" w:styleId="BalloonText">
    <w:name w:val="Balloon Text"/>
    <w:basedOn w:val="Normal"/>
    <w:link w:val="TextbublinyChar"/>
    <w:uiPriority w:val="99"/>
    <w:semiHidden/>
    <w:unhideWhenUsed/>
    <w:qFormat/>
    <w:rsid w:val="00f74975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Obsahtabulky" w:customStyle="1">
    <w:name w:val="Obsah tabulky"/>
    <w:basedOn w:val="Normal"/>
    <w:qFormat/>
    <w:pPr>
      <w:suppressLineNumbers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footer" Target="foot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11B66C-1F4D-4BDF-AC22-96F262C626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353</TotalTime>
  <Application>LibreOffice/5.1.5.2$Windows_x86 LibreOffice_project/7a864d8825610a8c07cfc3bc01dd4fce6a9447e5</Application>
  <Pages>7</Pages>
  <Words>2103</Words>
  <CharactersWithSpaces>12409</CharactersWithSpaces>
  <Paragraphs>28</Paragraphs>
  <Company>TEIA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2016-10-25T13:55:00Z</dcterms:created>
  <dc:creator>Jiøina Holatová</dc:creator>
  <dc:description/>
  <dc:language>cs-CZ</dc:language>
  <cp:lastModifiedBy>F C</cp:lastModifiedBy>
  <cp:lastPrinted>2017-01-10T09:11:00Z</cp:lastPrinted>
  <dcterms:modified xsi:type="dcterms:W3CDTF">2020-10-15T10:57:00Z</dcterms:modified>
  <cp:revision>32</cp:revision>
  <dc:subject/>
  <dc:title>SMLOUVA O DÍLO è.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TEIA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