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485B" w14:textId="72ADC83A" w:rsidR="00675BCD" w:rsidRDefault="00E802C0" w:rsidP="00675BCD">
      <w:pPr>
        <w:pStyle w:val="HHTitleTitulnistrana"/>
      </w:pPr>
      <w:r w:rsidRPr="009B75A2">
        <w:rPr>
          <w:rFonts w:cs="Times New Roman"/>
          <w:szCs w:val="22"/>
        </w:rPr>
        <w:t xml:space="preserve">Smlouva o </w:t>
      </w:r>
      <w:r w:rsidR="0077607A">
        <w:t xml:space="preserve">Zajištění </w:t>
      </w:r>
      <w:r w:rsidR="000C6E62">
        <w:t>servisu</w:t>
      </w:r>
      <w:r w:rsidR="0077607A">
        <w:t xml:space="preserve"> Fotovoltaick</w:t>
      </w:r>
      <w:r w:rsidR="00675BCD">
        <w:t>ých</w:t>
      </w:r>
      <w:r w:rsidR="0077607A">
        <w:t xml:space="preserve"> elektrár</w:t>
      </w:r>
      <w:r w:rsidR="00675BCD">
        <w:t>e</w:t>
      </w:r>
      <w:r w:rsidR="0077607A">
        <w:t>n</w:t>
      </w:r>
      <w:r w:rsidR="004B3724">
        <w:t xml:space="preserve"> </w:t>
      </w:r>
    </w:p>
    <w:p w14:paraId="5306A168" w14:textId="4B9F98E4" w:rsidR="00E802C0" w:rsidRPr="009B75A2" w:rsidRDefault="00E802C0" w:rsidP="00675BCD">
      <w:pPr>
        <w:pStyle w:val="HHTitleTitulnistrana"/>
        <w:rPr>
          <w:sz w:val="26"/>
          <w:szCs w:val="26"/>
        </w:rPr>
      </w:pPr>
      <w:r w:rsidRPr="009B75A2">
        <w:rPr>
          <w:sz w:val="26"/>
          <w:szCs w:val="26"/>
        </w:rPr>
        <w:t>mezi</w:t>
      </w:r>
    </w:p>
    <w:p w14:paraId="44E8C81F" w14:textId="77777777" w:rsidR="00675BCD" w:rsidRPr="003614CE" w:rsidRDefault="00675BCD" w:rsidP="00675BCD">
      <w:pPr>
        <w:jc w:val="center"/>
        <w:rPr>
          <w:b/>
          <w:sz w:val="32"/>
          <w:szCs w:val="32"/>
        </w:rPr>
      </w:pPr>
      <w:r w:rsidRPr="003614CE">
        <w:rPr>
          <w:b/>
          <w:sz w:val="32"/>
          <w:szCs w:val="32"/>
        </w:rPr>
        <w:t>Jablonecká energetická a.s.</w:t>
      </w:r>
    </w:p>
    <w:p w14:paraId="6268D165" w14:textId="2D2C1932" w:rsidR="00E802C0" w:rsidRPr="009B75A2" w:rsidRDefault="004A1387" w:rsidP="004E5A86">
      <w:pPr>
        <w:jc w:val="center"/>
        <w:rPr>
          <w:sz w:val="26"/>
          <w:szCs w:val="26"/>
        </w:rPr>
      </w:pPr>
      <w:r w:rsidRPr="009B75A2">
        <w:rPr>
          <w:sz w:val="26"/>
          <w:szCs w:val="26"/>
        </w:rPr>
        <w:t xml:space="preserve">na </w:t>
      </w:r>
      <w:r w:rsidR="00E802C0" w:rsidRPr="009B75A2">
        <w:rPr>
          <w:sz w:val="26"/>
          <w:szCs w:val="26"/>
        </w:rPr>
        <w:t>straně jedné</w:t>
      </w:r>
    </w:p>
    <w:p w14:paraId="6A360327" w14:textId="77777777" w:rsidR="00E802C0" w:rsidRPr="009B75A2" w:rsidRDefault="00E802C0" w:rsidP="004E5A86">
      <w:pPr>
        <w:pStyle w:val="Titulka"/>
        <w:spacing w:before="480"/>
        <w:rPr>
          <w:sz w:val="26"/>
          <w:szCs w:val="26"/>
        </w:rPr>
      </w:pPr>
      <w:r w:rsidRPr="009B75A2">
        <w:rPr>
          <w:sz w:val="26"/>
          <w:szCs w:val="26"/>
        </w:rPr>
        <w:t>a</w:t>
      </w:r>
    </w:p>
    <w:p w14:paraId="3523EBDA" w14:textId="77777777" w:rsidR="00E802C0" w:rsidRPr="009B75A2" w:rsidRDefault="00E802C0" w:rsidP="004E5A86">
      <w:pPr>
        <w:pStyle w:val="Spolecnost"/>
        <w:spacing w:after="0"/>
      </w:pPr>
    </w:p>
    <w:p w14:paraId="0A1F3BDC" w14:textId="6997A7F9" w:rsidR="00675BCD" w:rsidRPr="003614CE" w:rsidRDefault="00675BCD" w:rsidP="00675BCD">
      <w:pPr>
        <w:jc w:val="center"/>
        <w:rPr>
          <w:rStyle w:val="platne"/>
          <w:b/>
          <w:sz w:val="32"/>
          <w:szCs w:val="32"/>
        </w:rPr>
      </w:pPr>
      <w:r w:rsidRPr="003614CE">
        <w:rPr>
          <w:rStyle w:val="platne"/>
          <w:b/>
          <w:sz w:val="32"/>
          <w:szCs w:val="32"/>
        </w:rPr>
        <w:t>[</w:t>
      </w:r>
      <w:r w:rsidRPr="006646A1">
        <w:rPr>
          <w:rStyle w:val="platne"/>
          <w:b/>
          <w:sz w:val="32"/>
          <w:szCs w:val="32"/>
          <w:highlight w:val="yellow"/>
        </w:rPr>
        <w:t>DOPLNÍ</w:t>
      </w:r>
      <w:r w:rsidR="006646A1" w:rsidRPr="006646A1">
        <w:rPr>
          <w:rStyle w:val="platne"/>
          <w:b/>
          <w:sz w:val="32"/>
          <w:szCs w:val="32"/>
          <w:highlight w:val="yellow"/>
        </w:rPr>
        <w:t xml:space="preserve"> ZHOTOVITEL</w:t>
      </w:r>
      <w:r w:rsidRPr="003614CE">
        <w:rPr>
          <w:rStyle w:val="platne"/>
          <w:b/>
          <w:sz w:val="32"/>
          <w:szCs w:val="32"/>
        </w:rPr>
        <w:t>]</w:t>
      </w:r>
    </w:p>
    <w:p w14:paraId="4AB8309A" w14:textId="051F0B8D" w:rsidR="00E802C0" w:rsidRPr="009B75A2" w:rsidRDefault="00E802C0" w:rsidP="004E5A86">
      <w:pPr>
        <w:jc w:val="center"/>
        <w:rPr>
          <w:sz w:val="26"/>
          <w:szCs w:val="26"/>
        </w:rPr>
      </w:pPr>
      <w:r w:rsidRPr="009B75A2">
        <w:rPr>
          <w:sz w:val="26"/>
          <w:szCs w:val="26"/>
        </w:rPr>
        <w:t>na straně druhé</w:t>
      </w:r>
    </w:p>
    <w:p w14:paraId="172D66EE" w14:textId="77777777" w:rsidR="00E802C0" w:rsidRPr="009B75A2" w:rsidRDefault="00E802C0" w:rsidP="004E5A86">
      <w:pPr>
        <w:jc w:val="center"/>
      </w:pPr>
    </w:p>
    <w:p w14:paraId="7A360B59" w14:textId="77777777" w:rsidR="00E802C0" w:rsidRPr="009B75A2" w:rsidRDefault="00E802C0" w:rsidP="004E5A86">
      <w:pPr>
        <w:jc w:val="center"/>
        <w:rPr>
          <w:sz w:val="26"/>
          <w:szCs w:val="26"/>
        </w:rPr>
      </w:pPr>
    </w:p>
    <w:p w14:paraId="065E5144" w14:textId="77777777" w:rsidR="00E802C0" w:rsidRPr="009B75A2" w:rsidRDefault="00E802C0" w:rsidP="004E5A86">
      <w:pPr>
        <w:jc w:val="center"/>
      </w:pPr>
    </w:p>
    <w:p w14:paraId="6B6061F6" w14:textId="77777777" w:rsidR="00E802C0" w:rsidRPr="009B75A2" w:rsidRDefault="00E802C0" w:rsidP="004E5A86">
      <w:pPr>
        <w:jc w:val="center"/>
      </w:pPr>
    </w:p>
    <w:p w14:paraId="6B9B0669" w14:textId="77777777" w:rsidR="00E802C0" w:rsidRPr="009B75A2" w:rsidRDefault="00E802C0" w:rsidP="004E5A86"/>
    <w:p w14:paraId="3551E7A7" w14:textId="77777777" w:rsidR="00E802C0" w:rsidRPr="009B75A2" w:rsidRDefault="00E802C0" w:rsidP="004E5A86"/>
    <w:p w14:paraId="2230AEBD" w14:textId="77777777" w:rsidR="00E802C0" w:rsidRPr="009B75A2" w:rsidRDefault="00E802C0" w:rsidP="004E5A86">
      <w:pPr>
        <w:tabs>
          <w:tab w:val="left" w:pos="1440"/>
        </w:tabs>
      </w:pPr>
      <w:r w:rsidRPr="009B75A2">
        <w:tab/>
      </w:r>
    </w:p>
    <w:p w14:paraId="40AC3D8F" w14:textId="77777777" w:rsidR="00E802C0" w:rsidRPr="009B75A2" w:rsidRDefault="00E802C0" w:rsidP="004E5A86"/>
    <w:p w14:paraId="46DC6887" w14:textId="7BA21D20" w:rsidR="00E802C0" w:rsidRPr="009B75A2" w:rsidRDefault="00E802C0" w:rsidP="004E5A86">
      <w:pPr>
        <w:spacing w:before="0" w:after="0"/>
        <w:jc w:val="left"/>
        <w:rPr>
          <w:b/>
          <w:bCs/>
          <w:caps/>
          <w:kern w:val="28"/>
          <w:szCs w:val="22"/>
        </w:rPr>
      </w:pPr>
    </w:p>
    <w:p w14:paraId="77B849DA" w14:textId="087F9323" w:rsidR="00E802C0" w:rsidRPr="009B75A2" w:rsidRDefault="00E802C0" w:rsidP="004E5A86">
      <w:pPr>
        <w:pStyle w:val="HHTitle2"/>
        <w:spacing w:before="120"/>
        <w:rPr>
          <w:rFonts w:cs="Times New Roman"/>
          <w:szCs w:val="22"/>
        </w:rPr>
      </w:pPr>
    </w:p>
    <w:p w14:paraId="213C6D0C" w14:textId="77777777" w:rsidR="00E802C0" w:rsidRPr="009B75A2" w:rsidRDefault="00E802C0" w:rsidP="004E5A86">
      <w:pPr>
        <w:spacing w:before="0" w:after="0"/>
        <w:jc w:val="left"/>
        <w:rPr>
          <w:b/>
          <w:bCs/>
          <w:caps/>
          <w:kern w:val="28"/>
          <w:szCs w:val="22"/>
        </w:rPr>
      </w:pPr>
      <w:r w:rsidRPr="009B75A2">
        <w:rPr>
          <w:szCs w:val="22"/>
        </w:rPr>
        <w:br w:type="page"/>
      </w:r>
    </w:p>
    <w:p w14:paraId="53F210E9" w14:textId="77777777" w:rsidR="00E802C0" w:rsidRPr="009B75A2" w:rsidRDefault="00E802C0" w:rsidP="004E5A86">
      <w:pPr>
        <w:pStyle w:val="HHTitle2"/>
        <w:spacing w:before="120"/>
        <w:rPr>
          <w:rFonts w:cs="Times New Roman"/>
          <w:szCs w:val="22"/>
        </w:rPr>
      </w:pPr>
    </w:p>
    <w:p w14:paraId="39D24695" w14:textId="7B7BB299" w:rsidR="0077607A" w:rsidRPr="00F81E19" w:rsidRDefault="0077607A" w:rsidP="004E5A86">
      <w:pPr>
        <w:pStyle w:val="HHTitle2"/>
        <w:spacing w:before="120"/>
        <w:rPr>
          <w:rFonts w:cs="Times New Roman"/>
          <w:szCs w:val="22"/>
        </w:rPr>
      </w:pPr>
      <w:r w:rsidRPr="00F81E19">
        <w:rPr>
          <w:rFonts w:cs="Times New Roman"/>
          <w:szCs w:val="22"/>
        </w:rPr>
        <w:t xml:space="preserve">SMLOUVA O ZAJIŠTĚNÍ </w:t>
      </w:r>
      <w:r w:rsidR="000C6E62">
        <w:rPr>
          <w:rFonts w:cs="Times New Roman"/>
          <w:szCs w:val="22"/>
        </w:rPr>
        <w:t>servisu</w:t>
      </w:r>
      <w:r w:rsidRPr="00F81E19">
        <w:rPr>
          <w:rFonts w:cs="Times New Roman"/>
          <w:szCs w:val="22"/>
        </w:rPr>
        <w:t xml:space="preserve"> FOTOVOLTAICK</w:t>
      </w:r>
      <w:r w:rsidR="000C6E62">
        <w:rPr>
          <w:rFonts w:cs="Times New Roman"/>
          <w:szCs w:val="22"/>
        </w:rPr>
        <w:t xml:space="preserve">ých </w:t>
      </w:r>
      <w:r w:rsidRPr="00F81E19">
        <w:rPr>
          <w:rFonts w:cs="Times New Roman"/>
          <w:szCs w:val="22"/>
        </w:rPr>
        <w:t>ELEKTRÁR</w:t>
      </w:r>
      <w:r w:rsidR="000C6E62">
        <w:rPr>
          <w:rFonts w:cs="Times New Roman"/>
          <w:szCs w:val="22"/>
        </w:rPr>
        <w:t>e</w:t>
      </w:r>
      <w:r w:rsidRPr="00F81E19">
        <w:rPr>
          <w:rFonts w:cs="Times New Roman"/>
          <w:szCs w:val="22"/>
        </w:rPr>
        <w:t>N</w:t>
      </w:r>
    </w:p>
    <w:p w14:paraId="6900D75F" w14:textId="25589D27" w:rsidR="00B61136" w:rsidRPr="00F81E19" w:rsidRDefault="00975CC4" w:rsidP="004E5A86">
      <w:pPr>
        <w:jc w:val="center"/>
        <w:rPr>
          <w:szCs w:val="22"/>
        </w:rPr>
      </w:pPr>
      <w:r w:rsidRPr="00F81E19">
        <w:rPr>
          <w:szCs w:val="22"/>
        </w:rPr>
        <w:t xml:space="preserve">uzavřená podle ustanovení § </w:t>
      </w:r>
      <w:r w:rsidR="00670089" w:rsidRPr="00F81E19">
        <w:rPr>
          <w:bCs/>
          <w:szCs w:val="22"/>
        </w:rPr>
        <w:t>1746 odst. 2</w:t>
      </w:r>
      <w:r w:rsidRPr="00F81E19">
        <w:rPr>
          <w:szCs w:val="22"/>
        </w:rPr>
        <w:t xml:space="preserve"> </w:t>
      </w:r>
      <w:r w:rsidR="0063515F" w:rsidRPr="00F81E19">
        <w:rPr>
          <w:szCs w:val="22"/>
        </w:rPr>
        <w:t xml:space="preserve">zákona </w:t>
      </w:r>
      <w:r w:rsidRPr="00F81E19">
        <w:rPr>
          <w:szCs w:val="22"/>
        </w:rPr>
        <w:t xml:space="preserve">č. </w:t>
      </w:r>
      <w:r w:rsidR="00670089" w:rsidRPr="00F81E19">
        <w:rPr>
          <w:bCs/>
          <w:szCs w:val="22"/>
        </w:rPr>
        <w:t>89/20</w:t>
      </w:r>
      <w:r w:rsidR="00210192" w:rsidRPr="00F81E19">
        <w:rPr>
          <w:bCs/>
          <w:szCs w:val="22"/>
        </w:rPr>
        <w:t>12</w:t>
      </w:r>
      <w:r w:rsidR="005F7343" w:rsidRPr="00F81E19">
        <w:rPr>
          <w:bCs/>
          <w:szCs w:val="22"/>
        </w:rPr>
        <w:t xml:space="preserve"> </w:t>
      </w:r>
      <w:r w:rsidRPr="00F81E19">
        <w:rPr>
          <w:szCs w:val="22"/>
        </w:rPr>
        <w:t xml:space="preserve">Sb., </w:t>
      </w:r>
      <w:r w:rsidR="00670089" w:rsidRPr="00F81E19">
        <w:rPr>
          <w:bCs/>
          <w:szCs w:val="22"/>
        </w:rPr>
        <w:t>občanský zákoník</w:t>
      </w:r>
      <w:r w:rsidR="0063515F" w:rsidRPr="00F81E19">
        <w:rPr>
          <w:szCs w:val="22"/>
        </w:rPr>
        <w:t>, ve znění pozdějších předpis</w:t>
      </w:r>
      <w:r w:rsidR="00B61136" w:rsidRPr="00F81E19">
        <w:rPr>
          <w:szCs w:val="22"/>
        </w:rPr>
        <w:t>ů</w:t>
      </w:r>
      <w:r w:rsidR="00C60F50" w:rsidRPr="00F81E19">
        <w:rPr>
          <w:szCs w:val="22"/>
        </w:rPr>
        <w:t xml:space="preserve"> („</w:t>
      </w:r>
      <w:r w:rsidR="00C60F50" w:rsidRPr="00F81E19">
        <w:rPr>
          <w:b/>
          <w:bCs/>
          <w:szCs w:val="22"/>
        </w:rPr>
        <w:t>Občanský zákoník</w:t>
      </w:r>
      <w:r w:rsidR="00C60F50" w:rsidRPr="00F81E19">
        <w:rPr>
          <w:szCs w:val="22"/>
        </w:rPr>
        <w:t>“)</w:t>
      </w:r>
    </w:p>
    <w:p w14:paraId="2121357D" w14:textId="4BCBEAF0" w:rsidR="00975CC4" w:rsidRPr="00F81E19" w:rsidRDefault="00975CC4" w:rsidP="004E5A86">
      <w:pPr>
        <w:jc w:val="center"/>
        <w:rPr>
          <w:szCs w:val="22"/>
        </w:rPr>
      </w:pPr>
      <w:r w:rsidRPr="00F81E19">
        <w:rPr>
          <w:szCs w:val="22"/>
        </w:rPr>
        <w:t>(„</w:t>
      </w:r>
      <w:r w:rsidRPr="00F81E19">
        <w:rPr>
          <w:b/>
          <w:szCs w:val="22"/>
        </w:rPr>
        <w:t>Smlouva</w:t>
      </w:r>
      <w:r w:rsidRPr="00F81E19">
        <w:rPr>
          <w:szCs w:val="22"/>
        </w:rPr>
        <w:t>“)</w:t>
      </w:r>
    </w:p>
    <w:p w14:paraId="120DCEE9" w14:textId="77777777" w:rsidR="006913F0" w:rsidRPr="00F81E19" w:rsidRDefault="006913F0" w:rsidP="004E5A86">
      <w:pPr>
        <w:pStyle w:val="Smluvnistranypreambule"/>
        <w:spacing w:before="120" w:after="120"/>
        <w:rPr>
          <w:szCs w:val="22"/>
        </w:rPr>
      </w:pPr>
      <w:r w:rsidRPr="00F81E19">
        <w:rPr>
          <w:szCs w:val="22"/>
        </w:rPr>
        <w:t>Smluvní strany</w:t>
      </w:r>
    </w:p>
    <w:p w14:paraId="1DE799D2" w14:textId="77777777" w:rsidR="00675BCD" w:rsidRPr="003614CE" w:rsidRDefault="00675BCD" w:rsidP="00675BCD">
      <w:pPr>
        <w:numPr>
          <w:ilvl w:val="0"/>
          <w:numId w:val="20"/>
        </w:numPr>
        <w:pBdr>
          <w:top w:val="nil"/>
          <w:left w:val="nil"/>
          <w:bottom w:val="nil"/>
          <w:right w:val="nil"/>
          <w:between w:val="nil"/>
          <w:bar w:val="nil"/>
        </w:pBdr>
      </w:pPr>
      <w:r w:rsidRPr="003614CE">
        <w:rPr>
          <w:rStyle w:val="slostrnky"/>
          <w:b/>
          <w:bCs/>
        </w:rPr>
        <w:t xml:space="preserve">Jablonecká energetická </w:t>
      </w:r>
      <w:r w:rsidRPr="00D82979">
        <w:rPr>
          <w:rStyle w:val="slostrnky"/>
          <w:b/>
          <w:bCs/>
        </w:rPr>
        <w:t>a.</w:t>
      </w:r>
      <w:r w:rsidRPr="00C37D1F">
        <w:rPr>
          <w:rStyle w:val="slostrnky"/>
          <w:b/>
          <w:bCs/>
        </w:rPr>
        <w:t>s.,</w:t>
      </w:r>
      <w:r w:rsidRPr="003A455F">
        <w:rPr>
          <w:rStyle w:val="slostrnky"/>
        </w:rPr>
        <w:t xml:space="preserve"> se </w:t>
      </w:r>
      <w:r w:rsidRPr="005865FF">
        <w:rPr>
          <w:rStyle w:val="slostrnky"/>
        </w:rPr>
        <w:t xml:space="preserve">sídlem U Rybníka 2402/5, 466 01 Jablonec nad Nisou, </w:t>
      </w:r>
      <w:r w:rsidRPr="005865FF">
        <w:rPr>
          <w:rStyle w:val="slostrnky"/>
        </w:rPr>
        <w:br/>
        <w:t xml:space="preserve">IČO: 615 39 881, zapsaná v obchodním rejstříku vedeném </w:t>
      </w:r>
      <w:r w:rsidRPr="003614CE">
        <w:rPr>
          <w:rStyle w:val="slostrnky"/>
        </w:rPr>
        <w:t>u Krajského soudu</w:t>
      </w:r>
      <w:r w:rsidRPr="005865FF">
        <w:rPr>
          <w:rStyle w:val="slostrnky"/>
        </w:rPr>
        <w:t xml:space="preserve"> v</w:t>
      </w:r>
      <w:r w:rsidRPr="003614CE">
        <w:rPr>
          <w:rStyle w:val="slostrnky"/>
        </w:rPr>
        <w:t xml:space="preserve"> Ústí nad Labem, pod </w:t>
      </w:r>
      <w:proofErr w:type="spellStart"/>
      <w:r w:rsidRPr="003614CE">
        <w:rPr>
          <w:rStyle w:val="slostrnky"/>
        </w:rPr>
        <w:t>sp</w:t>
      </w:r>
      <w:proofErr w:type="spellEnd"/>
      <w:r w:rsidRPr="003614CE">
        <w:rPr>
          <w:rStyle w:val="slostrnky"/>
        </w:rPr>
        <w:t>. zn. B 643</w:t>
      </w:r>
    </w:p>
    <w:p w14:paraId="1146C44E" w14:textId="77777777" w:rsidR="00675BCD" w:rsidRDefault="00675BCD" w:rsidP="00675BCD">
      <w:pPr>
        <w:pStyle w:val="Text11"/>
        <w:keepNext w:val="0"/>
        <w:rPr>
          <w:szCs w:val="22"/>
        </w:rPr>
      </w:pPr>
      <w:r w:rsidRPr="00F81E19">
        <w:rPr>
          <w:szCs w:val="22"/>
        </w:rPr>
        <w:t>(„</w:t>
      </w:r>
      <w:r w:rsidRPr="00F81E19">
        <w:rPr>
          <w:b/>
          <w:szCs w:val="22"/>
        </w:rPr>
        <w:t>Objednatel</w:t>
      </w:r>
      <w:r w:rsidRPr="00F81E19">
        <w:rPr>
          <w:szCs w:val="22"/>
        </w:rPr>
        <w:t>“)</w:t>
      </w:r>
    </w:p>
    <w:p w14:paraId="7F4D662F" w14:textId="31C52B22" w:rsidR="00675BCD" w:rsidRPr="00F81E19" w:rsidRDefault="00675BCD" w:rsidP="00675BCD">
      <w:pPr>
        <w:pStyle w:val="Text11"/>
        <w:keepNext w:val="0"/>
        <w:ind w:left="0"/>
        <w:rPr>
          <w:szCs w:val="22"/>
        </w:rPr>
      </w:pPr>
      <w:r>
        <w:rPr>
          <w:szCs w:val="22"/>
        </w:rPr>
        <w:t>a</w:t>
      </w:r>
    </w:p>
    <w:p w14:paraId="48058C9C" w14:textId="724F2100" w:rsidR="00675BCD" w:rsidRPr="003614CE" w:rsidRDefault="00675BCD" w:rsidP="00675BCD">
      <w:pPr>
        <w:numPr>
          <w:ilvl w:val="0"/>
          <w:numId w:val="20"/>
        </w:numPr>
        <w:pBdr>
          <w:top w:val="nil"/>
          <w:left w:val="nil"/>
          <w:bottom w:val="nil"/>
          <w:right w:val="nil"/>
          <w:between w:val="nil"/>
          <w:bar w:val="nil"/>
        </w:pBdr>
      </w:pPr>
      <w:r w:rsidRPr="008F5FFA">
        <w:rPr>
          <w:rStyle w:val="slostrnky"/>
          <w:b/>
          <w:bCs/>
        </w:rPr>
        <w:t>[</w:t>
      </w:r>
      <w:r w:rsidR="006646A1" w:rsidRPr="006646A1">
        <w:rPr>
          <w:rStyle w:val="slostrnky"/>
          <w:b/>
          <w:bCs/>
          <w:highlight w:val="yellow"/>
        </w:rPr>
        <w:t>DOPLNÍ ZHOTOVITEL</w:t>
      </w:r>
      <w:r w:rsidRPr="008F5FFA">
        <w:rPr>
          <w:rStyle w:val="slostrnky"/>
          <w:b/>
          <w:bCs/>
        </w:rPr>
        <w:t>]</w:t>
      </w:r>
      <w:r w:rsidRPr="003614CE">
        <w:rPr>
          <w:rStyle w:val="slostrnky"/>
        </w:rPr>
        <w:t>,</w:t>
      </w:r>
      <w:r>
        <w:rPr>
          <w:rStyle w:val="slostrnky"/>
        </w:rPr>
        <w:t xml:space="preserve"> </w:t>
      </w:r>
      <w:r w:rsidRPr="003614CE">
        <w:rPr>
          <w:rStyle w:val="slostrnky"/>
        </w:rPr>
        <w:t xml:space="preserve">se sídlem </w:t>
      </w:r>
      <w:r w:rsidRPr="008F5FFA">
        <w:rPr>
          <w:rStyle w:val="slostrnky"/>
        </w:rPr>
        <w:t>[</w:t>
      </w:r>
      <w:r w:rsidR="006646A1" w:rsidRPr="006646A1">
        <w:rPr>
          <w:rStyle w:val="slostrnky"/>
          <w:highlight w:val="yellow"/>
        </w:rPr>
        <w:t>DOPLNÍ ZHOTOVITEL</w:t>
      </w:r>
      <w:r w:rsidRPr="008F5FFA">
        <w:rPr>
          <w:rStyle w:val="slostrnky"/>
        </w:rPr>
        <w:t>]</w:t>
      </w:r>
      <w:r w:rsidRPr="003614CE">
        <w:rPr>
          <w:rStyle w:val="slostrnky"/>
        </w:rPr>
        <w:t xml:space="preserve">, IČO: </w:t>
      </w:r>
      <w:r w:rsidR="006646A1" w:rsidRPr="008F5FFA">
        <w:rPr>
          <w:rStyle w:val="slostrnky"/>
        </w:rPr>
        <w:t>[</w:t>
      </w:r>
      <w:r w:rsidR="006646A1" w:rsidRPr="006646A1">
        <w:rPr>
          <w:rStyle w:val="slostrnky"/>
          <w:highlight w:val="yellow"/>
        </w:rPr>
        <w:t>DOPLNÍ ZHOTOVITEL</w:t>
      </w:r>
      <w:r w:rsidR="006646A1" w:rsidRPr="008F5FFA">
        <w:rPr>
          <w:rStyle w:val="slostrnky"/>
        </w:rPr>
        <w:t>]</w:t>
      </w:r>
      <w:r w:rsidR="006646A1" w:rsidRPr="003614CE">
        <w:rPr>
          <w:rStyle w:val="slostrnky"/>
        </w:rPr>
        <w:t>,</w:t>
      </w:r>
      <w:r w:rsidR="006646A1">
        <w:rPr>
          <w:rStyle w:val="slostrnky"/>
        </w:rPr>
        <w:t xml:space="preserve"> </w:t>
      </w:r>
      <w:r w:rsidRPr="003614CE">
        <w:rPr>
          <w:rStyle w:val="slostrnky"/>
        </w:rPr>
        <w:t xml:space="preserve">zapsaná v obchodním rejstříku vedeném u </w:t>
      </w:r>
      <w:r w:rsidR="006646A1" w:rsidRPr="008F5FFA">
        <w:rPr>
          <w:rStyle w:val="slostrnky"/>
        </w:rPr>
        <w:t>[</w:t>
      </w:r>
      <w:r w:rsidR="006646A1" w:rsidRPr="006646A1">
        <w:rPr>
          <w:rStyle w:val="slostrnky"/>
          <w:highlight w:val="yellow"/>
        </w:rPr>
        <w:t>DOPLNÍ ZHOTOVITEL</w:t>
      </w:r>
      <w:r w:rsidR="006646A1" w:rsidRPr="008F5FFA">
        <w:rPr>
          <w:rStyle w:val="slostrnky"/>
        </w:rPr>
        <w:t>]</w:t>
      </w:r>
      <w:r w:rsidR="006646A1">
        <w:rPr>
          <w:rStyle w:val="slostrnky"/>
        </w:rPr>
        <w:t xml:space="preserve"> </w:t>
      </w:r>
      <w:r w:rsidRPr="003614CE">
        <w:rPr>
          <w:rStyle w:val="slostrnky"/>
        </w:rPr>
        <w:t xml:space="preserve">soudu v </w:t>
      </w:r>
      <w:r w:rsidR="006646A1" w:rsidRPr="008F5FFA">
        <w:rPr>
          <w:rStyle w:val="slostrnky"/>
        </w:rPr>
        <w:t>[</w:t>
      </w:r>
      <w:r w:rsidR="006646A1" w:rsidRPr="006646A1">
        <w:rPr>
          <w:rStyle w:val="slostrnky"/>
          <w:highlight w:val="yellow"/>
        </w:rPr>
        <w:t>DOPLNÍ ZHOTOVITEL</w:t>
      </w:r>
      <w:r w:rsidR="006646A1" w:rsidRPr="008F5FFA">
        <w:rPr>
          <w:rStyle w:val="slostrnky"/>
        </w:rPr>
        <w:t>]</w:t>
      </w:r>
      <w:r w:rsidR="006646A1" w:rsidRPr="003614CE">
        <w:rPr>
          <w:rStyle w:val="slostrnky"/>
        </w:rPr>
        <w:t>,</w:t>
      </w:r>
      <w:r w:rsidRPr="003614CE">
        <w:rPr>
          <w:rStyle w:val="slostrnky"/>
        </w:rPr>
        <w:t xml:space="preserve"> pod </w:t>
      </w:r>
      <w:proofErr w:type="spellStart"/>
      <w:r w:rsidRPr="003614CE">
        <w:rPr>
          <w:rStyle w:val="slostrnky"/>
        </w:rPr>
        <w:t>sp</w:t>
      </w:r>
      <w:proofErr w:type="spellEnd"/>
      <w:r w:rsidRPr="003614CE">
        <w:rPr>
          <w:rStyle w:val="slostrnky"/>
        </w:rPr>
        <w:t>. zn.</w:t>
      </w:r>
      <w:r w:rsidR="006646A1" w:rsidRPr="006646A1">
        <w:t xml:space="preserve"> </w:t>
      </w:r>
      <w:r w:rsidR="006646A1" w:rsidRPr="008F5FFA">
        <w:rPr>
          <w:rStyle w:val="slostrnky"/>
        </w:rPr>
        <w:t>[</w:t>
      </w:r>
      <w:r w:rsidR="006646A1" w:rsidRPr="006646A1">
        <w:rPr>
          <w:rStyle w:val="slostrnky"/>
          <w:highlight w:val="yellow"/>
        </w:rPr>
        <w:t>DOPLNÍ ZHOTOVITEL</w:t>
      </w:r>
      <w:r w:rsidR="006646A1" w:rsidRPr="008F5FFA">
        <w:rPr>
          <w:rStyle w:val="slostrnky"/>
        </w:rPr>
        <w:t>]</w:t>
      </w:r>
    </w:p>
    <w:p w14:paraId="535DB6FA" w14:textId="0CF0F4D6" w:rsidR="006913F0" w:rsidRPr="00F81E19" w:rsidRDefault="00F84D02" w:rsidP="004E5A86">
      <w:pPr>
        <w:pStyle w:val="Text11"/>
        <w:keepNext w:val="0"/>
        <w:rPr>
          <w:szCs w:val="22"/>
        </w:rPr>
      </w:pPr>
      <w:r w:rsidRPr="00F81E19">
        <w:rPr>
          <w:szCs w:val="22"/>
        </w:rPr>
        <w:t>(</w:t>
      </w:r>
      <w:r w:rsidR="00E31F16" w:rsidRPr="00F81E19">
        <w:rPr>
          <w:szCs w:val="22"/>
        </w:rPr>
        <w:t>„</w:t>
      </w:r>
      <w:r w:rsidR="0077607A" w:rsidRPr="00F81E19">
        <w:rPr>
          <w:b/>
          <w:szCs w:val="22"/>
        </w:rPr>
        <w:t>Poskytovatel</w:t>
      </w:r>
      <w:r w:rsidR="006913F0" w:rsidRPr="00F81E19">
        <w:rPr>
          <w:szCs w:val="22"/>
        </w:rPr>
        <w:t>“)</w:t>
      </w:r>
    </w:p>
    <w:p w14:paraId="3C3FE647" w14:textId="2E7420A9" w:rsidR="006913F0" w:rsidRPr="00F81E19" w:rsidRDefault="00F84D02" w:rsidP="004E5A86">
      <w:pPr>
        <w:pStyle w:val="Text11"/>
        <w:keepNext w:val="0"/>
        <w:rPr>
          <w:szCs w:val="22"/>
        </w:rPr>
      </w:pPr>
      <w:r w:rsidRPr="00F81E19">
        <w:rPr>
          <w:szCs w:val="22"/>
        </w:rPr>
        <w:t>(</w:t>
      </w:r>
      <w:r w:rsidR="004F66A0" w:rsidRPr="00F81E19">
        <w:rPr>
          <w:szCs w:val="22"/>
        </w:rPr>
        <w:t xml:space="preserve">Poskytovatel </w:t>
      </w:r>
      <w:r w:rsidR="003A5457" w:rsidRPr="00F81E19">
        <w:rPr>
          <w:szCs w:val="22"/>
        </w:rPr>
        <w:t xml:space="preserve">a </w:t>
      </w:r>
      <w:r w:rsidR="0077607A" w:rsidRPr="00F81E19">
        <w:rPr>
          <w:szCs w:val="22"/>
        </w:rPr>
        <w:t xml:space="preserve">Objednatel </w:t>
      </w:r>
      <w:r w:rsidR="006913F0" w:rsidRPr="00F81E19">
        <w:rPr>
          <w:szCs w:val="22"/>
        </w:rPr>
        <w:t>společně „</w:t>
      </w:r>
      <w:r w:rsidR="006913F0" w:rsidRPr="00F81E19">
        <w:rPr>
          <w:b/>
          <w:szCs w:val="22"/>
        </w:rPr>
        <w:t>S</w:t>
      </w:r>
      <w:r w:rsidR="003A5457" w:rsidRPr="00F81E19">
        <w:rPr>
          <w:b/>
          <w:szCs w:val="22"/>
        </w:rPr>
        <w:t>mluvní s</w:t>
      </w:r>
      <w:r w:rsidR="006913F0" w:rsidRPr="00F81E19">
        <w:rPr>
          <w:b/>
          <w:szCs w:val="22"/>
        </w:rPr>
        <w:t>trany</w:t>
      </w:r>
      <w:r w:rsidR="006913F0" w:rsidRPr="00F81E19">
        <w:rPr>
          <w:szCs w:val="22"/>
        </w:rPr>
        <w:t>“, a každý z nich samostatně „</w:t>
      </w:r>
      <w:r w:rsidR="006913F0" w:rsidRPr="00F81E19">
        <w:rPr>
          <w:b/>
          <w:szCs w:val="22"/>
        </w:rPr>
        <w:t>S</w:t>
      </w:r>
      <w:r w:rsidR="003A5457" w:rsidRPr="00F81E19">
        <w:rPr>
          <w:b/>
          <w:szCs w:val="22"/>
        </w:rPr>
        <w:t>mluvní s</w:t>
      </w:r>
      <w:r w:rsidR="006913F0" w:rsidRPr="00F81E19">
        <w:rPr>
          <w:b/>
          <w:szCs w:val="22"/>
        </w:rPr>
        <w:t>trana</w:t>
      </w:r>
      <w:r w:rsidR="006913F0" w:rsidRPr="00F81E19">
        <w:rPr>
          <w:szCs w:val="22"/>
        </w:rPr>
        <w:t>“)</w:t>
      </w:r>
    </w:p>
    <w:p w14:paraId="7A720D21" w14:textId="77777777" w:rsidR="00C23A8F" w:rsidRPr="00F81E19" w:rsidRDefault="00C23A8F" w:rsidP="004E5A86">
      <w:pPr>
        <w:pStyle w:val="Smluvnistranypreambule"/>
        <w:spacing w:before="120" w:after="120"/>
        <w:rPr>
          <w:szCs w:val="22"/>
        </w:rPr>
      </w:pPr>
      <w:r w:rsidRPr="00F81E19">
        <w:rPr>
          <w:szCs w:val="22"/>
        </w:rPr>
        <w:t>Preambule</w:t>
      </w:r>
    </w:p>
    <w:p w14:paraId="4DFFCF92" w14:textId="62940B7A" w:rsidR="004F66A0" w:rsidRPr="00F81E19" w:rsidRDefault="004F66A0" w:rsidP="004F66A0">
      <w:pPr>
        <w:pStyle w:val="Preambule"/>
        <w:widowControl/>
        <w:ind w:hanging="567"/>
        <w:rPr>
          <w:szCs w:val="22"/>
        </w:rPr>
      </w:pPr>
      <w:bookmarkStart w:id="0" w:name="_Hlk84942928"/>
      <w:r w:rsidRPr="00F81E19">
        <w:rPr>
          <w:szCs w:val="22"/>
        </w:rPr>
        <w:t>Poskytovatel</w:t>
      </w:r>
      <w:r w:rsidR="00166B77" w:rsidRPr="00F81E19">
        <w:rPr>
          <w:szCs w:val="22"/>
        </w:rPr>
        <w:t xml:space="preserve"> </w:t>
      </w:r>
      <w:r w:rsidR="00842624" w:rsidRPr="00F81E19">
        <w:rPr>
          <w:szCs w:val="22"/>
        </w:rPr>
        <w:t>je společností zabývající se</w:t>
      </w:r>
      <w:r w:rsidR="008266CD">
        <w:rPr>
          <w:szCs w:val="22"/>
        </w:rPr>
        <w:t>,</w:t>
      </w:r>
      <w:r w:rsidR="00842624" w:rsidRPr="00F81E19">
        <w:rPr>
          <w:szCs w:val="22"/>
        </w:rPr>
        <w:t xml:space="preserve"> </w:t>
      </w:r>
      <w:r w:rsidRPr="00F81E19">
        <w:rPr>
          <w:szCs w:val="22"/>
        </w:rPr>
        <w:t>mimo jiné</w:t>
      </w:r>
      <w:r w:rsidR="008266CD">
        <w:rPr>
          <w:szCs w:val="22"/>
        </w:rPr>
        <w:t>,</w:t>
      </w:r>
      <w:r w:rsidRPr="00F81E19">
        <w:rPr>
          <w:szCs w:val="22"/>
        </w:rPr>
        <w:t xml:space="preserve"> stavbou, provozem a údržbou fotovoltaických elektráren.</w:t>
      </w:r>
    </w:p>
    <w:p w14:paraId="0E578DF8" w14:textId="4CA7E436" w:rsidR="00C21E97" w:rsidRDefault="004F66A0" w:rsidP="004F66A0">
      <w:pPr>
        <w:pStyle w:val="Preambule"/>
        <w:widowControl/>
        <w:ind w:hanging="567"/>
        <w:rPr>
          <w:szCs w:val="22"/>
        </w:rPr>
      </w:pPr>
      <w:bookmarkStart w:id="1" w:name="_Ref133923877"/>
      <w:bookmarkStart w:id="2" w:name="_Ref134714064"/>
      <w:r w:rsidRPr="00F81E19">
        <w:rPr>
          <w:szCs w:val="22"/>
        </w:rPr>
        <w:t xml:space="preserve">Objednatel </w:t>
      </w:r>
      <w:r w:rsidR="000740C0">
        <w:rPr>
          <w:szCs w:val="22"/>
        </w:rPr>
        <w:t>připravil</w:t>
      </w:r>
      <w:r w:rsidRPr="00F81E19">
        <w:rPr>
          <w:szCs w:val="22"/>
        </w:rPr>
        <w:t xml:space="preserve"> projekt, jehož předmětem je </w:t>
      </w:r>
      <w:r w:rsidR="00675BCD">
        <w:rPr>
          <w:szCs w:val="22"/>
        </w:rPr>
        <w:t xml:space="preserve">mimo jiné vyprojektování, </w:t>
      </w:r>
      <w:r w:rsidRPr="00F81E19">
        <w:rPr>
          <w:szCs w:val="22"/>
        </w:rPr>
        <w:t>výstavba</w:t>
      </w:r>
      <w:r w:rsidR="003101D9">
        <w:rPr>
          <w:szCs w:val="22"/>
        </w:rPr>
        <w:t xml:space="preserve"> a</w:t>
      </w:r>
      <w:r w:rsidRPr="00F81E19">
        <w:rPr>
          <w:szCs w:val="22"/>
        </w:rPr>
        <w:t xml:space="preserve"> následný provoz fotovoltaick</w:t>
      </w:r>
      <w:r w:rsidR="00675BCD">
        <w:rPr>
          <w:szCs w:val="22"/>
        </w:rPr>
        <w:t>ých</w:t>
      </w:r>
      <w:r w:rsidRPr="00F81E19">
        <w:rPr>
          <w:szCs w:val="22"/>
        </w:rPr>
        <w:t xml:space="preserve"> elektrár</w:t>
      </w:r>
      <w:r w:rsidR="00675BCD">
        <w:rPr>
          <w:szCs w:val="22"/>
        </w:rPr>
        <w:t>e</w:t>
      </w:r>
      <w:r w:rsidRPr="00F81E19">
        <w:rPr>
          <w:szCs w:val="22"/>
        </w:rPr>
        <w:t xml:space="preserve">n </w:t>
      </w:r>
      <w:r w:rsidR="004B3724">
        <w:rPr>
          <w:szCs w:val="22"/>
        </w:rPr>
        <w:t xml:space="preserve">a </w:t>
      </w:r>
      <w:r w:rsidR="00DE77A2">
        <w:rPr>
          <w:szCs w:val="22"/>
        </w:rPr>
        <w:t xml:space="preserve">bateriových uložišť </w:t>
      </w:r>
      <w:r w:rsidR="00675BCD">
        <w:rPr>
          <w:szCs w:val="22"/>
        </w:rPr>
        <w:t>v Jablonci nad Nisou</w:t>
      </w:r>
      <w:r w:rsidRPr="00F81E19">
        <w:rPr>
          <w:szCs w:val="22"/>
        </w:rPr>
        <w:t>, v České republice</w:t>
      </w:r>
      <w:bookmarkEnd w:id="1"/>
      <w:r w:rsidR="008E4FC2" w:rsidRPr="002969A3">
        <w:rPr>
          <w:szCs w:val="22"/>
        </w:rPr>
        <w:t xml:space="preserve"> </w:t>
      </w:r>
      <w:r w:rsidR="000740C0">
        <w:rPr>
          <w:szCs w:val="22"/>
        </w:rPr>
        <w:t xml:space="preserve">o plánovaném instalovaném výkonu 3,6 </w:t>
      </w:r>
      <w:proofErr w:type="spellStart"/>
      <w:r w:rsidR="000740C0">
        <w:rPr>
          <w:szCs w:val="22"/>
        </w:rPr>
        <w:t>MWp</w:t>
      </w:r>
      <w:proofErr w:type="spellEnd"/>
      <w:r w:rsidR="000740C0">
        <w:rPr>
          <w:szCs w:val="22"/>
        </w:rPr>
        <w:t xml:space="preserve"> </w:t>
      </w:r>
      <w:r w:rsidR="008E4FC2" w:rsidRPr="002969A3">
        <w:rPr>
          <w:szCs w:val="22"/>
        </w:rPr>
        <w:t>(„</w:t>
      </w:r>
      <w:r w:rsidR="008E4FC2" w:rsidRPr="00165BA7">
        <w:rPr>
          <w:b/>
          <w:bCs/>
          <w:szCs w:val="22"/>
        </w:rPr>
        <w:t>Projekt</w:t>
      </w:r>
      <w:r w:rsidR="008E4FC2" w:rsidRPr="00F81E19">
        <w:rPr>
          <w:szCs w:val="22"/>
        </w:rPr>
        <w:t>“)</w:t>
      </w:r>
      <w:r w:rsidR="00DF19CE" w:rsidRPr="00F81E19">
        <w:rPr>
          <w:szCs w:val="22"/>
        </w:rPr>
        <w:t>.</w:t>
      </w:r>
      <w:bookmarkEnd w:id="2"/>
      <w:r w:rsidR="00675BCD">
        <w:rPr>
          <w:szCs w:val="22"/>
        </w:rPr>
        <w:t xml:space="preserve"> </w:t>
      </w:r>
    </w:p>
    <w:p w14:paraId="1FAD0AC3" w14:textId="79170722" w:rsidR="00675BCD" w:rsidRPr="00F81E19" w:rsidRDefault="00675BCD" w:rsidP="004F66A0">
      <w:pPr>
        <w:pStyle w:val="Preambule"/>
        <w:widowControl/>
        <w:ind w:hanging="567"/>
        <w:rPr>
          <w:szCs w:val="22"/>
        </w:rPr>
      </w:pPr>
      <w:bookmarkStart w:id="3" w:name="_Ref148432441"/>
      <w:r>
        <w:rPr>
          <w:szCs w:val="22"/>
        </w:rPr>
        <w:t>n</w:t>
      </w:r>
      <w:r w:rsidRPr="00771CCF">
        <w:rPr>
          <w:szCs w:val="22"/>
        </w:rPr>
        <w:t xml:space="preserve">a </w:t>
      </w:r>
      <w:r w:rsidRPr="004916BE">
        <w:rPr>
          <w:szCs w:val="22"/>
        </w:rPr>
        <w:t>základě </w:t>
      </w:r>
      <w:r>
        <w:rPr>
          <w:szCs w:val="22"/>
        </w:rPr>
        <w:t>zadávacího</w:t>
      </w:r>
      <w:r w:rsidRPr="00280F02">
        <w:rPr>
          <w:szCs w:val="22"/>
        </w:rPr>
        <w:t xml:space="preserve"> řízení</w:t>
      </w:r>
      <w:r>
        <w:rPr>
          <w:szCs w:val="22"/>
        </w:rPr>
        <w:t xml:space="preserve"> </w:t>
      </w:r>
      <w:r w:rsidRPr="00771CCF">
        <w:rPr>
          <w:szCs w:val="22"/>
        </w:rPr>
        <w:t>vyhlášené</w:t>
      </w:r>
      <w:r>
        <w:rPr>
          <w:szCs w:val="22"/>
        </w:rPr>
        <w:t>ho</w:t>
      </w:r>
      <w:r w:rsidRPr="00771CCF">
        <w:rPr>
          <w:szCs w:val="22"/>
        </w:rPr>
        <w:t xml:space="preserve"> </w:t>
      </w:r>
      <w:r w:rsidRPr="004916BE">
        <w:rPr>
          <w:szCs w:val="22"/>
        </w:rPr>
        <w:t xml:space="preserve">Objednatelem </w:t>
      </w:r>
      <w:r w:rsidRPr="00771CCF">
        <w:rPr>
          <w:szCs w:val="22"/>
        </w:rPr>
        <w:t>v souladu s pravidly zadávání veřejných zakázek (</w:t>
      </w:r>
      <w:r>
        <w:rPr>
          <w:szCs w:val="22"/>
        </w:rPr>
        <w:t>„</w:t>
      </w:r>
      <w:r w:rsidRPr="00771CCF">
        <w:rPr>
          <w:b/>
          <w:bCs/>
          <w:szCs w:val="22"/>
        </w:rPr>
        <w:t>Zadávací řízení</w:t>
      </w:r>
      <w:r w:rsidRPr="00771CCF">
        <w:rPr>
          <w:szCs w:val="22"/>
        </w:rPr>
        <w:t xml:space="preserve">”) </w:t>
      </w:r>
      <w:r>
        <w:rPr>
          <w:szCs w:val="22"/>
        </w:rPr>
        <w:t>byla nabídka</w:t>
      </w:r>
      <w:r w:rsidRPr="00771CCF">
        <w:rPr>
          <w:szCs w:val="22"/>
        </w:rPr>
        <w:t xml:space="preserve"> podan</w:t>
      </w:r>
      <w:r>
        <w:rPr>
          <w:szCs w:val="22"/>
        </w:rPr>
        <w:t>á</w:t>
      </w:r>
      <w:r w:rsidRPr="00771CCF">
        <w:rPr>
          <w:szCs w:val="22"/>
        </w:rPr>
        <w:t xml:space="preserve"> </w:t>
      </w:r>
      <w:r>
        <w:rPr>
          <w:szCs w:val="22"/>
        </w:rPr>
        <w:t xml:space="preserve">Poskytovatelem </w:t>
      </w:r>
      <w:r w:rsidRPr="00771CCF">
        <w:rPr>
          <w:szCs w:val="22"/>
        </w:rPr>
        <w:t>vybrán</w:t>
      </w:r>
      <w:r>
        <w:rPr>
          <w:szCs w:val="22"/>
        </w:rPr>
        <w:t>a</w:t>
      </w:r>
      <w:r w:rsidRPr="00771CCF" w:rsidDel="002B3542">
        <w:rPr>
          <w:szCs w:val="22"/>
        </w:rPr>
        <w:t xml:space="preserve"> </w:t>
      </w:r>
      <w:r w:rsidRPr="00771CCF">
        <w:rPr>
          <w:szCs w:val="22"/>
        </w:rPr>
        <w:t>Objednatelem jako nejvhodnější</w:t>
      </w:r>
      <w:r w:rsidR="000740C0">
        <w:rPr>
          <w:szCs w:val="22"/>
        </w:rPr>
        <w:t xml:space="preserve"> a Objednatel uzavřel s Poskytovatelem smlouvu o dílo, jejímž předmětem je mimo jiné vyprojektování a výstavba fotovoltaických elektráren </w:t>
      </w:r>
      <w:r w:rsidR="00DE77A2">
        <w:rPr>
          <w:szCs w:val="22"/>
        </w:rPr>
        <w:t xml:space="preserve">a bateriových uložišť </w:t>
      </w:r>
      <w:r w:rsidR="000740C0">
        <w:rPr>
          <w:szCs w:val="22"/>
        </w:rPr>
        <w:t xml:space="preserve">(FVE) </w:t>
      </w:r>
      <w:r w:rsidR="004B3724">
        <w:rPr>
          <w:szCs w:val="22"/>
        </w:rPr>
        <w:t xml:space="preserve">a </w:t>
      </w:r>
      <w:r w:rsidR="000740C0">
        <w:rPr>
          <w:szCs w:val="22"/>
        </w:rPr>
        <w:t>v Jablonci nad Nisou</w:t>
      </w:r>
      <w:r w:rsidR="005D3315">
        <w:rPr>
          <w:szCs w:val="22"/>
        </w:rPr>
        <w:t xml:space="preserve"> („</w:t>
      </w:r>
      <w:r w:rsidR="005D3315" w:rsidRPr="000C6E62">
        <w:rPr>
          <w:b/>
          <w:bCs/>
          <w:szCs w:val="22"/>
        </w:rPr>
        <w:t>Smlouva po dílo</w:t>
      </w:r>
      <w:r w:rsidR="005D3315">
        <w:rPr>
          <w:szCs w:val="22"/>
        </w:rPr>
        <w:t>“)</w:t>
      </w:r>
      <w:r w:rsidR="000740C0">
        <w:rPr>
          <w:szCs w:val="22"/>
        </w:rPr>
        <w:t>.</w:t>
      </w:r>
      <w:bookmarkEnd w:id="3"/>
    </w:p>
    <w:p w14:paraId="7936643F" w14:textId="7C9F8458" w:rsidR="00C21E97" w:rsidRPr="00F81E19" w:rsidRDefault="00C21E97" w:rsidP="00C21E97">
      <w:pPr>
        <w:pStyle w:val="Preambule"/>
        <w:widowControl/>
        <w:tabs>
          <w:tab w:val="clear" w:pos="567"/>
        </w:tabs>
        <w:ind w:hanging="567"/>
        <w:rPr>
          <w:szCs w:val="22"/>
        </w:rPr>
      </w:pPr>
      <w:r w:rsidRPr="00F81E19">
        <w:rPr>
          <w:szCs w:val="22"/>
        </w:rPr>
        <w:t>Objednatel má zájem o zajištění provozu a údržby FVE Poskytovatelem a Poskytovatel má zájem zajistit provoz a údržbu FVE pro Objednatele, to vše za podmínek uvedených v této Smlouvě.</w:t>
      </w:r>
    </w:p>
    <w:p w14:paraId="3CBA6450" w14:textId="42124CF7" w:rsidR="00F83BEB" w:rsidRPr="00F81E19" w:rsidRDefault="00F83BEB" w:rsidP="004E5A86">
      <w:pPr>
        <w:pStyle w:val="Nadpis1"/>
        <w:keepNext w:val="0"/>
        <w:spacing w:before="120" w:after="120"/>
        <w:rPr>
          <w:rFonts w:cs="Times New Roman"/>
          <w:szCs w:val="22"/>
        </w:rPr>
      </w:pPr>
      <w:bookmarkStart w:id="4" w:name="_Ref84951126"/>
      <w:bookmarkEnd w:id="0"/>
      <w:r w:rsidRPr="00F81E19">
        <w:rPr>
          <w:rFonts w:cs="Times New Roman"/>
          <w:szCs w:val="22"/>
        </w:rPr>
        <w:t>výkladová ustanovení</w:t>
      </w:r>
    </w:p>
    <w:p w14:paraId="1A2DB716" w14:textId="7163B749" w:rsidR="00CB6160" w:rsidRPr="00F81E19" w:rsidRDefault="00CB6160">
      <w:pPr>
        <w:pStyle w:val="Clanek11"/>
        <w:widowControl/>
        <w:numPr>
          <w:ilvl w:val="1"/>
          <w:numId w:val="8"/>
        </w:numPr>
        <w:tabs>
          <w:tab w:val="clear" w:pos="1135"/>
          <w:tab w:val="num" w:pos="567"/>
        </w:tabs>
        <w:ind w:left="567"/>
        <w:rPr>
          <w:rFonts w:cs="Times New Roman"/>
          <w:szCs w:val="22"/>
        </w:rPr>
      </w:pPr>
      <w:bookmarkStart w:id="5" w:name="_Ref376184365"/>
      <w:r w:rsidRPr="00F81E19">
        <w:rPr>
          <w:rFonts w:cs="Times New Roman"/>
          <w:szCs w:val="22"/>
        </w:rPr>
        <w:t>Není-li v této Smlouvě nebo jejích přílohách uvedeno jinak, mají následující slova a spojení vyskytující se v této Smlouvě, včetně jejích příloh, a psaná s velkým počátečním písmenem dále uvedený význam:</w:t>
      </w:r>
      <w:bookmarkEnd w:id="5"/>
    </w:p>
    <w:tbl>
      <w:tblPr>
        <w:tblStyle w:val="Mkatabulky"/>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5204"/>
      </w:tblGrid>
      <w:tr w:rsidR="00DF19CE" w:rsidRPr="00F81E19" w14:paraId="74FC98A9" w14:textId="77777777" w:rsidTr="006513A4">
        <w:tc>
          <w:tcPr>
            <w:tcW w:w="3166" w:type="dxa"/>
          </w:tcPr>
          <w:p w14:paraId="34962CA2" w14:textId="3C6E0407" w:rsidR="00DF19CE" w:rsidRPr="00F81E19" w:rsidRDefault="00DF19CE" w:rsidP="00DF19CE">
            <w:pPr>
              <w:pStyle w:val="Text11"/>
              <w:keepNext w:val="0"/>
              <w:spacing w:after="0"/>
              <w:ind w:left="0"/>
              <w:rPr>
                <w:b/>
                <w:szCs w:val="22"/>
                <w:lang w:eastAsia="cs-CZ"/>
              </w:rPr>
            </w:pPr>
            <w:r w:rsidRPr="00F81E19">
              <w:rPr>
                <w:b/>
                <w:szCs w:val="22"/>
                <w:lang w:eastAsia="cs-CZ"/>
              </w:rPr>
              <w:t>„Bateriové úložiště“</w:t>
            </w:r>
          </w:p>
        </w:tc>
        <w:tc>
          <w:tcPr>
            <w:tcW w:w="5204" w:type="dxa"/>
          </w:tcPr>
          <w:p w14:paraId="003B10B5" w14:textId="07A505A2" w:rsidR="00DF19CE" w:rsidRPr="00F81E19" w:rsidRDefault="00DF19CE" w:rsidP="00DF19CE">
            <w:pPr>
              <w:pStyle w:val="Text11"/>
              <w:keepNext w:val="0"/>
              <w:spacing w:after="0"/>
              <w:ind w:left="0"/>
              <w:rPr>
                <w:szCs w:val="22"/>
                <w:lang w:eastAsia="cs-CZ"/>
              </w:rPr>
            </w:pPr>
            <w:r w:rsidRPr="00F81E19">
              <w:rPr>
                <w:szCs w:val="22"/>
              </w:rPr>
              <w:t>znamená bateriové úložiště pro nadbytečnou energii z</w:t>
            </w:r>
            <w:r w:rsidR="00DE77A2">
              <w:rPr>
                <w:szCs w:val="22"/>
              </w:rPr>
              <w:t> </w:t>
            </w:r>
            <w:r w:rsidRPr="00F81E19">
              <w:rPr>
                <w:szCs w:val="22"/>
              </w:rPr>
              <w:t>FVE</w:t>
            </w:r>
            <w:r w:rsidR="00DE77A2">
              <w:rPr>
                <w:szCs w:val="22"/>
              </w:rPr>
              <w:t xml:space="preserve"> dodaných a instalovaných Poskytovatelem dle Smlouvy o dílo</w:t>
            </w:r>
            <w:r w:rsidRPr="00F81E19">
              <w:rPr>
                <w:szCs w:val="22"/>
              </w:rPr>
              <w:t>.</w:t>
            </w:r>
          </w:p>
        </w:tc>
      </w:tr>
      <w:tr w:rsidR="00E94650" w:rsidRPr="00F81E19" w14:paraId="6E5FE0CD" w14:textId="77777777" w:rsidTr="006513A4">
        <w:tc>
          <w:tcPr>
            <w:tcW w:w="3166" w:type="dxa"/>
          </w:tcPr>
          <w:p w14:paraId="552DA998" w14:textId="56021B35" w:rsidR="00E94650" w:rsidRPr="00F81E19" w:rsidRDefault="00E94650" w:rsidP="00DF19CE">
            <w:pPr>
              <w:pStyle w:val="Text11"/>
              <w:keepNext w:val="0"/>
              <w:spacing w:after="0"/>
              <w:ind w:left="0"/>
              <w:rPr>
                <w:b/>
                <w:bCs/>
                <w:szCs w:val="22"/>
                <w:lang w:eastAsia="cs-CZ"/>
              </w:rPr>
            </w:pPr>
            <w:r w:rsidRPr="00165BA7">
              <w:rPr>
                <w:b/>
                <w:bCs/>
                <w:szCs w:val="22"/>
              </w:rPr>
              <w:t>„</w:t>
            </w:r>
            <w:r w:rsidR="00212AD2" w:rsidRPr="00165BA7">
              <w:rPr>
                <w:b/>
                <w:bCs/>
                <w:szCs w:val="22"/>
              </w:rPr>
              <w:t>D</w:t>
            </w:r>
            <w:r w:rsidR="00212AD2">
              <w:rPr>
                <w:b/>
                <w:bCs/>
                <w:szCs w:val="22"/>
              </w:rPr>
              <w:t>en</w:t>
            </w:r>
            <w:r w:rsidR="00212AD2" w:rsidRPr="00165BA7">
              <w:rPr>
                <w:b/>
                <w:bCs/>
                <w:szCs w:val="22"/>
              </w:rPr>
              <w:t xml:space="preserve"> </w:t>
            </w:r>
            <w:r w:rsidRPr="00165BA7">
              <w:rPr>
                <w:b/>
                <w:bCs/>
                <w:szCs w:val="22"/>
              </w:rPr>
              <w:t>zahájení provozu FVE“</w:t>
            </w:r>
          </w:p>
        </w:tc>
        <w:tc>
          <w:tcPr>
            <w:tcW w:w="5204" w:type="dxa"/>
          </w:tcPr>
          <w:p w14:paraId="53D00515" w14:textId="7CAB8CFC" w:rsidR="00E94650" w:rsidRPr="00F81E19" w:rsidRDefault="00212AD2" w:rsidP="00DF19CE">
            <w:pPr>
              <w:pStyle w:val="Text11"/>
              <w:keepNext w:val="0"/>
              <w:spacing w:after="0"/>
              <w:ind w:left="0"/>
              <w:rPr>
                <w:szCs w:val="22"/>
                <w:lang w:eastAsia="cs-CZ"/>
              </w:rPr>
            </w:pPr>
            <w:r>
              <w:rPr>
                <w:szCs w:val="22"/>
                <w:lang w:eastAsia="cs-CZ"/>
              </w:rPr>
              <w:t>z</w:t>
            </w:r>
            <w:r w:rsidR="00E94650" w:rsidRPr="00F81E19">
              <w:rPr>
                <w:szCs w:val="22"/>
                <w:lang w:eastAsia="cs-CZ"/>
              </w:rPr>
              <w:t xml:space="preserve">namená den, kdy bude zahájena dodávka elektřiny </w:t>
            </w:r>
            <w:r w:rsidR="000740C0">
              <w:rPr>
                <w:szCs w:val="22"/>
              </w:rPr>
              <w:t xml:space="preserve">z první </w:t>
            </w:r>
            <w:r w:rsidR="00E4556B">
              <w:rPr>
                <w:szCs w:val="22"/>
              </w:rPr>
              <w:t xml:space="preserve">instalované a zprovozněné </w:t>
            </w:r>
            <w:r w:rsidR="000740C0">
              <w:rPr>
                <w:szCs w:val="22"/>
              </w:rPr>
              <w:t>FVE</w:t>
            </w:r>
            <w:r w:rsidR="00E4556B">
              <w:rPr>
                <w:szCs w:val="22"/>
              </w:rPr>
              <w:t xml:space="preserve"> a tato bude jako UČD předána Objednateli na základě Protokolu o převzetí praxí postupem dle Smlouvy o dílo</w:t>
            </w:r>
            <w:r w:rsidR="00165BA7">
              <w:rPr>
                <w:szCs w:val="22"/>
                <w:lang w:eastAsia="cs-CZ"/>
              </w:rPr>
              <w:t>.</w:t>
            </w:r>
          </w:p>
        </w:tc>
      </w:tr>
      <w:tr w:rsidR="00DF19CE" w:rsidRPr="00F81E19" w14:paraId="43B2DF62" w14:textId="77777777" w:rsidTr="006513A4">
        <w:tc>
          <w:tcPr>
            <w:tcW w:w="3166" w:type="dxa"/>
          </w:tcPr>
          <w:p w14:paraId="3FD88C2B" w14:textId="5D7D88A3" w:rsidR="00DF19CE" w:rsidRPr="00F81E19" w:rsidRDefault="00DF19CE" w:rsidP="00DF19CE">
            <w:pPr>
              <w:pStyle w:val="Text11"/>
              <w:keepNext w:val="0"/>
              <w:spacing w:after="0"/>
              <w:ind w:left="0"/>
              <w:rPr>
                <w:b/>
                <w:szCs w:val="22"/>
                <w:lang w:eastAsia="cs-CZ"/>
              </w:rPr>
            </w:pPr>
            <w:r w:rsidRPr="00F81E19">
              <w:rPr>
                <w:b/>
                <w:szCs w:val="22"/>
                <w:lang w:eastAsia="cs-CZ"/>
              </w:rPr>
              <w:t>„Doba trvání Smlouvy“</w:t>
            </w:r>
          </w:p>
        </w:tc>
        <w:tc>
          <w:tcPr>
            <w:tcW w:w="5204" w:type="dxa"/>
          </w:tcPr>
          <w:p w14:paraId="71862E80" w14:textId="29D5ECCF" w:rsidR="00DF19CE" w:rsidRPr="00F81E19" w:rsidRDefault="00DF19CE" w:rsidP="00DF19CE">
            <w:pPr>
              <w:pStyle w:val="Text11"/>
              <w:keepNext w:val="0"/>
              <w:spacing w:after="0"/>
              <w:ind w:left="0"/>
              <w:rPr>
                <w:szCs w:val="22"/>
                <w:lang w:eastAsia="cs-CZ"/>
              </w:rPr>
            </w:pPr>
            <w:r w:rsidRPr="00F81E19">
              <w:rPr>
                <w:szCs w:val="22"/>
                <w:lang w:eastAsia="cs-CZ"/>
              </w:rPr>
              <w:t xml:space="preserve">má význam uvedený v článku </w:t>
            </w:r>
            <w:r w:rsidRPr="00F81E19">
              <w:rPr>
                <w:szCs w:val="22"/>
                <w:lang w:eastAsia="cs-CZ"/>
              </w:rPr>
              <w:fldChar w:fldCharType="begin"/>
            </w:r>
            <w:r w:rsidRPr="00F81E19">
              <w:rPr>
                <w:szCs w:val="22"/>
                <w:lang w:eastAsia="cs-CZ"/>
              </w:rPr>
              <w:instrText xml:space="preserve"> REF _Ref134016869 \r \h  \* MERGEFORMAT </w:instrText>
            </w:r>
            <w:r w:rsidRPr="00F81E19">
              <w:rPr>
                <w:szCs w:val="22"/>
                <w:lang w:eastAsia="cs-CZ"/>
              </w:rPr>
            </w:r>
            <w:r w:rsidRPr="00F81E19">
              <w:rPr>
                <w:szCs w:val="22"/>
                <w:lang w:eastAsia="cs-CZ"/>
              </w:rPr>
              <w:fldChar w:fldCharType="separate"/>
            </w:r>
            <w:r w:rsidR="007F550A">
              <w:rPr>
                <w:szCs w:val="22"/>
                <w:lang w:eastAsia="cs-CZ"/>
              </w:rPr>
              <w:t>5.1</w:t>
            </w:r>
            <w:r w:rsidRPr="00F81E19">
              <w:rPr>
                <w:szCs w:val="22"/>
                <w:lang w:eastAsia="cs-CZ"/>
              </w:rPr>
              <w:fldChar w:fldCharType="end"/>
            </w:r>
            <w:r w:rsidRPr="00F81E19">
              <w:rPr>
                <w:szCs w:val="22"/>
                <w:lang w:eastAsia="cs-CZ"/>
              </w:rPr>
              <w:t xml:space="preserve"> této Smlouvy</w:t>
            </w:r>
            <w:r w:rsidR="00165BA7">
              <w:rPr>
                <w:szCs w:val="22"/>
                <w:lang w:eastAsia="cs-CZ"/>
              </w:rPr>
              <w:t>.</w:t>
            </w:r>
          </w:p>
        </w:tc>
      </w:tr>
      <w:tr w:rsidR="00DF19CE" w:rsidRPr="00F81E19" w14:paraId="00972627" w14:textId="77777777" w:rsidTr="006513A4">
        <w:tc>
          <w:tcPr>
            <w:tcW w:w="3166" w:type="dxa"/>
          </w:tcPr>
          <w:p w14:paraId="472A1502" w14:textId="1DC6928D" w:rsidR="00DF19CE" w:rsidRPr="00F81E19" w:rsidRDefault="00DF19CE" w:rsidP="00DF19CE">
            <w:pPr>
              <w:pStyle w:val="Text11"/>
              <w:keepNext w:val="0"/>
              <w:spacing w:after="0"/>
              <w:ind w:left="0"/>
              <w:rPr>
                <w:b/>
                <w:szCs w:val="22"/>
                <w:lang w:eastAsia="cs-CZ"/>
              </w:rPr>
            </w:pPr>
            <w:r w:rsidRPr="00F81E19">
              <w:rPr>
                <w:b/>
                <w:szCs w:val="22"/>
                <w:lang w:eastAsia="cs-CZ"/>
              </w:rPr>
              <w:t>„Důvěrné informace“</w:t>
            </w:r>
          </w:p>
        </w:tc>
        <w:tc>
          <w:tcPr>
            <w:tcW w:w="5204" w:type="dxa"/>
          </w:tcPr>
          <w:p w14:paraId="3474D188" w14:textId="566AC169" w:rsidR="00DF19CE" w:rsidRPr="00F81E19" w:rsidRDefault="00DF19CE" w:rsidP="00DF19CE">
            <w:pPr>
              <w:pStyle w:val="Text11"/>
              <w:keepNext w:val="0"/>
              <w:spacing w:after="0"/>
              <w:ind w:left="0"/>
              <w:rPr>
                <w:szCs w:val="22"/>
                <w:lang w:eastAsia="cs-CZ"/>
              </w:rPr>
            </w:pPr>
            <w:r w:rsidRPr="00F81E19">
              <w:rPr>
                <w:szCs w:val="22"/>
                <w:lang w:eastAsia="cs-CZ"/>
              </w:rPr>
              <w:t xml:space="preserve">má význam uvedený v článku </w:t>
            </w:r>
            <w:r w:rsidRPr="00F81E19">
              <w:rPr>
                <w:szCs w:val="22"/>
                <w:lang w:eastAsia="cs-CZ"/>
              </w:rPr>
              <w:fldChar w:fldCharType="begin"/>
            </w:r>
            <w:r w:rsidRPr="00F81E19">
              <w:rPr>
                <w:szCs w:val="22"/>
                <w:lang w:eastAsia="cs-CZ"/>
              </w:rPr>
              <w:instrText xml:space="preserve"> REF _Ref130287732 \w \h  \* MERGEFORMAT </w:instrText>
            </w:r>
            <w:r w:rsidRPr="00F81E19">
              <w:rPr>
                <w:szCs w:val="22"/>
                <w:lang w:eastAsia="cs-CZ"/>
              </w:rPr>
            </w:r>
            <w:r w:rsidRPr="00F81E19">
              <w:rPr>
                <w:szCs w:val="22"/>
                <w:lang w:eastAsia="cs-CZ"/>
              </w:rPr>
              <w:fldChar w:fldCharType="separate"/>
            </w:r>
            <w:r w:rsidR="007F550A">
              <w:rPr>
                <w:szCs w:val="22"/>
                <w:lang w:eastAsia="cs-CZ"/>
              </w:rPr>
              <w:t>9.1</w:t>
            </w:r>
            <w:r w:rsidRPr="00F81E19">
              <w:rPr>
                <w:szCs w:val="22"/>
                <w:lang w:eastAsia="cs-CZ"/>
              </w:rPr>
              <w:fldChar w:fldCharType="end"/>
            </w:r>
            <w:r w:rsidRPr="00F81E19">
              <w:rPr>
                <w:szCs w:val="22"/>
                <w:lang w:eastAsia="cs-CZ"/>
              </w:rPr>
              <w:t xml:space="preserve"> této Smlouvy</w:t>
            </w:r>
            <w:r w:rsidR="00165BA7">
              <w:rPr>
                <w:szCs w:val="22"/>
                <w:lang w:eastAsia="cs-CZ"/>
              </w:rPr>
              <w:t>.</w:t>
            </w:r>
          </w:p>
        </w:tc>
      </w:tr>
      <w:tr w:rsidR="00DF19CE" w:rsidRPr="00F81E19" w14:paraId="4D95FEBE" w14:textId="77777777" w:rsidTr="006513A4">
        <w:tc>
          <w:tcPr>
            <w:tcW w:w="3166" w:type="dxa"/>
          </w:tcPr>
          <w:p w14:paraId="78D786C7" w14:textId="77777777" w:rsidR="00DF19CE" w:rsidRPr="00F81E19" w:rsidRDefault="00DF19CE" w:rsidP="00DF19CE">
            <w:pPr>
              <w:pStyle w:val="Text11"/>
              <w:keepNext w:val="0"/>
              <w:spacing w:after="0"/>
              <w:ind w:left="0"/>
              <w:rPr>
                <w:b/>
                <w:szCs w:val="22"/>
                <w:lang w:eastAsia="cs-CZ"/>
              </w:rPr>
            </w:pPr>
            <w:r w:rsidRPr="00F81E19">
              <w:rPr>
                <w:b/>
                <w:szCs w:val="22"/>
                <w:lang w:eastAsia="cs-CZ"/>
              </w:rPr>
              <w:lastRenderedPageBreak/>
              <w:t>„FVE“</w:t>
            </w:r>
          </w:p>
        </w:tc>
        <w:tc>
          <w:tcPr>
            <w:tcW w:w="5204" w:type="dxa"/>
          </w:tcPr>
          <w:p w14:paraId="7F5A7DB8" w14:textId="52E419D6" w:rsidR="00DF19CE" w:rsidRPr="00F81E19" w:rsidRDefault="00DF19CE" w:rsidP="00DF19CE">
            <w:pPr>
              <w:pStyle w:val="Text11"/>
              <w:keepNext w:val="0"/>
              <w:spacing w:after="0"/>
              <w:ind w:left="0"/>
              <w:rPr>
                <w:szCs w:val="22"/>
                <w:lang w:eastAsia="cs-CZ"/>
              </w:rPr>
            </w:pPr>
            <w:r w:rsidRPr="00F81E19">
              <w:rPr>
                <w:szCs w:val="22"/>
              </w:rPr>
              <w:t xml:space="preserve">znamená solární </w:t>
            </w:r>
            <w:r w:rsidR="00D44FE5">
              <w:rPr>
                <w:szCs w:val="22"/>
              </w:rPr>
              <w:t xml:space="preserve">fotovoltaické </w:t>
            </w:r>
            <w:r w:rsidRPr="00F81E19">
              <w:rPr>
                <w:szCs w:val="22"/>
              </w:rPr>
              <w:t>elektrárn</w:t>
            </w:r>
            <w:r w:rsidR="00E4556B">
              <w:rPr>
                <w:szCs w:val="22"/>
              </w:rPr>
              <w:t>y, které jsou nebo budou vybudovány Poskytovatelem pro Objednatele na základě Smlouvy o dílo</w:t>
            </w:r>
            <w:r w:rsidRPr="00F81E19">
              <w:rPr>
                <w:szCs w:val="22"/>
              </w:rPr>
              <w:t>, včetně Bateriov</w:t>
            </w:r>
            <w:r w:rsidR="00E4556B">
              <w:rPr>
                <w:szCs w:val="22"/>
              </w:rPr>
              <w:t>ých</w:t>
            </w:r>
            <w:r w:rsidRPr="00F81E19">
              <w:rPr>
                <w:szCs w:val="22"/>
              </w:rPr>
              <w:t xml:space="preserve"> úložiš</w:t>
            </w:r>
            <w:r w:rsidR="00E4556B">
              <w:rPr>
                <w:szCs w:val="22"/>
              </w:rPr>
              <w:t xml:space="preserve">ť a </w:t>
            </w:r>
            <w:r w:rsidRPr="00F81E19">
              <w:rPr>
                <w:szCs w:val="22"/>
              </w:rPr>
              <w:t>kter</w:t>
            </w:r>
            <w:r w:rsidR="00D44FE5">
              <w:rPr>
                <w:szCs w:val="22"/>
              </w:rPr>
              <w:t>é</w:t>
            </w:r>
            <w:r w:rsidRPr="00F81E19">
              <w:rPr>
                <w:szCs w:val="22"/>
              </w:rPr>
              <w:t xml:space="preserve"> bud</w:t>
            </w:r>
            <w:r w:rsidR="00D44FE5">
              <w:rPr>
                <w:szCs w:val="22"/>
              </w:rPr>
              <w:t>ou</w:t>
            </w:r>
            <w:r w:rsidRPr="00F81E19">
              <w:rPr>
                <w:szCs w:val="22"/>
              </w:rPr>
              <w:t xml:space="preserve"> vybudovan</w:t>
            </w:r>
            <w:r w:rsidR="00D44FE5">
              <w:rPr>
                <w:szCs w:val="22"/>
              </w:rPr>
              <w:t>é</w:t>
            </w:r>
            <w:r w:rsidRPr="00F81E19">
              <w:rPr>
                <w:szCs w:val="22"/>
              </w:rPr>
              <w:t xml:space="preserve"> na Nemovitostech.</w:t>
            </w:r>
          </w:p>
        </w:tc>
      </w:tr>
      <w:tr w:rsidR="00DF19CE" w:rsidRPr="00F81E19" w14:paraId="53A79797" w14:textId="77777777" w:rsidTr="006513A4">
        <w:tc>
          <w:tcPr>
            <w:tcW w:w="3166" w:type="dxa"/>
          </w:tcPr>
          <w:p w14:paraId="2DC4DEF9" w14:textId="1C88AC63" w:rsidR="00DF19CE" w:rsidRPr="00F81E19" w:rsidRDefault="00DF19CE" w:rsidP="00DF19CE">
            <w:pPr>
              <w:pStyle w:val="Text11"/>
              <w:keepNext w:val="0"/>
              <w:spacing w:after="0"/>
              <w:ind w:left="0"/>
              <w:rPr>
                <w:b/>
                <w:szCs w:val="22"/>
                <w:lang w:eastAsia="cs-CZ"/>
              </w:rPr>
            </w:pPr>
            <w:r w:rsidRPr="00F81E19">
              <w:rPr>
                <w:b/>
                <w:szCs w:val="22"/>
                <w:lang w:eastAsia="cs-CZ"/>
              </w:rPr>
              <w:t>„Nemovitosti“</w:t>
            </w:r>
          </w:p>
        </w:tc>
        <w:tc>
          <w:tcPr>
            <w:tcW w:w="5204" w:type="dxa"/>
          </w:tcPr>
          <w:p w14:paraId="74AAB325" w14:textId="02EE8DBF" w:rsidR="00DF19CE" w:rsidRPr="00F81E19" w:rsidRDefault="00DF19CE" w:rsidP="00DF19CE">
            <w:pPr>
              <w:pStyle w:val="Text11"/>
              <w:keepNext w:val="0"/>
              <w:spacing w:after="0"/>
              <w:ind w:left="0"/>
              <w:rPr>
                <w:szCs w:val="22"/>
                <w:lang w:eastAsia="cs-CZ"/>
              </w:rPr>
            </w:pPr>
            <w:r w:rsidRPr="00F81E19">
              <w:rPr>
                <w:szCs w:val="22"/>
              </w:rPr>
              <w:t>znamená následující nemovitosti</w:t>
            </w:r>
            <w:r w:rsidR="000740C0">
              <w:rPr>
                <w:szCs w:val="22"/>
              </w:rPr>
              <w:t>, na nichž jsou nebo budou umístěny FVE</w:t>
            </w:r>
            <w:r w:rsidR="00E4556B">
              <w:rPr>
                <w:szCs w:val="22"/>
              </w:rPr>
              <w:t xml:space="preserve"> a Bateriová uložiště</w:t>
            </w:r>
            <w:r w:rsidRPr="00F81E19">
              <w:rPr>
                <w:szCs w:val="22"/>
              </w:rPr>
              <w:t>.</w:t>
            </w:r>
          </w:p>
        </w:tc>
      </w:tr>
      <w:tr w:rsidR="00DF19CE" w:rsidRPr="00F81E19" w14:paraId="44F61819" w14:textId="77777777" w:rsidTr="006513A4">
        <w:tc>
          <w:tcPr>
            <w:tcW w:w="3166" w:type="dxa"/>
            <w:hideMark/>
          </w:tcPr>
          <w:p w14:paraId="5F6F4D27" w14:textId="77777777" w:rsidR="00DF19CE" w:rsidRPr="00F81E19" w:rsidRDefault="00DF19CE" w:rsidP="00DF19CE">
            <w:pPr>
              <w:pStyle w:val="Text11"/>
              <w:keepNext w:val="0"/>
              <w:spacing w:after="0"/>
              <w:ind w:left="0"/>
              <w:rPr>
                <w:b/>
                <w:szCs w:val="22"/>
                <w:lang w:eastAsia="cs-CZ"/>
              </w:rPr>
            </w:pPr>
            <w:r w:rsidRPr="00F81E19">
              <w:rPr>
                <w:b/>
                <w:szCs w:val="22"/>
                <w:lang w:eastAsia="cs-CZ"/>
              </w:rPr>
              <w:t>„Občanský zákoník“</w:t>
            </w:r>
          </w:p>
        </w:tc>
        <w:tc>
          <w:tcPr>
            <w:tcW w:w="5204" w:type="dxa"/>
            <w:hideMark/>
          </w:tcPr>
          <w:p w14:paraId="4BEFAE14" w14:textId="09CBA2B9" w:rsidR="00DF19CE" w:rsidRPr="00F81E19" w:rsidRDefault="00DF19CE" w:rsidP="00DF19CE">
            <w:pPr>
              <w:pStyle w:val="Text11"/>
              <w:keepNext w:val="0"/>
              <w:spacing w:after="0"/>
              <w:ind w:left="0"/>
              <w:rPr>
                <w:b/>
                <w:szCs w:val="22"/>
                <w:lang w:eastAsia="cs-CZ"/>
              </w:rPr>
            </w:pPr>
            <w:r w:rsidRPr="00F81E19">
              <w:rPr>
                <w:szCs w:val="22"/>
                <w:lang w:eastAsia="cs-CZ"/>
              </w:rPr>
              <w:t>znamená zákon č. 89/2012 Sb., občanský zákoník, ve znění pozdějších předpisů</w:t>
            </w:r>
            <w:r w:rsidR="00165BA7">
              <w:rPr>
                <w:szCs w:val="22"/>
                <w:lang w:eastAsia="cs-CZ"/>
              </w:rPr>
              <w:t>.</w:t>
            </w:r>
          </w:p>
        </w:tc>
      </w:tr>
      <w:tr w:rsidR="00DF19CE" w:rsidRPr="00F81E19" w14:paraId="5BB59AA0" w14:textId="77777777" w:rsidTr="006513A4">
        <w:tc>
          <w:tcPr>
            <w:tcW w:w="3166" w:type="dxa"/>
          </w:tcPr>
          <w:p w14:paraId="450AF9AF" w14:textId="72355C52" w:rsidR="00DF19CE" w:rsidRPr="00F81E19" w:rsidRDefault="00DF19CE" w:rsidP="00DF19CE">
            <w:pPr>
              <w:pStyle w:val="Text11"/>
              <w:keepNext w:val="0"/>
              <w:spacing w:after="0"/>
              <w:ind w:left="0"/>
              <w:rPr>
                <w:b/>
                <w:szCs w:val="22"/>
                <w:lang w:eastAsia="cs-CZ"/>
              </w:rPr>
            </w:pPr>
            <w:r w:rsidRPr="00F81E19">
              <w:rPr>
                <w:b/>
                <w:szCs w:val="22"/>
                <w:lang w:eastAsia="cs-CZ"/>
              </w:rPr>
              <w:t>„</w:t>
            </w:r>
            <w:r w:rsidRPr="00F81E19">
              <w:rPr>
                <w:b/>
                <w:szCs w:val="22"/>
              </w:rPr>
              <w:t>Objednatel</w:t>
            </w:r>
            <w:r w:rsidRPr="00F81E19">
              <w:rPr>
                <w:szCs w:val="22"/>
              </w:rPr>
              <w:t>“</w:t>
            </w:r>
          </w:p>
        </w:tc>
        <w:tc>
          <w:tcPr>
            <w:tcW w:w="5204" w:type="dxa"/>
          </w:tcPr>
          <w:p w14:paraId="51198950" w14:textId="221AD68B" w:rsidR="00BE412D" w:rsidRPr="00F81E19" w:rsidRDefault="00DF19CE" w:rsidP="00DF19CE">
            <w:pPr>
              <w:pStyle w:val="Text11"/>
              <w:keepNext w:val="0"/>
              <w:spacing w:after="0"/>
              <w:ind w:left="0"/>
              <w:rPr>
                <w:szCs w:val="22"/>
                <w:lang w:eastAsia="cs-CZ"/>
              </w:rPr>
            </w:pPr>
            <w:r w:rsidRPr="00F81E19">
              <w:rPr>
                <w:szCs w:val="22"/>
                <w:lang w:eastAsia="cs-CZ"/>
              </w:rPr>
              <w:t>má význam uvedený v záhlaví této Smlouvy</w:t>
            </w:r>
            <w:r w:rsidR="00165BA7">
              <w:rPr>
                <w:szCs w:val="22"/>
                <w:lang w:eastAsia="cs-CZ"/>
              </w:rPr>
              <w:t>.</w:t>
            </w:r>
          </w:p>
        </w:tc>
      </w:tr>
      <w:tr w:rsidR="00A6087F" w:rsidRPr="00F81E19" w14:paraId="4B8BD38A" w14:textId="77777777" w:rsidTr="006513A4">
        <w:tc>
          <w:tcPr>
            <w:tcW w:w="3166" w:type="dxa"/>
          </w:tcPr>
          <w:p w14:paraId="00884A37" w14:textId="682FC8CE" w:rsidR="00A6087F" w:rsidRPr="00F81E19" w:rsidRDefault="00A6087F" w:rsidP="00BE412D">
            <w:pPr>
              <w:pStyle w:val="Text11"/>
              <w:keepNext w:val="0"/>
              <w:spacing w:after="0"/>
              <w:ind w:left="0"/>
              <w:rPr>
                <w:b/>
                <w:szCs w:val="22"/>
                <w:lang w:eastAsia="cs-CZ"/>
              </w:rPr>
            </w:pPr>
            <w:r>
              <w:rPr>
                <w:b/>
                <w:szCs w:val="22"/>
                <w:lang w:eastAsia="cs-CZ"/>
              </w:rPr>
              <w:t>„Pokuta za nedostupnost“</w:t>
            </w:r>
          </w:p>
        </w:tc>
        <w:tc>
          <w:tcPr>
            <w:tcW w:w="5204" w:type="dxa"/>
          </w:tcPr>
          <w:p w14:paraId="0793C8D2" w14:textId="50D27FC5" w:rsidR="00A6087F" w:rsidRPr="00F81E19" w:rsidRDefault="00A6087F" w:rsidP="00BE412D">
            <w:pPr>
              <w:pStyle w:val="Text11"/>
              <w:keepNext w:val="0"/>
              <w:spacing w:after="0"/>
              <w:ind w:left="0"/>
              <w:rPr>
                <w:szCs w:val="22"/>
                <w:lang w:eastAsia="cs-CZ"/>
              </w:rPr>
            </w:pPr>
            <w:r>
              <w:rPr>
                <w:szCs w:val="22"/>
                <w:lang w:eastAsia="cs-CZ"/>
              </w:rPr>
              <w:t xml:space="preserve">má význam uvedený v článku této Smlouvy. </w:t>
            </w:r>
          </w:p>
        </w:tc>
      </w:tr>
      <w:tr w:rsidR="00BE412D" w:rsidRPr="00F81E19" w14:paraId="3F2D6FF3" w14:textId="77777777" w:rsidTr="006513A4">
        <w:tc>
          <w:tcPr>
            <w:tcW w:w="3166" w:type="dxa"/>
          </w:tcPr>
          <w:p w14:paraId="01ABADEC" w14:textId="4DD99605" w:rsidR="00BE412D" w:rsidRPr="00F81E19" w:rsidRDefault="00BE412D" w:rsidP="00BE412D">
            <w:pPr>
              <w:pStyle w:val="Text11"/>
              <w:keepNext w:val="0"/>
              <w:spacing w:after="0"/>
              <w:ind w:left="0"/>
              <w:rPr>
                <w:b/>
                <w:szCs w:val="22"/>
                <w:lang w:eastAsia="cs-CZ"/>
              </w:rPr>
            </w:pPr>
            <w:r w:rsidRPr="00F81E19">
              <w:rPr>
                <w:b/>
                <w:szCs w:val="22"/>
                <w:lang w:eastAsia="cs-CZ"/>
              </w:rPr>
              <w:t>„Poskytovatel“</w:t>
            </w:r>
          </w:p>
        </w:tc>
        <w:tc>
          <w:tcPr>
            <w:tcW w:w="5204" w:type="dxa"/>
          </w:tcPr>
          <w:p w14:paraId="323BE784" w14:textId="29C83947" w:rsidR="00BE412D" w:rsidRPr="00F81E19" w:rsidRDefault="00BE412D" w:rsidP="00BE412D">
            <w:pPr>
              <w:pStyle w:val="Text11"/>
              <w:keepNext w:val="0"/>
              <w:spacing w:after="0"/>
              <w:ind w:left="0"/>
              <w:rPr>
                <w:szCs w:val="22"/>
                <w:lang w:eastAsia="cs-CZ"/>
              </w:rPr>
            </w:pPr>
            <w:r w:rsidRPr="00F81E19">
              <w:rPr>
                <w:szCs w:val="22"/>
                <w:lang w:eastAsia="cs-CZ"/>
              </w:rPr>
              <w:t>má význam uvedený v záhlaví této Smlouvy</w:t>
            </w:r>
            <w:r w:rsidR="00165BA7">
              <w:rPr>
                <w:szCs w:val="22"/>
                <w:lang w:eastAsia="cs-CZ"/>
              </w:rPr>
              <w:t>.</w:t>
            </w:r>
          </w:p>
        </w:tc>
      </w:tr>
      <w:tr w:rsidR="00BE412D" w:rsidRPr="00F81E19" w14:paraId="7D7F4053" w14:textId="77777777" w:rsidTr="006513A4">
        <w:tc>
          <w:tcPr>
            <w:tcW w:w="3166" w:type="dxa"/>
          </w:tcPr>
          <w:p w14:paraId="35818271" w14:textId="77777777" w:rsidR="00BE412D" w:rsidRPr="00F81E19" w:rsidRDefault="00BE412D" w:rsidP="00BE412D">
            <w:pPr>
              <w:pStyle w:val="Text11"/>
              <w:keepNext w:val="0"/>
              <w:spacing w:after="0"/>
              <w:ind w:left="0"/>
              <w:rPr>
                <w:b/>
                <w:szCs w:val="22"/>
                <w:lang w:eastAsia="cs-CZ"/>
              </w:rPr>
            </w:pPr>
            <w:r w:rsidRPr="00F81E19">
              <w:rPr>
                <w:b/>
                <w:szCs w:val="22"/>
                <w:lang w:eastAsia="cs-CZ"/>
              </w:rPr>
              <w:t>„Pravidla“</w:t>
            </w:r>
          </w:p>
        </w:tc>
        <w:tc>
          <w:tcPr>
            <w:tcW w:w="5204" w:type="dxa"/>
          </w:tcPr>
          <w:p w14:paraId="4475FD32" w14:textId="5ECFDEE3" w:rsidR="00BE412D" w:rsidRPr="00F81E19" w:rsidRDefault="00BE412D" w:rsidP="00BE412D">
            <w:pPr>
              <w:pStyle w:val="Text11"/>
              <w:keepNext w:val="0"/>
              <w:spacing w:after="0"/>
              <w:ind w:left="0"/>
              <w:rPr>
                <w:szCs w:val="22"/>
                <w:lang w:eastAsia="cs-CZ"/>
              </w:rPr>
            </w:pPr>
            <w:r w:rsidRPr="00F81E19">
              <w:rPr>
                <w:szCs w:val="22"/>
                <w:lang w:eastAsia="cs-CZ"/>
              </w:rPr>
              <w:t xml:space="preserve">má význam uvedený v článku </w:t>
            </w:r>
            <w:r w:rsidRPr="00F81E19">
              <w:rPr>
                <w:szCs w:val="22"/>
                <w:lang w:eastAsia="cs-CZ"/>
              </w:rPr>
              <w:fldChar w:fldCharType="begin"/>
            </w:r>
            <w:r w:rsidRPr="00F81E19">
              <w:rPr>
                <w:szCs w:val="22"/>
                <w:lang w:eastAsia="cs-CZ"/>
              </w:rPr>
              <w:instrText xml:space="preserve"> REF _Ref130287763 \w \h  \* MERGEFORMAT </w:instrText>
            </w:r>
            <w:r w:rsidRPr="00F81E19">
              <w:rPr>
                <w:szCs w:val="22"/>
                <w:lang w:eastAsia="cs-CZ"/>
              </w:rPr>
            </w:r>
            <w:r w:rsidRPr="00F81E19">
              <w:rPr>
                <w:szCs w:val="22"/>
                <w:lang w:eastAsia="cs-CZ"/>
              </w:rPr>
              <w:fldChar w:fldCharType="separate"/>
            </w:r>
            <w:r w:rsidR="007F550A">
              <w:rPr>
                <w:szCs w:val="22"/>
                <w:lang w:eastAsia="cs-CZ"/>
              </w:rPr>
              <w:t>10.3</w:t>
            </w:r>
            <w:r w:rsidRPr="00F81E19">
              <w:rPr>
                <w:szCs w:val="22"/>
                <w:lang w:eastAsia="cs-CZ"/>
              </w:rPr>
              <w:fldChar w:fldCharType="end"/>
            </w:r>
            <w:r w:rsidRPr="00F81E19">
              <w:rPr>
                <w:szCs w:val="22"/>
                <w:lang w:eastAsia="cs-CZ"/>
              </w:rPr>
              <w:t xml:space="preserve"> této Smlouvy</w:t>
            </w:r>
            <w:r w:rsidR="00165BA7">
              <w:rPr>
                <w:szCs w:val="22"/>
                <w:lang w:eastAsia="cs-CZ"/>
              </w:rPr>
              <w:t>.</w:t>
            </w:r>
          </w:p>
        </w:tc>
      </w:tr>
      <w:tr w:rsidR="008E4FC2" w:rsidRPr="00F81E19" w14:paraId="23399DC4" w14:textId="77777777" w:rsidTr="006513A4">
        <w:tc>
          <w:tcPr>
            <w:tcW w:w="3166" w:type="dxa"/>
          </w:tcPr>
          <w:p w14:paraId="706540B4" w14:textId="6A97C25D" w:rsidR="008E4FC2" w:rsidRPr="00F81E19" w:rsidRDefault="008E4FC2" w:rsidP="00BE412D">
            <w:pPr>
              <w:pStyle w:val="Text11"/>
              <w:keepNext w:val="0"/>
              <w:spacing w:after="0"/>
              <w:ind w:left="0"/>
              <w:rPr>
                <w:b/>
                <w:szCs w:val="22"/>
                <w:lang w:eastAsia="cs-CZ"/>
              </w:rPr>
            </w:pPr>
            <w:r w:rsidRPr="00F81E19">
              <w:rPr>
                <w:szCs w:val="22"/>
              </w:rPr>
              <w:t>„</w:t>
            </w:r>
            <w:r w:rsidRPr="00F81E19">
              <w:rPr>
                <w:b/>
                <w:bCs/>
                <w:szCs w:val="22"/>
              </w:rPr>
              <w:t>Projekt</w:t>
            </w:r>
            <w:r w:rsidRPr="00F81E19">
              <w:rPr>
                <w:szCs w:val="22"/>
              </w:rPr>
              <w:t>“</w:t>
            </w:r>
          </w:p>
        </w:tc>
        <w:tc>
          <w:tcPr>
            <w:tcW w:w="5204" w:type="dxa"/>
          </w:tcPr>
          <w:p w14:paraId="77701DF1" w14:textId="7AF1ED36" w:rsidR="008E4FC2" w:rsidRPr="00F81E19" w:rsidRDefault="008E4FC2" w:rsidP="00BE412D">
            <w:pPr>
              <w:pStyle w:val="Text11"/>
              <w:keepNext w:val="0"/>
              <w:spacing w:after="0"/>
              <w:ind w:left="0"/>
              <w:rPr>
                <w:szCs w:val="22"/>
                <w:lang w:eastAsia="cs-CZ"/>
              </w:rPr>
            </w:pPr>
            <w:r w:rsidRPr="00F81E19">
              <w:rPr>
                <w:szCs w:val="22"/>
                <w:lang w:eastAsia="cs-CZ"/>
              </w:rPr>
              <w:t xml:space="preserve">má význam uvedený v bodu </w:t>
            </w:r>
            <w:r w:rsidRPr="00F81E19">
              <w:rPr>
                <w:szCs w:val="22"/>
                <w:lang w:eastAsia="cs-CZ"/>
              </w:rPr>
              <w:fldChar w:fldCharType="begin"/>
            </w:r>
            <w:r w:rsidRPr="00F81E19">
              <w:rPr>
                <w:szCs w:val="22"/>
                <w:lang w:eastAsia="cs-CZ"/>
              </w:rPr>
              <w:instrText xml:space="preserve"> REF _Ref134714064 \r \h </w:instrText>
            </w:r>
            <w:r w:rsidR="00F81E19" w:rsidRPr="00F81E19">
              <w:rPr>
                <w:szCs w:val="22"/>
                <w:lang w:eastAsia="cs-CZ"/>
              </w:rPr>
              <w:instrText xml:space="preserve"> \* MERGEFORMAT </w:instrText>
            </w:r>
            <w:r w:rsidRPr="00F81E19">
              <w:rPr>
                <w:szCs w:val="22"/>
                <w:lang w:eastAsia="cs-CZ"/>
              </w:rPr>
            </w:r>
            <w:r w:rsidRPr="00F81E19">
              <w:rPr>
                <w:szCs w:val="22"/>
                <w:lang w:eastAsia="cs-CZ"/>
              </w:rPr>
              <w:fldChar w:fldCharType="separate"/>
            </w:r>
            <w:r w:rsidR="007F550A">
              <w:rPr>
                <w:szCs w:val="22"/>
                <w:lang w:eastAsia="cs-CZ"/>
              </w:rPr>
              <w:t>(B)</w:t>
            </w:r>
            <w:r w:rsidRPr="00F81E19">
              <w:rPr>
                <w:szCs w:val="22"/>
                <w:lang w:eastAsia="cs-CZ"/>
              </w:rPr>
              <w:fldChar w:fldCharType="end"/>
            </w:r>
            <w:r w:rsidRPr="00F81E19">
              <w:rPr>
                <w:szCs w:val="22"/>
                <w:lang w:eastAsia="cs-CZ"/>
              </w:rPr>
              <w:t xml:space="preserve"> Preambule této Smlouvy</w:t>
            </w:r>
            <w:r w:rsidR="00165BA7">
              <w:rPr>
                <w:szCs w:val="22"/>
                <w:lang w:eastAsia="cs-CZ"/>
              </w:rPr>
              <w:t>.</w:t>
            </w:r>
          </w:p>
        </w:tc>
      </w:tr>
      <w:tr w:rsidR="0089036B" w:rsidRPr="00F81E19" w14:paraId="3F2C9A2F" w14:textId="77777777" w:rsidTr="006513A4">
        <w:tc>
          <w:tcPr>
            <w:tcW w:w="3166" w:type="dxa"/>
          </w:tcPr>
          <w:p w14:paraId="57B07DB2" w14:textId="06BDFB47" w:rsidR="0089036B" w:rsidRPr="00F81E19" w:rsidRDefault="0089036B" w:rsidP="0089036B">
            <w:pPr>
              <w:pStyle w:val="Text11"/>
              <w:keepNext w:val="0"/>
              <w:spacing w:after="0"/>
              <w:ind w:left="0"/>
              <w:rPr>
                <w:b/>
                <w:szCs w:val="22"/>
                <w:lang w:eastAsia="cs-CZ"/>
              </w:rPr>
            </w:pPr>
            <w:r w:rsidRPr="00F81E19">
              <w:rPr>
                <w:b/>
                <w:szCs w:val="22"/>
                <w:lang w:eastAsia="cs-CZ"/>
              </w:rPr>
              <w:t>„Rozšířené služby“</w:t>
            </w:r>
          </w:p>
        </w:tc>
        <w:tc>
          <w:tcPr>
            <w:tcW w:w="5204" w:type="dxa"/>
          </w:tcPr>
          <w:p w14:paraId="28D2EF21" w14:textId="0021E8C0" w:rsidR="0089036B" w:rsidRPr="00F81E19" w:rsidRDefault="0089036B" w:rsidP="0089036B">
            <w:pPr>
              <w:pStyle w:val="Text11"/>
              <w:keepNext w:val="0"/>
              <w:spacing w:after="0"/>
              <w:ind w:left="0"/>
              <w:rPr>
                <w:szCs w:val="22"/>
                <w:lang w:eastAsia="cs-CZ"/>
              </w:rPr>
            </w:pPr>
            <w:r w:rsidRPr="00F81E19">
              <w:rPr>
                <w:szCs w:val="22"/>
                <w:lang w:eastAsia="cs-CZ"/>
              </w:rPr>
              <w:t xml:space="preserve">má význam uvedený v článku </w:t>
            </w:r>
            <w:r w:rsidRPr="00F81E19">
              <w:rPr>
                <w:szCs w:val="22"/>
                <w:lang w:eastAsia="cs-CZ"/>
              </w:rPr>
              <w:fldChar w:fldCharType="begin"/>
            </w:r>
            <w:r w:rsidRPr="00F81E19">
              <w:rPr>
                <w:szCs w:val="22"/>
                <w:lang w:eastAsia="cs-CZ"/>
              </w:rPr>
              <w:instrText xml:space="preserve"> REF _Ref134703135 \r \h </w:instrText>
            </w:r>
            <w:r w:rsidR="00F81E19" w:rsidRPr="00F81E19">
              <w:rPr>
                <w:szCs w:val="22"/>
                <w:lang w:eastAsia="cs-CZ"/>
              </w:rPr>
              <w:instrText xml:space="preserve"> \* MERGEFORMAT </w:instrText>
            </w:r>
            <w:r w:rsidRPr="00F81E19">
              <w:rPr>
                <w:szCs w:val="22"/>
                <w:lang w:eastAsia="cs-CZ"/>
              </w:rPr>
            </w:r>
            <w:r w:rsidRPr="00F81E19">
              <w:rPr>
                <w:szCs w:val="22"/>
                <w:lang w:eastAsia="cs-CZ"/>
              </w:rPr>
              <w:fldChar w:fldCharType="separate"/>
            </w:r>
            <w:r w:rsidR="007F550A">
              <w:rPr>
                <w:szCs w:val="22"/>
                <w:lang w:eastAsia="cs-CZ"/>
              </w:rPr>
              <w:t>3.3</w:t>
            </w:r>
            <w:r w:rsidRPr="00F81E19">
              <w:rPr>
                <w:szCs w:val="22"/>
                <w:lang w:eastAsia="cs-CZ"/>
              </w:rPr>
              <w:fldChar w:fldCharType="end"/>
            </w:r>
            <w:r w:rsidRPr="00F81E19">
              <w:rPr>
                <w:szCs w:val="22"/>
                <w:lang w:eastAsia="cs-CZ"/>
              </w:rPr>
              <w:t xml:space="preserve"> této Smlouvy</w:t>
            </w:r>
            <w:r w:rsidR="00165BA7">
              <w:rPr>
                <w:szCs w:val="22"/>
                <w:lang w:eastAsia="cs-CZ"/>
              </w:rPr>
              <w:t>.</w:t>
            </w:r>
          </w:p>
        </w:tc>
      </w:tr>
      <w:tr w:rsidR="0089036B" w:rsidRPr="00F81E19" w14:paraId="25544D53" w14:textId="77777777" w:rsidTr="006513A4">
        <w:tc>
          <w:tcPr>
            <w:tcW w:w="3166" w:type="dxa"/>
          </w:tcPr>
          <w:p w14:paraId="561643D5" w14:textId="694495C6" w:rsidR="0089036B" w:rsidRPr="00F81E19" w:rsidRDefault="0089036B" w:rsidP="0089036B">
            <w:pPr>
              <w:pStyle w:val="Text11"/>
              <w:keepNext w:val="0"/>
              <w:spacing w:after="0"/>
              <w:ind w:left="0"/>
              <w:rPr>
                <w:b/>
                <w:szCs w:val="22"/>
                <w:lang w:eastAsia="cs-CZ"/>
              </w:rPr>
            </w:pPr>
            <w:r w:rsidRPr="00F81E19">
              <w:rPr>
                <w:b/>
                <w:szCs w:val="22"/>
                <w:lang w:eastAsia="cs-CZ"/>
              </w:rPr>
              <w:t>„Služby“</w:t>
            </w:r>
          </w:p>
        </w:tc>
        <w:tc>
          <w:tcPr>
            <w:tcW w:w="5204" w:type="dxa"/>
          </w:tcPr>
          <w:p w14:paraId="2F352835" w14:textId="17DCD7D4" w:rsidR="0089036B" w:rsidRPr="00F81E19" w:rsidRDefault="00165BA7" w:rsidP="0089036B">
            <w:pPr>
              <w:pStyle w:val="Text11"/>
              <w:keepNext w:val="0"/>
              <w:spacing w:after="0"/>
              <w:ind w:left="0"/>
              <w:rPr>
                <w:szCs w:val="22"/>
                <w:lang w:eastAsia="cs-CZ"/>
              </w:rPr>
            </w:pPr>
            <w:r>
              <w:rPr>
                <w:szCs w:val="22"/>
                <w:lang w:eastAsia="cs-CZ"/>
              </w:rPr>
              <w:t>z</w:t>
            </w:r>
            <w:r w:rsidRPr="00F81E19">
              <w:rPr>
                <w:szCs w:val="22"/>
                <w:lang w:eastAsia="cs-CZ"/>
              </w:rPr>
              <w:t>namená</w:t>
            </w:r>
            <w:r>
              <w:rPr>
                <w:szCs w:val="22"/>
                <w:lang w:eastAsia="cs-CZ"/>
              </w:rPr>
              <w:t xml:space="preserve"> společně</w:t>
            </w:r>
            <w:r w:rsidR="0089036B" w:rsidRPr="00F81E19">
              <w:rPr>
                <w:szCs w:val="22"/>
                <w:lang w:eastAsia="cs-CZ"/>
              </w:rPr>
              <w:t xml:space="preserve"> Základní služby a Rozšířené služby</w:t>
            </w:r>
            <w:r>
              <w:rPr>
                <w:szCs w:val="22"/>
                <w:lang w:eastAsia="cs-CZ"/>
              </w:rPr>
              <w:t>.</w:t>
            </w:r>
          </w:p>
        </w:tc>
      </w:tr>
      <w:tr w:rsidR="0089036B" w:rsidRPr="00F81E19" w14:paraId="22171A45" w14:textId="77777777" w:rsidTr="006513A4">
        <w:tc>
          <w:tcPr>
            <w:tcW w:w="3166" w:type="dxa"/>
            <w:hideMark/>
          </w:tcPr>
          <w:p w14:paraId="4AF392BB" w14:textId="77777777" w:rsidR="0089036B" w:rsidRPr="00F81E19" w:rsidRDefault="0089036B" w:rsidP="0089036B">
            <w:pPr>
              <w:pStyle w:val="Text11"/>
              <w:keepNext w:val="0"/>
              <w:spacing w:after="0"/>
              <w:ind w:left="0"/>
              <w:rPr>
                <w:b/>
                <w:szCs w:val="22"/>
                <w:lang w:eastAsia="cs-CZ"/>
              </w:rPr>
            </w:pPr>
            <w:r w:rsidRPr="00F81E19">
              <w:rPr>
                <w:b/>
                <w:szCs w:val="22"/>
                <w:lang w:eastAsia="cs-CZ"/>
              </w:rPr>
              <w:t>„Smlouva“</w:t>
            </w:r>
          </w:p>
        </w:tc>
        <w:tc>
          <w:tcPr>
            <w:tcW w:w="5204" w:type="dxa"/>
            <w:hideMark/>
          </w:tcPr>
          <w:p w14:paraId="7D50DC0F" w14:textId="2CB1EC18" w:rsidR="0089036B" w:rsidRPr="00F81E19" w:rsidRDefault="0089036B" w:rsidP="0089036B">
            <w:pPr>
              <w:pStyle w:val="Text11"/>
              <w:keepNext w:val="0"/>
              <w:spacing w:after="0"/>
              <w:ind w:left="0"/>
              <w:rPr>
                <w:szCs w:val="22"/>
                <w:lang w:eastAsia="cs-CZ"/>
              </w:rPr>
            </w:pPr>
            <w:r w:rsidRPr="00F81E19">
              <w:rPr>
                <w:szCs w:val="22"/>
                <w:lang w:eastAsia="cs-CZ"/>
              </w:rPr>
              <w:t>má význam uvedený v záhlaví této Smlouvy</w:t>
            </w:r>
            <w:r w:rsidR="00165BA7">
              <w:rPr>
                <w:szCs w:val="22"/>
                <w:lang w:eastAsia="cs-CZ"/>
              </w:rPr>
              <w:t>.</w:t>
            </w:r>
          </w:p>
        </w:tc>
      </w:tr>
      <w:tr w:rsidR="005D3315" w:rsidRPr="00F81E19" w14:paraId="30A0B542" w14:textId="77777777" w:rsidTr="006513A4">
        <w:tc>
          <w:tcPr>
            <w:tcW w:w="3166" w:type="dxa"/>
          </w:tcPr>
          <w:p w14:paraId="751EBD4A" w14:textId="136E0D05" w:rsidR="005D3315" w:rsidRPr="00F81E19" w:rsidRDefault="005D3315" w:rsidP="0089036B">
            <w:pPr>
              <w:pStyle w:val="Text11"/>
              <w:keepNext w:val="0"/>
              <w:spacing w:after="0"/>
              <w:ind w:left="0"/>
              <w:rPr>
                <w:b/>
                <w:szCs w:val="22"/>
                <w:lang w:eastAsia="cs-CZ"/>
              </w:rPr>
            </w:pPr>
            <w:r>
              <w:rPr>
                <w:b/>
                <w:szCs w:val="22"/>
                <w:lang w:eastAsia="cs-CZ"/>
              </w:rPr>
              <w:t>„Smlouva o dílo“</w:t>
            </w:r>
          </w:p>
        </w:tc>
        <w:tc>
          <w:tcPr>
            <w:tcW w:w="5204" w:type="dxa"/>
          </w:tcPr>
          <w:p w14:paraId="3750C4F5" w14:textId="622B3D29" w:rsidR="005D3315" w:rsidRPr="00F81E19" w:rsidRDefault="005D3315" w:rsidP="0089036B">
            <w:pPr>
              <w:pStyle w:val="Text11"/>
              <w:keepNext w:val="0"/>
              <w:spacing w:after="0"/>
              <w:ind w:left="0"/>
              <w:rPr>
                <w:szCs w:val="22"/>
                <w:lang w:eastAsia="cs-CZ"/>
              </w:rPr>
            </w:pPr>
            <w:r>
              <w:rPr>
                <w:szCs w:val="22"/>
                <w:lang w:eastAsia="cs-CZ"/>
              </w:rPr>
              <w:t xml:space="preserve">Má význam uvedený v bodu </w:t>
            </w:r>
            <w:r>
              <w:rPr>
                <w:szCs w:val="22"/>
                <w:lang w:eastAsia="cs-CZ"/>
              </w:rPr>
              <w:fldChar w:fldCharType="begin"/>
            </w:r>
            <w:r>
              <w:rPr>
                <w:szCs w:val="22"/>
                <w:lang w:eastAsia="cs-CZ"/>
              </w:rPr>
              <w:instrText xml:space="preserve"> REF _Ref148432441 \r \h </w:instrText>
            </w:r>
            <w:r>
              <w:rPr>
                <w:szCs w:val="22"/>
                <w:lang w:eastAsia="cs-CZ"/>
              </w:rPr>
            </w:r>
            <w:r>
              <w:rPr>
                <w:szCs w:val="22"/>
                <w:lang w:eastAsia="cs-CZ"/>
              </w:rPr>
              <w:fldChar w:fldCharType="separate"/>
            </w:r>
            <w:r>
              <w:rPr>
                <w:szCs w:val="22"/>
                <w:lang w:eastAsia="cs-CZ"/>
              </w:rPr>
              <w:t>(C)</w:t>
            </w:r>
            <w:r>
              <w:rPr>
                <w:szCs w:val="22"/>
                <w:lang w:eastAsia="cs-CZ"/>
              </w:rPr>
              <w:fldChar w:fldCharType="end"/>
            </w:r>
            <w:r>
              <w:rPr>
                <w:szCs w:val="22"/>
                <w:lang w:eastAsia="cs-CZ"/>
              </w:rPr>
              <w:t xml:space="preserve"> </w:t>
            </w:r>
            <w:r w:rsidRPr="00F81E19">
              <w:rPr>
                <w:szCs w:val="22"/>
                <w:lang w:eastAsia="cs-CZ"/>
              </w:rPr>
              <w:t>Preambule této Smlouvy</w:t>
            </w:r>
            <w:r>
              <w:rPr>
                <w:szCs w:val="22"/>
                <w:lang w:eastAsia="cs-CZ"/>
              </w:rPr>
              <w:t>.</w:t>
            </w:r>
          </w:p>
        </w:tc>
      </w:tr>
      <w:tr w:rsidR="0089036B" w:rsidRPr="00F81E19" w14:paraId="5A7E48DC" w14:textId="77777777" w:rsidTr="006513A4">
        <w:tc>
          <w:tcPr>
            <w:tcW w:w="3166" w:type="dxa"/>
          </w:tcPr>
          <w:p w14:paraId="6B57956B" w14:textId="77777777" w:rsidR="0089036B" w:rsidRPr="00F81E19" w:rsidRDefault="0089036B" w:rsidP="0089036B">
            <w:pPr>
              <w:pStyle w:val="Text11"/>
              <w:keepNext w:val="0"/>
              <w:spacing w:after="0"/>
              <w:ind w:left="0"/>
              <w:rPr>
                <w:b/>
                <w:szCs w:val="22"/>
                <w:lang w:eastAsia="cs-CZ"/>
              </w:rPr>
            </w:pPr>
            <w:r w:rsidRPr="00F81E19">
              <w:rPr>
                <w:b/>
                <w:szCs w:val="22"/>
                <w:lang w:eastAsia="cs-CZ"/>
              </w:rPr>
              <w:t>„Smluvní strana“</w:t>
            </w:r>
          </w:p>
        </w:tc>
        <w:tc>
          <w:tcPr>
            <w:tcW w:w="5204" w:type="dxa"/>
          </w:tcPr>
          <w:p w14:paraId="1A0C073C" w14:textId="41CE095B" w:rsidR="0089036B" w:rsidRPr="00F81E19" w:rsidRDefault="0089036B" w:rsidP="0089036B">
            <w:pPr>
              <w:pStyle w:val="Text11"/>
              <w:keepNext w:val="0"/>
              <w:spacing w:after="0"/>
              <w:ind w:left="0"/>
              <w:rPr>
                <w:szCs w:val="22"/>
                <w:lang w:eastAsia="cs-CZ"/>
              </w:rPr>
            </w:pPr>
            <w:r w:rsidRPr="00F81E19">
              <w:rPr>
                <w:szCs w:val="22"/>
                <w:lang w:eastAsia="cs-CZ"/>
              </w:rPr>
              <w:t>má význam uvedený v záhlaví této Smlouvy</w:t>
            </w:r>
            <w:r w:rsidR="00165BA7">
              <w:rPr>
                <w:szCs w:val="22"/>
                <w:lang w:eastAsia="cs-CZ"/>
              </w:rPr>
              <w:t>.</w:t>
            </w:r>
          </w:p>
        </w:tc>
      </w:tr>
      <w:tr w:rsidR="0089036B" w:rsidRPr="00F81E19" w14:paraId="20B57BE0" w14:textId="77777777" w:rsidTr="006513A4">
        <w:tc>
          <w:tcPr>
            <w:tcW w:w="3166" w:type="dxa"/>
          </w:tcPr>
          <w:p w14:paraId="1F885490" w14:textId="3ED87818" w:rsidR="0089036B" w:rsidRPr="00F81E19" w:rsidRDefault="0089036B" w:rsidP="0089036B">
            <w:pPr>
              <w:pStyle w:val="Text11"/>
              <w:keepNext w:val="0"/>
              <w:spacing w:after="0"/>
              <w:ind w:left="0"/>
              <w:rPr>
                <w:b/>
                <w:szCs w:val="22"/>
                <w:lang w:eastAsia="cs-CZ"/>
              </w:rPr>
            </w:pPr>
            <w:r w:rsidRPr="00F81E19">
              <w:rPr>
                <w:b/>
                <w:bCs/>
                <w:szCs w:val="22"/>
              </w:rPr>
              <w:t>„Související infrastruktura</w:t>
            </w:r>
            <w:r w:rsidRPr="00F81E19">
              <w:rPr>
                <w:szCs w:val="22"/>
              </w:rPr>
              <w:t>“</w:t>
            </w:r>
          </w:p>
        </w:tc>
        <w:tc>
          <w:tcPr>
            <w:tcW w:w="5204" w:type="dxa"/>
          </w:tcPr>
          <w:p w14:paraId="4C20C86B" w14:textId="14C08019" w:rsidR="0089036B" w:rsidRPr="00F81E19" w:rsidRDefault="0089036B" w:rsidP="0089036B">
            <w:pPr>
              <w:pStyle w:val="Text11"/>
              <w:keepNext w:val="0"/>
              <w:spacing w:after="0"/>
              <w:ind w:left="0"/>
              <w:rPr>
                <w:szCs w:val="22"/>
                <w:lang w:eastAsia="cs-CZ"/>
              </w:rPr>
            </w:pPr>
            <w:r w:rsidRPr="00F81E19">
              <w:rPr>
                <w:szCs w:val="22"/>
              </w:rPr>
              <w:t>znamená inženýrské sítě (zejména energetického vedení) FVE, včetně obslužných zařízení inženýrských sítí FVE, dále pak Zařízení, včetně pozemků nezbytných k přístupu k Zařízení.</w:t>
            </w:r>
          </w:p>
        </w:tc>
      </w:tr>
      <w:tr w:rsidR="0089036B" w:rsidRPr="00F81E19" w14:paraId="3B4B82BA" w14:textId="77777777" w:rsidTr="006513A4">
        <w:tc>
          <w:tcPr>
            <w:tcW w:w="3166" w:type="dxa"/>
          </w:tcPr>
          <w:p w14:paraId="562E343A" w14:textId="77777777" w:rsidR="0089036B" w:rsidRPr="00F81E19" w:rsidRDefault="0089036B" w:rsidP="0089036B">
            <w:pPr>
              <w:pStyle w:val="Text11"/>
              <w:keepNext w:val="0"/>
              <w:spacing w:after="0"/>
              <w:ind w:left="0"/>
              <w:rPr>
                <w:b/>
                <w:szCs w:val="22"/>
                <w:lang w:eastAsia="cs-CZ"/>
              </w:rPr>
            </w:pPr>
            <w:r w:rsidRPr="00F81E19">
              <w:rPr>
                <w:b/>
                <w:szCs w:val="22"/>
                <w:lang w:eastAsia="cs-CZ"/>
              </w:rPr>
              <w:t>„Spor“</w:t>
            </w:r>
          </w:p>
        </w:tc>
        <w:tc>
          <w:tcPr>
            <w:tcW w:w="5204" w:type="dxa"/>
          </w:tcPr>
          <w:p w14:paraId="45968A7C" w14:textId="5937F6F1" w:rsidR="0089036B" w:rsidRPr="00F81E19" w:rsidRDefault="0089036B" w:rsidP="0089036B">
            <w:pPr>
              <w:pStyle w:val="Text11"/>
              <w:keepNext w:val="0"/>
              <w:spacing w:after="0"/>
              <w:ind w:left="0"/>
              <w:rPr>
                <w:szCs w:val="22"/>
                <w:lang w:eastAsia="cs-CZ"/>
              </w:rPr>
            </w:pPr>
            <w:r w:rsidRPr="00F81E19">
              <w:rPr>
                <w:szCs w:val="22"/>
                <w:lang w:eastAsia="cs-CZ"/>
              </w:rPr>
              <w:t xml:space="preserve">má význam uvedený v článku </w:t>
            </w:r>
            <w:r w:rsidRPr="00F81E19">
              <w:rPr>
                <w:szCs w:val="22"/>
                <w:lang w:eastAsia="cs-CZ"/>
              </w:rPr>
              <w:fldChar w:fldCharType="begin"/>
            </w:r>
            <w:r w:rsidRPr="00F81E19">
              <w:rPr>
                <w:szCs w:val="22"/>
                <w:lang w:eastAsia="cs-CZ"/>
              </w:rPr>
              <w:instrText xml:space="preserve"> REF _Ref130287763 \w \h  \* MERGEFORMAT </w:instrText>
            </w:r>
            <w:r w:rsidRPr="00F81E19">
              <w:rPr>
                <w:szCs w:val="22"/>
                <w:lang w:eastAsia="cs-CZ"/>
              </w:rPr>
            </w:r>
            <w:r w:rsidRPr="00F81E19">
              <w:rPr>
                <w:szCs w:val="22"/>
                <w:lang w:eastAsia="cs-CZ"/>
              </w:rPr>
              <w:fldChar w:fldCharType="separate"/>
            </w:r>
            <w:r w:rsidR="007F550A">
              <w:rPr>
                <w:szCs w:val="22"/>
                <w:lang w:eastAsia="cs-CZ"/>
              </w:rPr>
              <w:t>10.3</w:t>
            </w:r>
            <w:r w:rsidRPr="00F81E19">
              <w:rPr>
                <w:szCs w:val="22"/>
                <w:lang w:eastAsia="cs-CZ"/>
              </w:rPr>
              <w:fldChar w:fldCharType="end"/>
            </w:r>
            <w:r w:rsidRPr="00F81E19">
              <w:rPr>
                <w:szCs w:val="22"/>
                <w:lang w:eastAsia="cs-CZ"/>
              </w:rPr>
              <w:t xml:space="preserve"> této Smlouvy</w:t>
            </w:r>
            <w:r w:rsidR="00165BA7">
              <w:rPr>
                <w:szCs w:val="22"/>
                <w:lang w:eastAsia="cs-CZ"/>
              </w:rPr>
              <w:t>.</w:t>
            </w:r>
          </w:p>
        </w:tc>
      </w:tr>
      <w:tr w:rsidR="0009376A" w:rsidRPr="000C6E62" w14:paraId="2146783A" w14:textId="77777777" w:rsidTr="006513A4">
        <w:tc>
          <w:tcPr>
            <w:tcW w:w="3166" w:type="dxa"/>
          </w:tcPr>
          <w:p w14:paraId="6A025AE6" w14:textId="67213710" w:rsidR="0009376A" w:rsidRPr="00056AE4" w:rsidRDefault="0009376A" w:rsidP="00FF0687">
            <w:pPr>
              <w:pStyle w:val="Text11"/>
              <w:keepNext w:val="0"/>
              <w:spacing w:after="0"/>
              <w:ind w:left="0"/>
              <w:rPr>
                <w:b/>
                <w:szCs w:val="22"/>
                <w:lang w:eastAsia="cs-CZ"/>
              </w:rPr>
            </w:pPr>
            <w:r w:rsidRPr="00056AE4">
              <w:rPr>
                <w:b/>
                <w:szCs w:val="22"/>
                <w:lang w:eastAsia="cs-CZ"/>
              </w:rPr>
              <w:t>„Vyšší moc“</w:t>
            </w:r>
          </w:p>
        </w:tc>
        <w:tc>
          <w:tcPr>
            <w:tcW w:w="5204" w:type="dxa"/>
          </w:tcPr>
          <w:p w14:paraId="77660E7B" w14:textId="03F3D396" w:rsidR="0009376A" w:rsidRPr="000C6E62" w:rsidRDefault="00056AE4" w:rsidP="000C6E62">
            <w:pPr>
              <w:pStyle w:val="Normal4"/>
              <w:spacing w:after="0"/>
              <w:ind w:left="0"/>
              <w:rPr>
                <w:lang w:val="cs-CZ" w:eastAsia="cs-CZ"/>
              </w:rPr>
            </w:pPr>
            <w:r w:rsidRPr="003614CE">
              <w:rPr>
                <w:lang w:val="cs-CZ" w:eastAsia="cs-CZ"/>
              </w:rPr>
              <w:t>znamená mimořádnou událost nebo okolnost, kterou nemohla žádná ze S</w:t>
            </w:r>
            <w:r>
              <w:rPr>
                <w:lang w:val="cs-CZ" w:eastAsia="cs-CZ"/>
              </w:rPr>
              <w:t>mluvních s</w:t>
            </w:r>
            <w:r w:rsidRPr="003614CE">
              <w:rPr>
                <w:lang w:val="cs-CZ" w:eastAsia="cs-CZ"/>
              </w:rPr>
              <w:t>tran před uzavřením této Smlouvy předvídat ani jí předejít přijetím preventivního opatření, která je mimo jakoukoliv kontrolu kterékoliv Strany a nebyla způsobena úmyslně nebo z</w:t>
            </w:r>
            <w:r>
              <w:rPr>
                <w:lang w:val="cs-CZ" w:eastAsia="cs-CZ"/>
              </w:rPr>
              <w:t> </w:t>
            </w:r>
            <w:r w:rsidRPr="003614CE">
              <w:rPr>
                <w:lang w:val="cs-CZ" w:eastAsia="cs-CZ"/>
              </w:rPr>
              <w:t xml:space="preserve">nedbalosti jednáním nebo opomenutím kterékoliv Strany a která podstatným způsobem ztěžuje nebo znemožňuje plnění povinností dle této Smlouvy kteroukoliv ze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w:t>
            </w:r>
            <w:r>
              <w:rPr>
                <w:lang w:val="cs-CZ" w:eastAsia="cs-CZ"/>
              </w:rPr>
              <w:t>p</w:t>
            </w:r>
            <w:r w:rsidRPr="003614CE">
              <w:rPr>
                <w:lang w:val="cs-CZ" w:eastAsia="cs-CZ"/>
              </w:rPr>
              <w:t xml:space="preserve">ersonálu </w:t>
            </w:r>
            <w:r>
              <w:rPr>
                <w:lang w:val="cs-CZ" w:eastAsia="cs-CZ"/>
              </w:rPr>
              <w:t xml:space="preserve">Poskytovatele </w:t>
            </w:r>
            <w:r w:rsidRPr="003614CE">
              <w:rPr>
                <w:lang w:val="cs-CZ" w:eastAsia="cs-CZ"/>
              </w:rPr>
              <w:t>ani hospodářské poměry S</w:t>
            </w:r>
            <w:r>
              <w:rPr>
                <w:lang w:val="cs-CZ" w:eastAsia="cs-CZ"/>
              </w:rPr>
              <w:t>mluvních s</w:t>
            </w:r>
            <w:r w:rsidRPr="003614CE">
              <w:rPr>
                <w:lang w:val="cs-CZ" w:eastAsia="cs-CZ"/>
              </w:rPr>
              <w:t>tran.</w:t>
            </w:r>
          </w:p>
        </w:tc>
      </w:tr>
      <w:tr w:rsidR="005D3315" w:rsidRPr="00F81E19" w14:paraId="4DB5C41C" w14:textId="77777777" w:rsidTr="006513A4">
        <w:tc>
          <w:tcPr>
            <w:tcW w:w="3166" w:type="dxa"/>
          </w:tcPr>
          <w:p w14:paraId="15BD1FA3" w14:textId="6B99E045" w:rsidR="005D3315" w:rsidRPr="00F81E19" w:rsidRDefault="005D3315" w:rsidP="00FF0687">
            <w:pPr>
              <w:pStyle w:val="Text11"/>
              <w:keepNext w:val="0"/>
              <w:spacing w:after="0"/>
              <w:ind w:left="0"/>
              <w:rPr>
                <w:b/>
                <w:szCs w:val="22"/>
                <w:lang w:eastAsia="cs-CZ"/>
              </w:rPr>
            </w:pPr>
            <w:r>
              <w:rPr>
                <w:b/>
                <w:szCs w:val="22"/>
                <w:lang w:eastAsia="cs-CZ"/>
              </w:rPr>
              <w:t>„Zadávací řízení“</w:t>
            </w:r>
          </w:p>
        </w:tc>
        <w:tc>
          <w:tcPr>
            <w:tcW w:w="5204" w:type="dxa"/>
          </w:tcPr>
          <w:p w14:paraId="137369FD" w14:textId="7E82CC3C" w:rsidR="005D3315" w:rsidRPr="00F81E19" w:rsidRDefault="005D3315" w:rsidP="00FF0687">
            <w:pPr>
              <w:pStyle w:val="Text11"/>
              <w:keepNext w:val="0"/>
              <w:spacing w:after="0"/>
              <w:ind w:left="0"/>
              <w:rPr>
                <w:szCs w:val="22"/>
                <w:lang w:eastAsia="cs-CZ"/>
              </w:rPr>
            </w:pPr>
            <w:r>
              <w:rPr>
                <w:szCs w:val="22"/>
                <w:lang w:eastAsia="cs-CZ"/>
              </w:rPr>
              <w:t xml:space="preserve">má význam uvedený v bodu </w:t>
            </w:r>
            <w:r>
              <w:rPr>
                <w:szCs w:val="22"/>
                <w:lang w:eastAsia="cs-CZ"/>
              </w:rPr>
              <w:fldChar w:fldCharType="begin"/>
            </w:r>
            <w:r>
              <w:rPr>
                <w:szCs w:val="22"/>
                <w:lang w:eastAsia="cs-CZ"/>
              </w:rPr>
              <w:instrText xml:space="preserve"> REF _Ref148432441 \r \h </w:instrText>
            </w:r>
            <w:r>
              <w:rPr>
                <w:szCs w:val="22"/>
                <w:lang w:eastAsia="cs-CZ"/>
              </w:rPr>
            </w:r>
            <w:r>
              <w:rPr>
                <w:szCs w:val="22"/>
                <w:lang w:eastAsia="cs-CZ"/>
              </w:rPr>
              <w:fldChar w:fldCharType="separate"/>
            </w:r>
            <w:r>
              <w:rPr>
                <w:szCs w:val="22"/>
                <w:lang w:eastAsia="cs-CZ"/>
              </w:rPr>
              <w:t>(C)</w:t>
            </w:r>
            <w:r>
              <w:rPr>
                <w:szCs w:val="22"/>
                <w:lang w:eastAsia="cs-CZ"/>
              </w:rPr>
              <w:fldChar w:fldCharType="end"/>
            </w:r>
            <w:r>
              <w:rPr>
                <w:szCs w:val="22"/>
                <w:lang w:eastAsia="cs-CZ"/>
              </w:rPr>
              <w:t xml:space="preserve"> </w:t>
            </w:r>
            <w:r w:rsidRPr="00F81E19">
              <w:rPr>
                <w:szCs w:val="22"/>
                <w:lang w:eastAsia="cs-CZ"/>
              </w:rPr>
              <w:t>Preambule této Smlouvy</w:t>
            </w:r>
            <w:r>
              <w:rPr>
                <w:szCs w:val="22"/>
                <w:lang w:eastAsia="cs-CZ"/>
              </w:rPr>
              <w:t>.</w:t>
            </w:r>
          </w:p>
        </w:tc>
      </w:tr>
      <w:tr w:rsidR="00FF0687" w:rsidRPr="00F81E19" w14:paraId="49FD7D88" w14:textId="77777777" w:rsidTr="006513A4">
        <w:tc>
          <w:tcPr>
            <w:tcW w:w="3166" w:type="dxa"/>
          </w:tcPr>
          <w:p w14:paraId="536F110B" w14:textId="2FCF4DF7" w:rsidR="00FF0687" w:rsidRPr="00F81E19" w:rsidRDefault="00FF0687" w:rsidP="00FF0687">
            <w:pPr>
              <w:pStyle w:val="Text11"/>
              <w:keepNext w:val="0"/>
              <w:spacing w:after="0"/>
              <w:ind w:left="0"/>
              <w:rPr>
                <w:b/>
                <w:szCs w:val="22"/>
                <w:lang w:eastAsia="cs-CZ"/>
              </w:rPr>
            </w:pPr>
            <w:r w:rsidRPr="00F81E19">
              <w:rPr>
                <w:b/>
                <w:szCs w:val="22"/>
                <w:lang w:eastAsia="cs-CZ"/>
              </w:rPr>
              <w:t>„</w:t>
            </w:r>
            <w:r>
              <w:rPr>
                <w:b/>
                <w:szCs w:val="22"/>
                <w:lang w:eastAsia="cs-CZ"/>
              </w:rPr>
              <w:t>Základní odměna</w:t>
            </w:r>
            <w:r w:rsidRPr="00F81E19">
              <w:rPr>
                <w:b/>
                <w:szCs w:val="22"/>
                <w:lang w:eastAsia="cs-CZ"/>
              </w:rPr>
              <w:t>“</w:t>
            </w:r>
          </w:p>
        </w:tc>
        <w:tc>
          <w:tcPr>
            <w:tcW w:w="5204" w:type="dxa"/>
          </w:tcPr>
          <w:p w14:paraId="66EDC077" w14:textId="3EEEDB71" w:rsidR="00FF0687" w:rsidRPr="00F81E19" w:rsidRDefault="00FF0687" w:rsidP="00FF0687">
            <w:pPr>
              <w:pStyle w:val="Text11"/>
              <w:keepNext w:val="0"/>
              <w:spacing w:after="0"/>
              <w:ind w:left="0"/>
              <w:rPr>
                <w:szCs w:val="22"/>
                <w:lang w:eastAsia="cs-CZ"/>
              </w:rPr>
            </w:pPr>
            <w:r w:rsidRPr="00F81E19">
              <w:rPr>
                <w:szCs w:val="22"/>
                <w:lang w:eastAsia="cs-CZ"/>
              </w:rPr>
              <w:t xml:space="preserve">má význam uvedený v článku </w:t>
            </w:r>
            <w:r w:rsidRPr="00F81E19">
              <w:rPr>
                <w:szCs w:val="22"/>
                <w:lang w:eastAsia="cs-CZ"/>
              </w:rPr>
              <w:fldChar w:fldCharType="begin"/>
            </w:r>
            <w:r w:rsidRPr="00F81E19">
              <w:rPr>
                <w:szCs w:val="22"/>
                <w:lang w:eastAsia="cs-CZ"/>
              </w:rPr>
              <w:instrText xml:space="preserve"> REF _Ref134014698 \r \h  \* MERGEFORMAT </w:instrText>
            </w:r>
            <w:r w:rsidRPr="00F81E19">
              <w:rPr>
                <w:szCs w:val="22"/>
                <w:lang w:eastAsia="cs-CZ"/>
              </w:rPr>
            </w:r>
            <w:r w:rsidRPr="00F81E19">
              <w:rPr>
                <w:szCs w:val="22"/>
                <w:lang w:eastAsia="cs-CZ"/>
              </w:rPr>
              <w:fldChar w:fldCharType="separate"/>
            </w:r>
            <w:r>
              <w:rPr>
                <w:szCs w:val="22"/>
                <w:lang w:eastAsia="cs-CZ"/>
              </w:rPr>
              <w:t>4.1</w:t>
            </w:r>
            <w:r w:rsidRPr="00F81E19">
              <w:rPr>
                <w:szCs w:val="22"/>
                <w:lang w:eastAsia="cs-CZ"/>
              </w:rPr>
              <w:fldChar w:fldCharType="end"/>
            </w:r>
            <w:r w:rsidRPr="00F81E19">
              <w:rPr>
                <w:szCs w:val="22"/>
                <w:lang w:eastAsia="cs-CZ"/>
              </w:rPr>
              <w:t xml:space="preserve"> této Smlouvy</w:t>
            </w:r>
            <w:r>
              <w:rPr>
                <w:szCs w:val="22"/>
                <w:lang w:eastAsia="cs-CZ"/>
              </w:rPr>
              <w:t>.</w:t>
            </w:r>
          </w:p>
        </w:tc>
      </w:tr>
      <w:tr w:rsidR="00FF0687" w:rsidRPr="00F81E19" w14:paraId="42469BEF" w14:textId="77777777" w:rsidTr="006513A4">
        <w:tc>
          <w:tcPr>
            <w:tcW w:w="3166" w:type="dxa"/>
          </w:tcPr>
          <w:p w14:paraId="3308F557" w14:textId="68BABF1A" w:rsidR="00FF0687" w:rsidRPr="00F81E19" w:rsidRDefault="00FF0687" w:rsidP="00FF0687">
            <w:pPr>
              <w:pStyle w:val="Text11"/>
              <w:keepNext w:val="0"/>
              <w:spacing w:after="0"/>
              <w:ind w:left="0"/>
              <w:rPr>
                <w:b/>
                <w:szCs w:val="22"/>
                <w:lang w:eastAsia="cs-CZ"/>
              </w:rPr>
            </w:pPr>
            <w:r w:rsidRPr="00F81E19">
              <w:rPr>
                <w:b/>
                <w:szCs w:val="22"/>
                <w:lang w:eastAsia="cs-CZ"/>
              </w:rPr>
              <w:t>„Základní služby“</w:t>
            </w:r>
          </w:p>
        </w:tc>
        <w:tc>
          <w:tcPr>
            <w:tcW w:w="5204" w:type="dxa"/>
          </w:tcPr>
          <w:p w14:paraId="79B8D169" w14:textId="409F2211" w:rsidR="00FF0687" w:rsidRPr="00F81E19" w:rsidRDefault="00FF0687" w:rsidP="00FF0687">
            <w:pPr>
              <w:pStyle w:val="Text11"/>
              <w:keepNext w:val="0"/>
              <w:spacing w:after="0"/>
              <w:ind w:left="0"/>
              <w:rPr>
                <w:szCs w:val="22"/>
                <w:lang w:eastAsia="cs-CZ"/>
              </w:rPr>
            </w:pPr>
            <w:r w:rsidRPr="00F81E19">
              <w:rPr>
                <w:szCs w:val="22"/>
                <w:lang w:eastAsia="cs-CZ"/>
              </w:rPr>
              <w:t xml:space="preserve">má význam uvedený v článku </w:t>
            </w:r>
            <w:r w:rsidR="00D22C8E">
              <w:rPr>
                <w:szCs w:val="22"/>
                <w:lang w:eastAsia="cs-CZ"/>
              </w:rPr>
              <w:fldChar w:fldCharType="begin"/>
            </w:r>
            <w:r w:rsidR="00D22C8E">
              <w:rPr>
                <w:szCs w:val="22"/>
                <w:lang w:eastAsia="cs-CZ"/>
              </w:rPr>
              <w:instrText xml:space="preserve"> REF _Ref135044607 \r \h </w:instrText>
            </w:r>
            <w:r w:rsidR="00D22C8E">
              <w:rPr>
                <w:szCs w:val="22"/>
                <w:lang w:eastAsia="cs-CZ"/>
              </w:rPr>
            </w:r>
            <w:r w:rsidR="00D22C8E">
              <w:rPr>
                <w:szCs w:val="22"/>
                <w:lang w:eastAsia="cs-CZ"/>
              </w:rPr>
              <w:fldChar w:fldCharType="separate"/>
            </w:r>
            <w:r w:rsidR="00D22C8E">
              <w:rPr>
                <w:szCs w:val="22"/>
                <w:lang w:eastAsia="cs-CZ"/>
              </w:rPr>
              <w:t>3.1</w:t>
            </w:r>
            <w:r w:rsidR="00D22C8E">
              <w:rPr>
                <w:szCs w:val="22"/>
                <w:lang w:eastAsia="cs-CZ"/>
              </w:rPr>
              <w:fldChar w:fldCharType="end"/>
            </w:r>
            <w:r w:rsidRPr="00F81E19">
              <w:rPr>
                <w:szCs w:val="22"/>
                <w:lang w:eastAsia="cs-CZ"/>
              </w:rPr>
              <w:t xml:space="preserve"> této Smlouvy</w:t>
            </w:r>
            <w:r>
              <w:rPr>
                <w:szCs w:val="22"/>
                <w:lang w:eastAsia="cs-CZ"/>
              </w:rPr>
              <w:t>.</w:t>
            </w:r>
          </w:p>
        </w:tc>
      </w:tr>
      <w:tr w:rsidR="00FF0687" w:rsidRPr="00F81E19" w14:paraId="6CD87B85" w14:textId="77777777" w:rsidTr="006513A4">
        <w:tc>
          <w:tcPr>
            <w:tcW w:w="3166" w:type="dxa"/>
          </w:tcPr>
          <w:p w14:paraId="4D71DBC1" w14:textId="004173E6" w:rsidR="00FF0687" w:rsidRPr="00F81E19" w:rsidRDefault="00FF0687" w:rsidP="00FF0687">
            <w:pPr>
              <w:pStyle w:val="Text11"/>
              <w:keepNext w:val="0"/>
              <w:spacing w:after="0"/>
              <w:ind w:left="0"/>
              <w:rPr>
                <w:b/>
                <w:szCs w:val="22"/>
                <w:lang w:eastAsia="cs-CZ"/>
              </w:rPr>
            </w:pPr>
            <w:r w:rsidRPr="00F81E19">
              <w:rPr>
                <w:b/>
                <w:szCs w:val="22"/>
                <w:lang w:eastAsia="cs-CZ"/>
              </w:rPr>
              <w:t>„Zařízení“</w:t>
            </w:r>
          </w:p>
        </w:tc>
        <w:tc>
          <w:tcPr>
            <w:tcW w:w="5204" w:type="dxa"/>
          </w:tcPr>
          <w:p w14:paraId="240848AB" w14:textId="4185FEA0" w:rsidR="00FF0687" w:rsidRPr="00F81E19" w:rsidRDefault="00FF0687" w:rsidP="00FF0687">
            <w:pPr>
              <w:pStyle w:val="Text11"/>
              <w:keepNext w:val="0"/>
              <w:spacing w:after="0"/>
              <w:ind w:left="0"/>
              <w:rPr>
                <w:szCs w:val="22"/>
                <w:lang w:eastAsia="cs-CZ"/>
              </w:rPr>
            </w:pPr>
            <w:r w:rsidRPr="00F81E19">
              <w:rPr>
                <w:szCs w:val="22"/>
              </w:rPr>
              <w:t xml:space="preserve">znamená energetické zařízení (elektrická přípojka / elektrická smyčka / odběrné místo / předávací místo / </w:t>
            </w:r>
            <w:r w:rsidRPr="00F81E19">
              <w:rPr>
                <w:szCs w:val="22"/>
              </w:rPr>
              <w:lastRenderedPageBreak/>
              <w:t>transformační stanice a její příslušenství)</w:t>
            </w:r>
            <w:r w:rsidR="000740C0">
              <w:rPr>
                <w:szCs w:val="22"/>
              </w:rPr>
              <w:t>, k nimž jsou připojena FVE</w:t>
            </w:r>
            <w:r>
              <w:rPr>
                <w:szCs w:val="22"/>
              </w:rPr>
              <w:t>.</w:t>
            </w:r>
          </w:p>
        </w:tc>
      </w:tr>
    </w:tbl>
    <w:p w14:paraId="68E4E51E" w14:textId="77777777" w:rsidR="00CB6160" w:rsidRPr="00F81E19" w:rsidRDefault="00CB6160">
      <w:pPr>
        <w:pStyle w:val="Clanek11"/>
        <w:widowControl/>
        <w:numPr>
          <w:ilvl w:val="1"/>
          <w:numId w:val="8"/>
        </w:numPr>
        <w:tabs>
          <w:tab w:val="clear" w:pos="1135"/>
          <w:tab w:val="num" w:pos="567"/>
        </w:tabs>
        <w:spacing w:before="240"/>
        <w:ind w:left="567"/>
        <w:rPr>
          <w:rFonts w:cs="Times New Roman"/>
          <w:szCs w:val="22"/>
        </w:rPr>
      </w:pPr>
      <w:bookmarkStart w:id="6" w:name="_Ref376185361"/>
      <w:r w:rsidRPr="00F81E19">
        <w:rPr>
          <w:rFonts w:cs="Times New Roman"/>
          <w:szCs w:val="22"/>
        </w:rPr>
        <w:lastRenderedPageBreak/>
        <w:t>Pro výklad této Smlouvy platí následující pravidla:</w:t>
      </w:r>
      <w:bookmarkEnd w:id="6"/>
    </w:p>
    <w:p w14:paraId="3036914E" w14:textId="77777777" w:rsidR="00CB6160" w:rsidRPr="00F81E19" w:rsidRDefault="00CB6160">
      <w:pPr>
        <w:pStyle w:val="Claneka"/>
        <w:keepLines w:val="0"/>
        <w:widowControl/>
        <w:numPr>
          <w:ilvl w:val="2"/>
          <w:numId w:val="8"/>
        </w:numPr>
        <w:rPr>
          <w:szCs w:val="22"/>
        </w:rPr>
      </w:pPr>
      <w:r w:rsidRPr="00F81E19">
        <w:rPr>
          <w:szCs w:val="22"/>
        </w:rPr>
        <w:t>Odkazy na „</w:t>
      </w:r>
      <w:r w:rsidRPr="00F81E19">
        <w:rPr>
          <w:b/>
          <w:bCs/>
          <w:szCs w:val="22"/>
        </w:rPr>
        <w:t>odstavce</w:t>
      </w:r>
      <w:r w:rsidRPr="00F81E19">
        <w:rPr>
          <w:szCs w:val="22"/>
        </w:rPr>
        <w:t xml:space="preserve">“, </w:t>
      </w:r>
      <w:r w:rsidRPr="00F81E19">
        <w:rPr>
          <w:bCs/>
          <w:szCs w:val="22"/>
        </w:rPr>
        <w:t>„</w:t>
      </w:r>
      <w:r w:rsidRPr="00F81E19">
        <w:rPr>
          <w:b/>
          <w:bCs/>
          <w:szCs w:val="22"/>
        </w:rPr>
        <w:t>články</w:t>
      </w:r>
      <w:r w:rsidRPr="00F81E19">
        <w:rPr>
          <w:szCs w:val="22"/>
        </w:rPr>
        <w:t>“</w:t>
      </w:r>
      <w:r w:rsidRPr="00F81E19">
        <w:rPr>
          <w:b/>
          <w:bCs/>
          <w:szCs w:val="22"/>
        </w:rPr>
        <w:t xml:space="preserve"> </w:t>
      </w:r>
      <w:r w:rsidRPr="00F81E19">
        <w:rPr>
          <w:szCs w:val="22"/>
        </w:rPr>
        <w:t xml:space="preserve">a </w:t>
      </w:r>
      <w:r w:rsidRPr="00F81E19">
        <w:rPr>
          <w:bCs/>
          <w:szCs w:val="22"/>
        </w:rPr>
        <w:t>„</w:t>
      </w:r>
      <w:r w:rsidRPr="00F81E19">
        <w:rPr>
          <w:b/>
          <w:bCs/>
          <w:szCs w:val="22"/>
        </w:rPr>
        <w:t>přílohy</w:t>
      </w:r>
      <w:r w:rsidRPr="00F81E19">
        <w:rPr>
          <w:bCs/>
          <w:szCs w:val="22"/>
        </w:rPr>
        <w:t>“</w:t>
      </w:r>
      <w:r w:rsidRPr="00F81E19">
        <w:rPr>
          <w:szCs w:val="22"/>
        </w:rPr>
        <w:t xml:space="preserve"> se vykládají jako odkazy na příslušné články a přílohy této Smlouvy.</w:t>
      </w:r>
    </w:p>
    <w:p w14:paraId="38713C45" w14:textId="77777777" w:rsidR="00CB6160" w:rsidRPr="00F81E19" w:rsidRDefault="00CB6160">
      <w:pPr>
        <w:pStyle w:val="Claneka"/>
        <w:keepLines w:val="0"/>
        <w:widowControl/>
        <w:numPr>
          <w:ilvl w:val="2"/>
          <w:numId w:val="8"/>
        </w:numPr>
        <w:rPr>
          <w:szCs w:val="22"/>
        </w:rPr>
      </w:pPr>
      <w:r w:rsidRPr="00F81E19">
        <w:rPr>
          <w:szCs w:val="22"/>
        </w:rPr>
        <w:t>Pojmy definované v této Smlouvě v množném čísle mají shodný význam i v jednotném čísle a naopak.</w:t>
      </w:r>
    </w:p>
    <w:p w14:paraId="12BC38C6" w14:textId="51030885" w:rsidR="00CB6160" w:rsidRPr="00F81E19" w:rsidRDefault="00CB6160">
      <w:pPr>
        <w:pStyle w:val="Claneka"/>
        <w:keepLines w:val="0"/>
        <w:widowControl/>
        <w:numPr>
          <w:ilvl w:val="2"/>
          <w:numId w:val="8"/>
        </w:numPr>
        <w:rPr>
          <w:szCs w:val="22"/>
        </w:rPr>
      </w:pPr>
      <w:r w:rsidRPr="00F81E19">
        <w:rPr>
          <w:szCs w:val="22"/>
        </w:rPr>
        <w:t xml:space="preserve">Ustanovení obchodních zvyklostí se pro výklad této </w:t>
      </w:r>
      <w:r w:rsidR="00EC7373" w:rsidRPr="00F81E19">
        <w:rPr>
          <w:szCs w:val="22"/>
        </w:rPr>
        <w:t xml:space="preserve">Smlouvy </w:t>
      </w:r>
      <w:r w:rsidR="006513A4">
        <w:rPr>
          <w:szCs w:val="22"/>
        </w:rPr>
        <w:t>ne</w:t>
      </w:r>
      <w:r w:rsidRPr="00F81E19">
        <w:rPr>
          <w:szCs w:val="22"/>
        </w:rPr>
        <w:t xml:space="preserve">použijí. </w:t>
      </w:r>
    </w:p>
    <w:p w14:paraId="59DAC557" w14:textId="77777777" w:rsidR="00CB6160" w:rsidRPr="00F81E19" w:rsidRDefault="00CB6160">
      <w:pPr>
        <w:pStyle w:val="Claneka"/>
        <w:keepLines w:val="0"/>
        <w:widowControl/>
        <w:numPr>
          <w:ilvl w:val="2"/>
          <w:numId w:val="8"/>
        </w:numPr>
        <w:rPr>
          <w:szCs w:val="22"/>
        </w:rPr>
      </w:pPr>
      <w:r w:rsidRPr="00F81E19">
        <w:rPr>
          <w:szCs w:val="22"/>
        </w:rPr>
        <w:t xml:space="preserve">Odkazy na </w:t>
      </w:r>
      <w:r w:rsidRPr="00F81E19">
        <w:rPr>
          <w:bCs/>
          <w:szCs w:val="22"/>
        </w:rPr>
        <w:t>„</w:t>
      </w:r>
      <w:r w:rsidRPr="00F81E19">
        <w:rPr>
          <w:b/>
          <w:szCs w:val="22"/>
        </w:rPr>
        <w:t>újmu</w:t>
      </w:r>
      <w:r w:rsidRPr="00F81E19">
        <w:rPr>
          <w:bCs/>
          <w:szCs w:val="22"/>
        </w:rPr>
        <w:t>“</w:t>
      </w:r>
      <w:r w:rsidRPr="00F81E19">
        <w:rPr>
          <w:szCs w:val="22"/>
        </w:rPr>
        <w:t xml:space="preserve"> znamenají (i) vždy odkazy na újmu na jmění (škodu) ve smyslu § 2894 odst. 1 Občanského zákoníku a dále (</w:t>
      </w:r>
      <w:proofErr w:type="spellStart"/>
      <w:r w:rsidRPr="00F81E19">
        <w:rPr>
          <w:szCs w:val="22"/>
        </w:rPr>
        <w:t>ii</w:t>
      </w:r>
      <w:proofErr w:type="spellEnd"/>
      <w:r w:rsidRPr="00F81E19">
        <w:rPr>
          <w:szCs w:val="22"/>
        </w:rPr>
        <w:t xml:space="preserve">) odkazy na nemajetkovou újmu ve smyslu § 2894 odst. 2 Občanského zákoníku, a to pouze v případech, kdy povinnost k náhradě nemajetkové újmy stanoví zvlášť Občanský zákoník nebo jiný právní předpis. </w:t>
      </w:r>
    </w:p>
    <w:p w14:paraId="385B94E1" w14:textId="77777777" w:rsidR="00CB6160" w:rsidRPr="00F81E19" w:rsidRDefault="00CB6160">
      <w:pPr>
        <w:pStyle w:val="Claneka"/>
        <w:keepLines w:val="0"/>
        <w:widowControl/>
        <w:numPr>
          <w:ilvl w:val="2"/>
          <w:numId w:val="8"/>
        </w:numPr>
        <w:rPr>
          <w:szCs w:val="22"/>
        </w:rPr>
      </w:pPr>
      <w:r w:rsidRPr="00F81E19">
        <w:rPr>
          <w:szCs w:val="22"/>
        </w:rPr>
        <w:t>Je-li některá Smluvní strana na základě této Smlouvy povinna „</w:t>
      </w:r>
      <w:r w:rsidRPr="00F81E19">
        <w:rPr>
          <w:b/>
          <w:szCs w:val="22"/>
        </w:rPr>
        <w:t>zajistit</w:t>
      </w:r>
      <w:r w:rsidRPr="00F81E19">
        <w:rPr>
          <w:szCs w:val="22"/>
        </w:rPr>
        <w:t>“ určitou záležitost (buď sama, prostřednictvím jiné osoby nebo tím, že má zajistit jednání či, dle situace, nejednání jiné osoby) rozumí se tím, že daná Smluvní strana bude pro účely této Smlouvy bez dalšího odpovědná za porušení této Smlouvy, pokud taková záležitost nenastane či není splněna (a to bez ohledu na to, jaké byly její možnosti zajistit, aby taková záležitost nastala nebo byla splněna). Ustanovení první věty § 1769 Občanského zákoníku se nebude aplikovat v rozsahu, v jakém by limitovalo odpovědnost dané Smluvní strany ve smyslu předchozí věty tohoto odstavce.</w:t>
      </w:r>
    </w:p>
    <w:p w14:paraId="4017CAA1" w14:textId="0F842510" w:rsidR="00F83BEB" w:rsidRPr="00F81E19" w:rsidRDefault="00CB6160" w:rsidP="004E5A86">
      <w:pPr>
        <w:pStyle w:val="Claneka"/>
        <w:keepLines w:val="0"/>
        <w:widowControl/>
        <w:rPr>
          <w:szCs w:val="22"/>
        </w:rPr>
      </w:pPr>
      <w:r w:rsidRPr="00F81E19">
        <w:rPr>
          <w:szCs w:val="22"/>
        </w:rPr>
        <w:t>Nadpisy jsou v této Smlouvě použity pouze pro přehlednost a orientaci a pro výklad ustanovení Smlouvy nemají žádný význam.</w:t>
      </w:r>
      <w:r w:rsidRPr="00165BA7">
        <w:rPr>
          <w:rFonts w:eastAsiaTheme="minorHAnsi"/>
          <w:szCs w:val="22"/>
          <w:lang w:eastAsia="cs-CZ"/>
        </w:rPr>
        <w:t xml:space="preserve"> </w:t>
      </w:r>
    </w:p>
    <w:p w14:paraId="5D778621" w14:textId="50AA9F9F" w:rsidR="00ED7945" w:rsidRPr="00F81E19" w:rsidRDefault="00842624" w:rsidP="004E5A86">
      <w:pPr>
        <w:pStyle w:val="Nadpis1"/>
        <w:keepNext w:val="0"/>
        <w:spacing w:before="120" w:after="120"/>
        <w:rPr>
          <w:rFonts w:cs="Times New Roman"/>
          <w:szCs w:val="22"/>
        </w:rPr>
      </w:pPr>
      <w:r w:rsidRPr="00F81E19">
        <w:rPr>
          <w:rFonts w:cs="Times New Roman"/>
          <w:szCs w:val="22"/>
        </w:rPr>
        <w:t xml:space="preserve">účel a </w:t>
      </w:r>
      <w:r w:rsidR="006F4E91" w:rsidRPr="00F81E19">
        <w:rPr>
          <w:rFonts w:cs="Times New Roman"/>
          <w:szCs w:val="22"/>
        </w:rPr>
        <w:t>předmět smlouvy</w:t>
      </w:r>
      <w:bookmarkEnd w:id="4"/>
    </w:p>
    <w:p w14:paraId="5AAE09B8" w14:textId="05FD09A6" w:rsidR="00842624" w:rsidRPr="00F81E19" w:rsidRDefault="00842624" w:rsidP="004E5A86">
      <w:pPr>
        <w:pStyle w:val="Clanek11"/>
        <w:widowControl/>
        <w:rPr>
          <w:rFonts w:cs="Times New Roman"/>
          <w:szCs w:val="22"/>
        </w:rPr>
      </w:pPr>
      <w:bookmarkStart w:id="7" w:name="_Ref111148371"/>
      <w:bookmarkStart w:id="8" w:name="_Ref125119264"/>
      <w:r w:rsidRPr="00F81E19">
        <w:rPr>
          <w:rFonts w:cs="Times New Roman"/>
          <w:szCs w:val="22"/>
        </w:rPr>
        <w:t xml:space="preserve">Účelem této Smlouvy je </w:t>
      </w:r>
      <w:r w:rsidR="00D21033" w:rsidRPr="00F81E19">
        <w:rPr>
          <w:rFonts w:cs="Times New Roman"/>
          <w:szCs w:val="22"/>
        </w:rPr>
        <w:t>sjednat právní rámec</w:t>
      </w:r>
      <w:r w:rsidR="00B8334F" w:rsidRPr="00F81E19">
        <w:rPr>
          <w:rFonts w:cs="Times New Roman"/>
          <w:szCs w:val="22"/>
        </w:rPr>
        <w:t xml:space="preserve"> poskytování </w:t>
      </w:r>
      <w:r w:rsidR="008E4FC2" w:rsidRPr="00F81E19">
        <w:rPr>
          <w:rFonts w:cs="Times New Roman"/>
          <w:szCs w:val="22"/>
        </w:rPr>
        <w:t>S</w:t>
      </w:r>
      <w:r w:rsidR="00B8334F" w:rsidRPr="00F81E19">
        <w:rPr>
          <w:rFonts w:cs="Times New Roman"/>
          <w:szCs w:val="22"/>
        </w:rPr>
        <w:t>lužeb Poskytovatelem Objednateli</w:t>
      </w:r>
      <w:r w:rsidR="00D21033" w:rsidRPr="00F81E19">
        <w:rPr>
          <w:rFonts w:cs="Times New Roman"/>
          <w:szCs w:val="22"/>
        </w:rPr>
        <w:t xml:space="preserve"> </w:t>
      </w:r>
      <w:r w:rsidR="00D2206F" w:rsidRPr="00F81E19">
        <w:rPr>
          <w:rFonts w:cs="Times New Roman"/>
          <w:szCs w:val="22"/>
        </w:rPr>
        <w:t xml:space="preserve">při zajištění provozu a údržby FVE. </w:t>
      </w:r>
    </w:p>
    <w:p w14:paraId="72E49177" w14:textId="4755D26C" w:rsidR="00C569F2" w:rsidRPr="00F81E19" w:rsidRDefault="00C569F2" w:rsidP="004E5A86">
      <w:pPr>
        <w:pStyle w:val="Clanek11"/>
        <w:widowControl/>
        <w:rPr>
          <w:rFonts w:cs="Times New Roman"/>
          <w:szCs w:val="22"/>
        </w:rPr>
      </w:pPr>
      <w:r w:rsidRPr="00F81E19">
        <w:rPr>
          <w:rFonts w:cs="Times New Roman"/>
          <w:szCs w:val="22"/>
        </w:rPr>
        <w:t>Předmětem této Smlouvy je stanovení</w:t>
      </w:r>
      <w:r w:rsidR="00D21033" w:rsidRPr="00F81E19">
        <w:rPr>
          <w:rFonts w:cs="Times New Roman"/>
          <w:szCs w:val="22"/>
        </w:rPr>
        <w:t xml:space="preserve"> práv a povinností </w:t>
      </w:r>
      <w:r w:rsidR="00920D55" w:rsidRPr="00F81E19">
        <w:rPr>
          <w:rFonts w:cs="Times New Roman"/>
          <w:szCs w:val="22"/>
        </w:rPr>
        <w:t xml:space="preserve">Smluvních stran </w:t>
      </w:r>
      <w:r w:rsidR="00D21033" w:rsidRPr="00F81E19">
        <w:rPr>
          <w:rFonts w:cs="Times New Roman"/>
          <w:szCs w:val="22"/>
        </w:rPr>
        <w:t>nezbytných pro</w:t>
      </w:r>
      <w:r w:rsidRPr="00F81E19">
        <w:rPr>
          <w:rFonts w:cs="Times New Roman"/>
          <w:szCs w:val="22"/>
        </w:rPr>
        <w:t xml:space="preserve"> efektivní </w:t>
      </w:r>
      <w:r w:rsidR="00B8334F" w:rsidRPr="00F81E19">
        <w:rPr>
          <w:rFonts w:cs="Times New Roman"/>
          <w:szCs w:val="22"/>
        </w:rPr>
        <w:t xml:space="preserve">poskytování </w:t>
      </w:r>
      <w:r w:rsidR="008E4FC2" w:rsidRPr="00F81E19">
        <w:rPr>
          <w:rFonts w:cs="Times New Roman"/>
          <w:szCs w:val="22"/>
        </w:rPr>
        <w:t>S</w:t>
      </w:r>
      <w:r w:rsidR="00B8334F" w:rsidRPr="00F81E19">
        <w:rPr>
          <w:rFonts w:cs="Times New Roman"/>
          <w:szCs w:val="22"/>
        </w:rPr>
        <w:t>lužeb pro</w:t>
      </w:r>
      <w:r w:rsidR="00D2206F" w:rsidRPr="00F81E19">
        <w:rPr>
          <w:rFonts w:cs="Times New Roman"/>
          <w:szCs w:val="22"/>
        </w:rPr>
        <w:t xml:space="preserve"> zajištění provozu a údržby FV</w:t>
      </w:r>
      <w:r w:rsidR="00DF19CE" w:rsidRPr="00F81E19">
        <w:rPr>
          <w:rFonts w:cs="Times New Roman"/>
          <w:szCs w:val="22"/>
        </w:rPr>
        <w:t>E</w:t>
      </w:r>
      <w:r w:rsidR="008E792F" w:rsidRPr="00F81E19">
        <w:rPr>
          <w:rFonts w:cs="Times New Roman"/>
          <w:szCs w:val="22"/>
        </w:rPr>
        <w:t>.</w:t>
      </w:r>
    </w:p>
    <w:p w14:paraId="0AFDAF06" w14:textId="42764A75" w:rsidR="00A13048" w:rsidRPr="00F81E19" w:rsidRDefault="0037074F" w:rsidP="00165BA7">
      <w:pPr>
        <w:pStyle w:val="Nadpis1"/>
        <w:rPr>
          <w:rFonts w:cs="Times New Roman"/>
          <w:szCs w:val="22"/>
        </w:rPr>
      </w:pPr>
      <w:bookmarkStart w:id="9" w:name="_Ref129862081"/>
      <w:bookmarkStart w:id="10" w:name="_Ref130286837"/>
      <w:bookmarkEnd w:id="7"/>
      <w:bookmarkEnd w:id="8"/>
      <w:r w:rsidRPr="00F81E19">
        <w:rPr>
          <w:rFonts w:cs="Times New Roman"/>
          <w:szCs w:val="22"/>
        </w:rPr>
        <w:t>Rozsah</w:t>
      </w:r>
      <w:r w:rsidR="008207C4" w:rsidRPr="00F81E19">
        <w:rPr>
          <w:rFonts w:cs="Times New Roman"/>
          <w:szCs w:val="22"/>
        </w:rPr>
        <w:t xml:space="preserve"> Poskytovaných</w:t>
      </w:r>
      <w:r w:rsidRPr="00F81E19">
        <w:rPr>
          <w:rFonts w:cs="Times New Roman"/>
          <w:szCs w:val="22"/>
        </w:rPr>
        <w:t xml:space="preserve"> </w:t>
      </w:r>
      <w:r w:rsidR="00663AF0" w:rsidRPr="00F81E19">
        <w:rPr>
          <w:rFonts w:cs="Times New Roman"/>
          <w:szCs w:val="22"/>
        </w:rPr>
        <w:t>Služeb</w:t>
      </w:r>
      <w:bookmarkStart w:id="11" w:name="_Ref134019497"/>
    </w:p>
    <w:p w14:paraId="1F948F15" w14:textId="148507B9" w:rsidR="008E792F" w:rsidRPr="00F81E19" w:rsidRDefault="008E792F" w:rsidP="004E5A86">
      <w:pPr>
        <w:pStyle w:val="Clanek11"/>
        <w:widowControl/>
        <w:rPr>
          <w:rFonts w:cs="Times New Roman"/>
          <w:szCs w:val="22"/>
        </w:rPr>
      </w:pPr>
      <w:bookmarkStart w:id="12" w:name="_Ref135044607"/>
      <w:r w:rsidRPr="00F81E19">
        <w:rPr>
          <w:rFonts w:cs="Times New Roman"/>
          <w:szCs w:val="22"/>
        </w:rPr>
        <w:t xml:space="preserve">Poskytovatel se zavazuje </w:t>
      </w:r>
      <w:r w:rsidR="00E94650" w:rsidRPr="00F81E19">
        <w:rPr>
          <w:rFonts w:cs="Times New Roman"/>
          <w:szCs w:val="22"/>
        </w:rPr>
        <w:t>ode Dne zahájení provozu FVE do doby ukončení</w:t>
      </w:r>
      <w:r w:rsidR="00A13048" w:rsidRPr="00F81E19">
        <w:rPr>
          <w:rFonts w:cs="Times New Roman"/>
          <w:szCs w:val="22"/>
        </w:rPr>
        <w:t xml:space="preserve"> této Smlouvy </w:t>
      </w:r>
      <w:r w:rsidRPr="00F81E19">
        <w:rPr>
          <w:rFonts w:cs="Times New Roman"/>
          <w:szCs w:val="22"/>
        </w:rPr>
        <w:t>Objednatel</w:t>
      </w:r>
      <w:r w:rsidR="00A13048" w:rsidRPr="00F81E19">
        <w:rPr>
          <w:rFonts w:cs="Times New Roman"/>
          <w:szCs w:val="22"/>
        </w:rPr>
        <w:t>i poskytovat služby uvedené v </w:t>
      </w:r>
      <w:r w:rsidR="00A13048" w:rsidRPr="00165BA7">
        <w:rPr>
          <w:rFonts w:cs="Times New Roman"/>
          <w:szCs w:val="22"/>
          <w:u w:val="single"/>
        </w:rPr>
        <w:t>Příloze č.</w:t>
      </w:r>
      <w:r w:rsidR="00A13048" w:rsidRPr="00F81E19">
        <w:rPr>
          <w:rFonts w:cs="Times New Roman"/>
          <w:szCs w:val="22"/>
          <w:u w:val="single"/>
        </w:rPr>
        <w:t xml:space="preserve"> </w:t>
      </w:r>
      <w:r w:rsidR="00A13048" w:rsidRPr="00165BA7">
        <w:rPr>
          <w:rFonts w:cs="Times New Roman"/>
          <w:szCs w:val="22"/>
          <w:u w:val="single"/>
        </w:rPr>
        <w:t>1</w:t>
      </w:r>
      <w:r w:rsidR="000351C5" w:rsidRPr="00F81E19">
        <w:rPr>
          <w:rFonts w:cs="Times New Roman"/>
          <w:szCs w:val="22"/>
        </w:rPr>
        <w:t xml:space="preserve"> („</w:t>
      </w:r>
      <w:r w:rsidR="000351C5" w:rsidRPr="00165BA7">
        <w:rPr>
          <w:rFonts w:cs="Times New Roman"/>
          <w:b/>
          <w:bCs w:val="0"/>
          <w:szCs w:val="22"/>
        </w:rPr>
        <w:t>Základní služby</w:t>
      </w:r>
      <w:r w:rsidR="000351C5" w:rsidRPr="00F81E19">
        <w:rPr>
          <w:rFonts w:cs="Times New Roman"/>
          <w:szCs w:val="22"/>
        </w:rPr>
        <w:t>“).</w:t>
      </w:r>
      <w:bookmarkEnd w:id="11"/>
      <w:bookmarkEnd w:id="12"/>
    </w:p>
    <w:p w14:paraId="24B82CDC" w14:textId="62EAD67E" w:rsidR="000351C5" w:rsidRPr="00F81E19" w:rsidRDefault="00B57BA0" w:rsidP="000351C5">
      <w:pPr>
        <w:pStyle w:val="Clanek11"/>
        <w:widowControl/>
        <w:rPr>
          <w:rFonts w:cs="Times New Roman"/>
          <w:szCs w:val="22"/>
        </w:rPr>
      </w:pPr>
      <w:bookmarkStart w:id="13" w:name="_Ref134703135"/>
      <w:r w:rsidRPr="00F81E19">
        <w:rPr>
          <w:rFonts w:cs="Times New Roman"/>
          <w:szCs w:val="22"/>
        </w:rPr>
        <w:t>Objednatel může Poskytovatele požádat o poskytnutí dalších služeb souvisejících s provozem a</w:t>
      </w:r>
      <w:r w:rsidR="00D22C8E">
        <w:rPr>
          <w:rFonts w:cs="Times New Roman"/>
          <w:szCs w:val="22"/>
        </w:rPr>
        <w:t> </w:t>
      </w:r>
      <w:r w:rsidRPr="00F81E19">
        <w:rPr>
          <w:rFonts w:cs="Times New Roman"/>
          <w:szCs w:val="22"/>
        </w:rPr>
        <w:t>údržbou FVE nad rámec Základních služeb („</w:t>
      </w:r>
      <w:r w:rsidRPr="00165BA7">
        <w:rPr>
          <w:rFonts w:cs="Times New Roman"/>
          <w:b/>
          <w:bCs w:val="0"/>
          <w:szCs w:val="22"/>
        </w:rPr>
        <w:t>Rozšířené služby</w:t>
      </w:r>
      <w:r w:rsidRPr="00F81E19">
        <w:rPr>
          <w:rFonts w:cs="Times New Roman"/>
          <w:szCs w:val="22"/>
        </w:rPr>
        <w:t>“). Rozsah požadovan</w:t>
      </w:r>
      <w:r w:rsidR="00F87814" w:rsidRPr="00F81E19">
        <w:rPr>
          <w:rFonts w:cs="Times New Roman"/>
          <w:szCs w:val="22"/>
        </w:rPr>
        <w:t xml:space="preserve">ých </w:t>
      </w:r>
      <w:r w:rsidRPr="00F81E19">
        <w:rPr>
          <w:rFonts w:cs="Times New Roman"/>
          <w:szCs w:val="22"/>
        </w:rPr>
        <w:t>Rozšířen</w:t>
      </w:r>
      <w:r w:rsidR="00F87814" w:rsidRPr="00F81E19">
        <w:rPr>
          <w:rFonts w:cs="Times New Roman"/>
          <w:szCs w:val="22"/>
        </w:rPr>
        <w:t>ých</w:t>
      </w:r>
      <w:r w:rsidRPr="00F81E19">
        <w:rPr>
          <w:rFonts w:cs="Times New Roman"/>
          <w:szCs w:val="22"/>
        </w:rPr>
        <w:t xml:space="preserve"> služ</w:t>
      </w:r>
      <w:r w:rsidR="00F87814" w:rsidRPr="00F81E19">
        <w:rPr>
          <w:rFonts w:cs="Times New Roman"/>
          <w:szCs w:val="22"/>
        </w:rPr>
        <w:t>e</w:t>
      </w:r>
      <w:r w:rsidRPr="00F81E19">
        <w:rPr>
          <w:rFonts w:cs="Times New Roman"/>
          <w:szCs w:val="22"/>
        </w:rPr>
        <w:t>b bude stanoven v písemné objednávce adresované</w:t>
      </w:r>
      <w:r w:rsidR="004D485D">
        <w:rPr>
          <w:rFonts w:cs="Times New Roman"/>
          <w:szCs w:val="22"/>
        </w:rPr>
        <w:t xml:space="preserve"> a doručené</w:t>
      </w:r>
      <w:r w:rsidRPr="00F81E19">
        <w:rPr>
          <w:rFonts w:cs="Times New Roman"/>
          <w:szCs w:val="22"/>
        </w:rPr>
        <w:t xml:space="preserve"> Poskytovateli</w:t>
      </w:r>
      <w:r w:rsidR="006E471E" w:rsidRPr="00F81E19">
        <w:rPr>
          <w:rFonts w:cs="Times New Roman"/>
          <w:szCs w:val="22"/>
        </w:rPr>
        <w:t>. Poskytovatel tuto objednávku Rozšířen</w:t>
      </w:r>
      <w:r w:rsidR="00F87814" w:rsidRPr="00F81E19">
        <w:rPr>
          <w:rFonts w:cs="Times New Roman"/>
          <w:szCs w:val="22"/>
        </w:rPr>
        <w:t>ých</w:t>
      </w:r>
      <w:r w:rsidR="006E471E" w:rsidRPr="00F81E19">
        <w:rPr>
          <w:rFonts w:cs="Times New Roman"/>
          <w:szCs w:val="22"/>
        </w:rPr>
        <w:t xml:space="preserve"> služ</w:t>
      </w:r>
      <w:r w:rsidR="00F87814" w:rsidRPr="00F81E19">
        <w:rPr>
          <w:rFonts w:cs="Times New Roman"/>
          <w:szCs w:val="22"/>
        </w:rPr>
        <w:t>e</w:t>
      </w:r>
      <w:r w:rsidR="006E471E" w:rsidRPr="00F81E19">
        <w:rPr>
          <w:rFonts w:cs="Times New Roman"/>
          <w:szCs w:val="22"/>
        </w:rPr>
        <w:t xml:space="preserve">b </w:t>
      </w:r>
      <w:r w:rsidR="00F87814" w:rsidRPr="00F81E19">
        <w:rPr>
          <w:rFonts w:cs="Times New Roman"/>
          <w:szCs w:val="22"/>
        </w:rPr>
        <w:t xml:space="preserve">v případě zájmu </w:t>
      </w:r>
      <w:r w:rsidR="00953899" w:rsidRPr="00F81E19">
        <w:rPr>
          <w:rFonts w:cs="Times New Roman"/>
          <w:szCs w:val="22"/>
        </w:rPr>
        <w:t xml:space="preserve">o poskytování Rozšířených služeb </w:t>
      </w:r>
      <w:r w:rsidR="006E471E" w:rsidRPr="00F81E19">
        <w:rPr>
          <w:rFonts w:cs="Times New Roman"/>
          <w:szCs w:val="22"/>
        </w:rPr>
        <w:t xml:space="preserve">potvrdí </w:t>
      </w:r>
      <w:r w:rsidR="00953899" w:rsidRPr="00F81E19">
        <w:rPr>
          <w:rFonts w:cs="Times New Roman"/>
          <w:szCs w:val="22"/>
        </w:rPr>
        <w:t xml:space="preserve">písemně </w:t>
      </w:r>
      <w:r w:rsidR="006E471E" w:rsidRPr="00F81E19">
        <w:rPr>
          <w:rFonts w:cs="Times New Roman"/>
          <w:szCs w:val="22"/>
        </w:rPr>
        <w:t>Objednateli. Nebude-li objednávka potvrzena není Poskytovatel povinen poskytnout Rozšířenou službu.</w:t>
      </w:r>
      <w:bookmarkEnd w:id="13"/>
    </w:p>
    <w:p w14:paraId="03B01A10" w14:textId="77777777" w:rsidR="00236F5B" w:rsidRPr="00F81E19" w:rsidRDefault="00236F5B" w:rsidP="00236F5B">
      <w:pPr>
        <w:pStyle w:val="Clanek11"/>
        <w:widowControl/>
        <w:rPr>
          <w:rFonts w:cs="Times New Roman"/>
          <w:szCs w:val="22"/>
        </w:rPr>
      </w:pPr>
      <w:bookmarkStart w:id="14" w:name="_Ref135040561"/>
      <w:r w:rsidRPr="00F81E19">
        <w:rPr>
          <w:rFonts w:cs="Times New Roman"/>
          <w:szCs w:val="22"/>
        </w:rPr>
        <w:t>Poskytovatel bude poskytovat Služby v souladu s</w:t>
      </w:r>
      <w:bookmarkEnd w:id="14"/>
      <w:r w:rsidRPr="00F81E19">
        <w:rPr>
          <w:rFonts w:cs="Times New Roman"/>
          <w:szCs w:val="22"/>
        </w:rPr>
        <w:t> </w:t>
      </w:r>
    </w:p>
    <w:p w14:paraId="0040C4D6" w14:textId="4FCBEDE7" w:rsidR="00236F5B" w:rsidRPr="00F81E19" w:rsidRDefault="00236F5B" w:rsidP="000C6E62">
      <w:pPr>
        <w:pStyle w:val="Claneka"/>
        <w:tabs>
          <w:tab w:val="clear" w:pos="992"/>
          <w:tab w:val="num" w:pos="1701"/>
        </w:tabs>
        <w:ind w:left="1560" w:hanging="426"/>
        <w:rPr>
          <w:szCs w:val="22"/>
        </w:rPr>
      </w:pPr>
      <w:r w:rsidRPr="00F81E19">
        <w:rPr>
          <w:szCs w:val="22"/>
        </w:rPr>
        <w:t>podmínkami této Smlouvy;</w:t>
      </w:r>
    </w:p>
    <w:p w14:paraId="6F64D4AB" w14:textId="239501A1" w:rsidR="00236F5B" w:rsidRPr="00F81E19" w:rsidRDefault="00236F5B" w:rsidP="000C6E62">
      <w:pPr>
        <w:pStyle w:val="Claneka"/>
        <w:tabs>
          <w:tab w:val="clear" w:pos="992"/>
          <w:tab w:val="num" w:pos="1701"/>
        </w:tabs>
        <w:ind w:left="1560" w:hanging="426"/>
        <w:rPr>
          <w:szCs w:val="22"/>
        </w:rPr>
      </w:pPr>
      <w:r w:rsidRPr="00F81E19">
        <w:rPr>
          <w:szCs w:val="22"/>
        </w:rPr>
        <w:t>všemi platnými právními předpisy a povoleními k FVE;</w:t>
      </w:r>
    </w:p>
    <w:p w14:paraId="062DB3DF" w14:textId="10E1F9EF" w:rsidR="00236F5B" w:rsidRPr="00F81E19" w:rsidRDefault="00236F5B" w:rsidP="000C6E62">
      <w:pPr>
        <w:pStyle w:val="Claneka"/>
        <w:tabs>
          <w:tab w:val="clear" w:pos="992"/>
          <w:tab w:val="num" w:pos="1701"/>
        </w:tabs>
        <w:ind w:left="1560" w:hanging="426"/>
        <w:rPr>
          <w:szCs w:val="22"/>
        </w:rPr>
      </w:pPr>
      <w:r w:rsidRPr="00F81E19">
        <w:rPr>
          <w:szCs w:val="22"/>
        </w:rPr>
        <w:t>všemi platnými zárukami a garancemi poskytovaných výrobci, dodavateli nebo subdodavateli FVE;</w:t>
      </w:r>
    </w:p>
    <w:p w14:paraId="73BB1C3E" w14:textId="7F55CB5D" w:rsidR="00236F5B" w:rsidRPr="00F81E19" w:rsidRDefault="00236F5B" w:rsidP="000C6E62">
      <w:pPr>
        <w:pStyle w:val="Claneka"/>
        <w:tabs>
          <w:tab w:val="clear" w:pos="992"/>
          <w:tab w:val="num" w:pos="1701"/>
        </w:tabs>
        <w:ind w:left="1560" w:hanging="426"/>
        <w:rPr>
          <w:szCs w:val="22"/>
        </w:rPr>
      </w:pPr>
      <w:r w:rsidRPr="00F81E19">
        <w:rPr>
          <w:szCs w:val="22"/>
        </w:rPr>
        <w:t>všemi pokyny a specifikacemi výrobce FVE aplikovatelnými pro údržbu FVE;</w:t>
      </w:r>
    </w:p>
    <w:p w14:paraId="15177F94" w14:textId="4795FB85" w:rsidR="000351C5" w:rsidRPr="00F81E19" w:rsidRDefault="00236F5B" w:rsidP="000C6E62">
      <w:pPr>
        <w:pStyle w:val="Claneka"/>
        <w:tabs>
          <w:tab w:val="clear" w:pos="992"/>
          <w:tab w:val="num" w:pos="1701"/>
        </w:tabs>
        <w:ind w:left="1560" w:hanging="426"/>
        <w:rPr>
          <w:szCs w:val="22"/>
        </w:rPr>
      </w:pPr>
      <w:r w:rsidRPr="00F81E19">
        <w:rPr>
          <w:szCs w:val="22"/>
        </w:rPr>
        <w:t>jakýmikoliv jinými pravidly nebo dokumenty týkající se FVE a dalšími požadavky této Smlouvy;</w:t>
      </w:r>
      <w:r w:rsidR="00823A87" w:rsidRPr="00F81E19">
        <w:rPr>
          <w:szCs w:val="22"/>
        </w:rPr>
        <w:t xml:space="preserve"> a</w:t>
      </w:r>
    </w:p>
    <w:p w14:paraId="1E69FACB" w14:textId="44E749D6" w:rsidR="00236F5B" w:rsidRPr="00F81E19" w:rsidRDefault="00236F5B" w:rsidP="000C6E62">
      <w:pPr>
        <w:pStyle w:val="Claneka"/>
        <w:tabs>
          <w:tab w:val="clear" w:pos="992"/>
          <w:tab w:val="num" w:pos="1701"/>
        </w:tabs>
        <w:ind w:left="1560" w:hanging="426"/>
        <w:rPr>
          <w:szCs w:val="22"/>
        </w:rPr>
      </w:pPr>
      <w:r w:rsidRPr="00F81E19">
        <w:rPr>
          <w:szCs w:val="22"/>
        </w:rPr>
        <w:lastRenderedPageBreak/>
        <w:t>požadavky všech dalších smluv, především pojistných smluv, které Objednatel ve vztahu k</w:t>
      </w:r>
      <w:r w:rsidR="00823A87" w:rsidRPr="00F81E19">
        <w:rPr>
          <w:szCs w:val="22"/>
        </w:rPr>
        <w:t> </w:t>
      </w:r>
      <w:r w:rsidRPr="00F81E19">
        <w:rPr>
          <w:szCs w:val="22"/>
        </w:rPr>
        <w:t>FVE uzavřel.</w:t>
      </w:r>
    </w:p>
    <w:p w14:paraId="5A48348D" w14:textId="6DC10E90" w:rsidR="004D485D" w:rsidRPr="006E07F2" w:rsidRDefault="004D485D" w:rsidP="00142494">
      <w:pPr>
        <w:pStyle w:val="Clanek11"/>
        <w:widowControl/>
        <w:rPr>
          <w:rFonts w:cs="Times New Roman"/>
          <w:szCs w:val="22"/>
        </w:rPr>
      </w:pPr>
      <w:bookmarkStart w:id="15" w:name="_Ref84950846"/>
      <w:bookmarkStart w:id="16" w:name="_Ref375318307"/>
      <w:bookmarkEnd w:id="9"/>
      <w:bookmarkEnd w:id="10"/>
      <w:r w:rsidRPr="006E07F2">
        <w:rPr>
          <w:rFonts w:cs="Times New Roman"/>
          <w:szCs w:val="22"/>
        </w:rPr>
        <w:t xml:space="preserve">Objednatel je povinen Poskytovatele v předstihu seznámit se všemi závaznými požadavky a souvisejícími podklady ve smyslu předchozího odstavce </w:t>
      </w:r>
      <w:r w:rsidRPr="006E07F2">
        <w:rPr>
          <w:rFonts w:cs="Times New Roman"/>
          <w:szCs w:val="22"/>
        </w:rPr>
        <w:fldChar w:fldCharType="begin"/>
      </w:r>
      <w:r w:rsidRPr="006E07F2">
        <w:rPr>
          <w:rFonts w:cs="Times New Roman"/>
          <w:szCs w:val="22"/>
        </w:rPr>
        <w:instrText xml:space="preserve"> REF _Ref135040561 \r \h </w:instrText>
      </w:r>
      <w:r w:rsidR="006E07F2">
        <w:rPr>
          <w:rFonts w:cs="Times New Roman"/>
          <w:szCs w:val="22"/>
        </w:rPr>
        <w:instrText xml:space="preserve"> \* MERGEFORMAT </w:instrText>
      </w:r>
      <w:r w:rsidRPr="006E07F2">
        <w:rPr>
          <w:rFonts w:cs="Times New Roman"/>
          <w:szCs w:val="22"/>
        </w:rPr>
      </w:r>
      <w:r w:rsidRPr="006E07F2">
        <w:rPr>
          <w:rFonts w:cs="Times New Roman"/>
          <w:szCs w:val="22"/>
        </w:rPr>
        <w:fldChar w:fldCharType="separate"/>
      </w:r>
      <w:r w:rsidR="00056AE4" w:rsidRPr="006E07F2">
        <w:rPr>
          <w:rFonts w:cs="Times New Roman"/>
          <w:szCs w:val="22"/>
        </w:rPr>
        <w:t>3.3</w:t>
      </w:r>
      <w:r w:rsidRPr="006E07F2">
        <w:rPr>
          <w:rFonts w:cs="Times New Roman"/>
          <w:szCs w:val="22"/>
        </w:rPr>
        <w:fldChar w:fldCharType="end"/>
      </w:r>
      <w:r w:rsidRPr="006E07F2">
        <w:rPr>
          <w:rFonts w:cs="Times New Roman"/>
          <w:szCs w:val="22"/>
        </w:rPr>
        <w:t xml:space="preserve">, s výjimkou </w:t>
      </w:r>
      <w:r w:rsidRPr="006E07F2">
        <w:rPr>
          <w:szCs w:val="22"/>
        </w:rPr>
        <w:t xml:space="preserve">platných právních předpisů </w:t>
      </w:r>
      <w:r w:rsidRPr="006E07F2">
        <w:rPr>
          <w:rFonts w:cs="Times New Roman"/>
          <w:szCs w:val="22"/>
        </w:rPr>
        <w:t>a jiných veřejně dostupných zdrojů</w:t>
      </w:r>
      <w:r w:rsidR="006513A4" w:rsidRPr="006E07F2">
        <w:rPr>
          <w:rFonts w:cs="Times New Roman"/>
          <w:szCs w:val="22"/>
        </w:rPr>
        <w:t>, jakož i smluv, jejichž stranou je sám Poskytovatel a dokumentů, které Poskytovatel sám obstaral a předal Objednateli dle uzavřené</w:t>
      </w:r>
      <w:r w:rsidR="005D3315" w:rsidRPr="006E07F2">
        <w:rPr>
          <w:rFonts w:cs="Times New Roman"/>
          <w:szCs w:val="22"/>
        </w:rPr>
        <w:t>, jakož i dokumenty předané Objednatele Poskytovateli v rámci Zadávacího řízení a plnění Smlouvy o dílo</w:t>
      </w:r>
      <w:r w:rsidRPr="006E07F2">
        <w:rPr>
          <w:rFonts w:cs="Times New Roman"/>
          <w:szCs w:val="22"/>
        </w:rPr>
        <w:t>.</w:t>
      </w:r>
    </w:p>
    <w:p w14:paraId="3F8127AC" w14:textId="5CAF95D0" w:rsidR="00236F5B" w:rsidRPr="006E07F2" w:rsidRDefault="00236F5B" w:rsidP="00260E62">
      <w:pPr>
        <w:pStyle w:val="Clanek11"/>
        <w:widowControl/>
        <w:rPr>
          <w:rFonts w:cs="Times New Roman"/>
          <w:szCs w:val="22"/>
        </w:rPr>
      </w:pPr>
      <w:r w:rsidRPr="006E07F2">
        <w:rPr>
          <w:rFonts w:cs="Times New Roman"/>
          <w:szCs w:val="22"/>
        </w:rPr>
        <w:t xml:space="preserve">Poskytovatel </w:t>
      </w:r>
      <w:r w:rsidR="00212AD2" w:rsidRPr="006E07F2">
        <w:rPr>
          <w:rFonts w:cs="Times New Roman"/>
          <w:szCs w:val="22"/>
        </w:rPr>
        <w:t xml:space="preserve">si </w:t>
      </w:r>
      <w:r w:rsidR="00745226" w:rsidRPr="006E07F2">
        <w:rPr>
          <w:rFonts w:cs="Times New Roman"/>
          <w:szCs w:val="22"/>
        </w:rPr>
        <w:t>zajistí</w:t>
      </w:r>
      <w:r w:rsidRPr="006E07F2">
        <w:rPr>
          <w:rFonts w:cs="Times New Roman"/>
          <w:szCs w:val="22"/>
        </w:rPr>
        <w:t xml:space="preserve"> veškeré nástroje a vybavení potřebné k</w:t>
      </w:r>
      <w:r w:rsidR="00823A87" w:rsidRPr="006E07F2">
        <w:rPr>
          <w:rFonts w:cs="Times New Roman"/>
          <w:szCs w:val="22"/>
        </w:rPr>
        <w:t> </w:t>
      </w:r>
      <w:r w:rsidRPr="006E07F2">
        <w:rPr>
          <w:rFonts w:cs="Times New Roman"/>
          <w:szCs w:val="22"/>
        </w:rPr>
        <w:t>provádění Služeb a veškerý spotřební materiál používaný v</w:t>
      </w:r>
      <w:r w:rsidR="00823A87" w:rsidRPr="006E07F2">
        <w:rPr>
          <w:rFonts w:cs="Times New Roman"/>
          <w:szCs w:val="22"/>
        </w:rPr>
        <w:t> </w:t>
      </w:r>
      <w:r w:rsidRPr="006E07F2">
        <w:rPr>
          <w:rFonts w:cs="Times New Roman"/>
          <w:szCs w:val="22"/>
        </w:rPr>
        <w:t>souvislosti s</w:t>
      </w:r>
      <w:r w:rsidR="00823A87" w:rsidRPr="006E07F2">
        <w:rPr>
          <w:rFonts w:cs="Times New Roman"/>
          <w:szCs w:val="22"/>
        </w:rPr>
        <w:t> </w:t>
      </w:r>
      <w:r w:rsidRPr="006E07F2">
        <w:rPr>
          <w:rFonts w:cs="Times New Roman"/>
          <w:szCs w:val="22"/>
        </w:rPr>
        <w:t>poskytováním Služeb. Poskytovatel zajistí na náklady Objednatele veškeré náhradní díly a součást</w:t>
      </w:r>
      <w:r w:rsidR="00745226" w:rsidRPr="006E07F2">
        <w:rPr>
          <w:rFonts w:cs="Times New Roman"/>
          <w:szCs w:val="22"/>
        </w:rPr>
        <w:t>ky</w:t>
      </w:r>
      <w:r w:rsidRPr="006E07F2">
        <w:rPr>
          <w:rFonts w:cs="Times New Roman"/>
          <w:szCs w:val="22"/>
        </w:rPr>
        <w:t xml:space="preserve"> FVE</w:t>
      </w:r>
      <w:r w:rsidR="00F332A8" w:rsidRPr="006E07F2">
        <w:rPr>
          <w:rFonts w:cs="Times New Roman"/>
          <w:szCs w:val="22"/>
        </w:rPr>
        <w:t xml:space="preserve"> ve stejné kvalitě nebo po dohodě s Objednatelem vyšší než</w:t>
      </w:r>
      <w:r w:rsidR="00F13586" w:rsidRPr="006E07F2">
        <w:rPr>
          <w:rFonts w:cs="Times New Roman"/>
          <w:szCs w:val="22"/>
        </w:rPr>
        <w:t xml:space="preserve"> kvalitě než dodané řešení dle FVE</w:t>
      </w:r>
      <w:r w:rsidR="009E2F37" w:rsidRPr="006E07F2">
        <w:rPr>
          <w:rFonts w:cs="Times New Roman"/>
          <w:szCs w:val="22"/>
        </w:rPr>
        <w:t xml:space="preserve">, a to za cenu obvyklou po předchozím odsouhlasení výše nákladů na </w:t>
      </w:r>
      <w:r w:rsidR="00BD4E15" w:rsidRPr="006E07F2">
        <w:rPr>
          <w:rFonts w:cs="Times New Roman"/>
          <w:szCs w:val="22"/>
        </w:rPr>
        <w:t>součástky</w:t>
      </w:r>
      <w:r w:rsidR="009E2F37" w:rsidRPr="006E07F2">
        <w:rPr>
          <w:rFonts w:cs="Times New Roman"/>
          <w:szCs w:val="22"/>
        </w:rPr>
        <w:t xml:space="preserve"> a náhradní díly Objednatelem</w:t>
      </w:r>
      <w:r w:rsidR="001C744E" w:rsidRPr="006E07F2">
        <w:rPr>
          <w:rFonts w:cs="Times New Roman"/>
          <w:szCs w:val="22"/>
        </w:rPr>
        <w:t>.</w:t>
      </w:r>
      <w:r w:rsidR="00BD4E15" w:rsidRPr="006E07F2">
        <w:rPr>
          <w:rFonts w:cs="Times New Roman"/>
          <w:szCs w:val="22"/>
        </w:rPr>
        <w:t xml:space="preserve"> Zhotovitel přefakturuje pouze vlastní náklad</w:t>
      </w:r>
      <w:r w:rsidR="00FE018A" w:rsidRPr="006E07F2">
        <w:rPr>
          <w:rFonts w:cs="Times New Roman"/>
          <w:szCs w:val="22"/>
        </w:rPr>
        <w:t xml:space="preserve"> (</w:t>
      </w:r>
      <w:r w:rsidR="00CD311E" w:rsidRPr="006E07F2">
        <w:rPr>
          <w:rFonts w:cs="Times New Roman"/>
          <w:szCs w:val="22"/>
        </w:rPr>
        <w:t>tj. kupní cenu součástky či náhradního dílu, za kterou Poskytovatel věc pořídil)</w:t>
      </w:r>
      <w:r w:rsidR="00BD4E15" w:rsidRPr="006E07F2">
        <w:rPr>
          <w:rFonts w:cs="Times New Roman"/>
          <w:szCs w:val="22"/>
        </w:rPr>
        <w:t xml:space="preserve"> </w:t>
      </w:r>
      <w:r w:rsidR="00CD311E" w:rsidRPr="006E07F2">
        <w:rPr>
          <w:rFonts w:cs="Times New Roman"/>
          <w:szCs w:val="22"/>
        </w:rPr>
        <w:t>n</w:t>
      </w:r>
      <w:r w:rsidR="00BD4E15" w:rsidRPr="006E07F2">
        <w:rPr>
          <w:rFonts w:cs="Times New Roman"/>
          <w:szCs w:val="22"/>
        </w:rPr>
        <w:t>a pořízení součástek a náhradních dílů</w:t>
      </w:r>
      <w:r w:rsidR="00CD311E" w:rsidRPr="006E07F2">
        <w:rPr>
          <w:rFonts w:cs="Times New Roman"/>
          <w:szCs w:val="22"/>
        </w:rPr>
        <w:t xml:space="preserve">. Ostatní náklady </w:t>
      </w:r>
      <w:r w:rsidR="00C32812" w:rsidRPr="006E07F2">
        <w:rPr>
          <w:rFonts w:cs="Times New Roman"/>
          <w:szCs w:val="22"/>
        </w:rPr>
        <w:t xml:space="preserve">Poskytovatele a přiměřený zisk spojený s touto činností jsou </w:t>
      </w:r>
      <w:r w:rsidR="00BD4E15" w:rsidRPr="006E07F2">
        <w:rPr>
          <w:rFonts w:cs="Times New Roman"/>
          <w:szCs w:val="22"/>
        </w:rPr>
        <w:t>zahrnuty</w:t>
      </w:r>
      <w:r w:rsidR="00C32812" w:rsidRPr="006E07F2">
        <w:rPr>
          <w:rFonts w:cs="Times New Roman"/>
          <w:szCs w:val="22"/>
        </w:rPr>
        <w:t xml:space="preserve"> v Základní odměně.</w:t>
      </w:r>
      <w:r w:rsidR="00BD4E15" w:rsidRPr="006E07F2">
        <w:rPr>
          <w:rFonts w:cs="Times New Roman"/>
          <w:szCs w:val="22"/>
        </w:rPr>
        <w:t xml:space="preserve"> </w:t>
      </w:r>
      <w:r w:rsidR="001C744E" w:rsidRPr="006E07F2">
        <w:rPr>
          <w:rFonts w:cs="Times New Roman"/>
          <w:szCs w:val="22"/>
        </w:rPr>
        <w:t xml:space="preserve"> </w:t>
      </w:r>
      <w:r w:rsidR="00B6228D" w:rsidRPr="006E07F2">
        <w:rPr>
          <w:rFonts w:cs="Times New Roman"/>
          <w:szCs w:val="22"/>
        </w:rPr>
        <w:t>Za náhradní díly</w:t>
      </w:r>
      <w:r w:rsidR="00FD31EC" w:rsidRPr="006E07F2">
        <w:rPr>
          <w:rFonts w:cs="Times New Roman"/>
          <w:szCs w:val="22"/>
        </w:rPr>
        <w:t xml:space="preserve"> a provedenou opravu</w:t>
      </w:r>
      <w:r w:rsidR="00B6228D" w:rsidRPr="006E07F2">
        <w:rPr>
          <w:rFonts w:cs="Times New Roman"/>
          <w:szCs w:val="22"/>
        </w:rPr>
        <w:t xml:space="preserve"> poskytuje Po</w:t>
      </w:r>
      <w:r w:rsidR="00FD31EC" w:rsidRPr="006E07F2">
        <w:rPr>
          <w:rFonts w:cs="Times New Roman"/>
          <w:szCs w:val="22"/>
        </w:rPr>
        <w:t>skytovatel Objednateli záruku za jakost v délce 18 měsíců.</w:t>
      </w:r>
    </w:p>
    <w:p w14:paraId="00F3FD39" w14:textId="161BA88F" w:rsidR="00745226" w:rsidRPr="00F81E19" w:rsidRDefault="001C744E" w:rsidP="00745226">
      <w:pPr>
        <w:pStyle w:val="Clanek11"/>
        <w:widowControl/>
        <w:rPr>
          <w:rFonts w:cs="Times New Roman"/>
          <w:szCs w:val="22"/>
        </w:rPr>
      </w:pPr>
      <w:r>
        <w:rPr>
          <w:rFonts w:cs="Times New Roman"/>
          <w:szCs w:val="22"/>
        </w:rPr>
        <w:t>Pro vyloučení pochybností, předmětem Služeb a této Smlouvy nejsou záruční opravy</w:t>
      </w:r>
      <w:r w:rsidR="00174FFD">
        <w:rPr>
          <w:rFonts w:cs="Times New Roman"/>
          <w:szCs w:val="22"/>
        </w:rPr>
        <w:t xml:space="preserve"> dle této Smlouvy anebo Smlouvy o dílo</w:t>
      </w:r>
      <w:r>
        <w:rPr>
          <w:rFonts w:cs="Times New Roman"/>
          <w:szCs w:val="22"/>
        </w:rPr>
        <w:t xml:space="preserve"> a dodávky náhradních dílů a součástek FVE nutných k provedení záručních oprav</w:t>
      </w:r>
      <w:r w:rsidR="00174FFD">
        <w:rPr>
          <w:rFonts w:cs="Times New Roman"/>
          <w:szCs w:val="22"/>
        </w:rPr>
        <w:t xml:space="preserve"> dle této Smlouvy anebo Smlouvy o dílo</w:t>
      </w:r>
      <w:r>
        <w:rPr>
          <w:rFonts w:cs="Times New Roman"/>
          <w:szCs w:val="22"/>
        </w:rPr>
        <w:t>, které je Poskytovatel povinen provést a dodat na své vlastní náklady a odpovědnost v rámci záruky za FVE, resp. jejich části poskytnuté Poskytovatelem Objednateli dle Smlouvy o dílo</w:t>
      </w:r>
      <w:r w:rsidR="00C32812">
        <w:rPr>
          <w:rFonts w:cs="Times New Roman"/>
          <w:szCs w:val="22"/>
        </w:rPr>
        <w:t xml:space="preserve"> </w:t>
      </w:r>
      <w:r w:rsidR="00174FFD">
        <w:rPr>
          <w:rFonts w:cs="Times New Roman"/>
          <w:szCs w:val="22"/>
        </w:rPr>
        <w:t xml:space="preserve">nebo této Smlouvy </w:t>
      </w:r>
      <w:r w:rsidR="00C32812">
        <w:rPr>
          <w:rFonts w:cs="Times New Roman"/>
          <w:szCs w:val="22"/>
        </w:rPr>
        <w:t>a za podmínek ve Smlouvě o dílo</w:t>
      </w:r>
      <w:r w:rsidR="00174FFD">
        <w:rPr>
          <w:rFonts w:cs="Times New Roman"/>
          <w:szCs w:val="22"/>
        </w:rPr>
        <w:t xml:space="preserve"> nebo této Smlouvě</w:t>
      </w:r>
      <w:r w:rsidR="00C32812">
        <w:rPr>
          <w:rFonts w:cs="Times New Roman"/>
          <w:szCs w:val="22"/>
        </w:rPr>
        <w:t xml:space="preserve"> uvedených</w:t>
      </w:r>
      <w:r w:rsidRPr="00F81E19">
        <w:rPr>
          <w:rFonts w:cs="Times New Roman"/>
          <w:szCs w:val="22"/>
        </w:rPr>
        <w:t>.</w:t>
      </w:r>
      <w:r>
        <w:rPr>
          <w:rFonts w:cs="Times New Roman"/>
          <w:szCs w:val="22"/>
        </w:rPr>
        <w:t xml:space="preserve"> </w:t>
      </w:r>
      <w:r w:rsidR="00BB05AC">
        <w:rPr>
          <w:rFonts w:cs="Times New Roman"/>
          <w:szCs w:val="22"/>
        </w:rPr>
        <w:t xml:space="preserve">Stejně tak na svůj náklad provede opravy FVE </w:t>
      </w:r>
      <w:r w:rsidR="00D40C64">
        <w:rPr>
          <w:rFonts w:cs="Times New Roman"/>
          <w:szCs w:val="22"/>
        </w:rPr>
        <w:t xml:space="preserve">způsobené poškozením živlem, u </w:t>
      </w:r>
      <w:r w:rsidR="00027620">
        <w:rPr>
          <w:rFonts w:cs="Times New Roman"/>
          <w:szCs w:val="22"/>
        </w:rPr>
        <w:t>něhož</w:t>
      </w:r>
      <w:r w:rsidR="00D40C64">
        <w:rPr>
          <w:rFonts w:cs="Times New Roman"/>
          <w:szCs w:val="22"/>
        </w:rPr>
        <w:t xml:space="preserve"> bylo pojišťovnou </w:t>
      </w:r>
      <w:r w:rsidR="00027620">
        <w:rPr>
          <w:rFonts w:cs="Times New Roman"/>
          <w:szCs w:val="22"/>
        </w:rPr>
        <w:t xml:space="preserve">odmítnuto </w:t>
      </w:r>
      <w:r w:rsidR="00D40C64">
        <w:rPr>
          <w:rFonts w:cs="Times New Roman"/>
          <w:szCs w:val="22"/>
        </w:rPr>
        <w:t>pojistné plnění</w:t>
      </w:r>
      <w:r w:rsidR="00027620">
        <w:rPr>
          <w:rFonts w:cs="Times New Roman"/>
          <w:szCs w:val="22"/>
        </w:rPr>
        <w:t xml:space="preserve"> z důvodu hrubých závad v</w:t>
      </w:r>
      <w:r w:rsidR="00B6228D">
        <w:rPr>
          <w:rFonts w:cs="Times New Roman"/>
          <w:szCs w:val="22"/>
        </w:rPr>
        <w:t> </w:t>
      </w:r>
      <w:r w:rsidR="00027620">
        <w:rPr>
          <w:rFonts w:cs="Times New Roman"/>
          <w:szCs w:val="22"/>
        </w:rPr>
        <w:t>instalaci</w:t>
      </w:r>
      <w:r w:rsidR="00B6228D">
        <w:rPr>
          <w:rFonts w:cs="Times New Roman"/>
          <w:szCs w:val="22"/>
        </w:rPr>
        <w:t xml:space="preserve"> způsobených Poskytovatelem. </w:t>
      </w:r>
      <w:r w:rsidR="00D40C64">
        <w:rPr>
          <w:rFonts w:cs="Times New Roman"/>
          <w:szCs w:val="22"/>
        </w:rPr>
        <w:t xml:space="preserve"> </w:t>
      </w:r>
    </w:p>
    <w:p w14:paraId="30D6519D" w14:textId="00F32C05" w:rsidR="00745226" w:rsidRPr="00F81E19" w:rsidRDefault="00745226" w:rsidP="00142494">
      <w:pPr>
        <w:pStyle w:val="Clanek11"/>
        <w:widowControl/>
        <w:rPr>
          <w:rFonts w:cs="Times New Roman"/>
          <w:szCs w:val="22"/>
        </w:rPr>
      </w:pPr>
      <w:r w:rsidRPr="00F81E19">
        <w:rPr>
          <w:rFonts w:cs="Times New Roman"/>
          <w:szCs w:val="22"/>
        </w:rPr>
        <w:t>V</w:t>
      </w:r>
      <w:r w:rsidR="00823A87" w:rsidRPr="00F81E19">
        <w:rPr>
          <w:rFonts w:cs="Times New Roman"/>
          <w:szCs w:val="22"/>
        </w:rPr>
        <w:t> </w:t>
      </w:r>
      <w:r w:rsidRPr="00F81E19">
        <w:rPr>
          <w:rFonts w:cs="Times New Roman"/>
          <w:szCs w:val="22"/>
        </w:rPr>
        <w:t xml:space="preserve">případě jakékoliv mimořádné situace </w:t>
      </w:r>
      <w:r w:rsidR="00056AE4">
        <w:rPr>
          <w:rFonts w:cs="Times New Roman"/>
          <w:szCs w:val="22"/>
        </w:rPr>
        <w:t>musí</w:t>
      </w:r>
      <w:r w:rsidR="00056AE4" w:rsidRPr="00F81E19">
        <w:rPr>
          <w:rFonts w:cs="Times New Roman"/>
          <w:szCs w:val="22"/>
        </w:rPr>
        <w:t xml:space="preserve"> </w:t>
      </w:r>
      <w:r w:rsidRPr="00F81E19">
        <w:rPr>
          <w:rFonts w:cs="Times New Roman"/>
          <w:szCs w:val="22"/>
        </w:rPr>
        <w:t>Poskytovatel učinit taková opatření, která mohou být nezbytná k</w:t>
      </w:r>
      <w:r w:rsidR="00823A87" w:rsidRPr="00F81E19">
        <w:rPr>
          <w:rFonts w:cs="Times New Roman"/>
          <w:szCs w:val="22"/>
        </w:rPr>
        <w:t> </w:t>
      </w:r>
      <w:r w:rsidRPr="00F81E19">
        <w:rPr>
          <w:rFonts w:cs="Times New Roman"/>
          <w:szCs w:val="22"/>
        </w:rPr>
        <w:t xml:space="preserve">zabránění, zamezení nebo zmírnění </w:t>
      </w:r>
      <w:r w:rsidR="00F217AD">
        <w:rPr>
          <w:rFonts w:cs="Times New Roman"/>
          <w:szCs w:val="22"/>
        </w:rPr>
        <w:t xml:space="preserve">újmy </w:t>
      </w:r>
      <w:r w:rsidRPr="00F81E19">
        <w:rPr>
          <w:rFonts w:cs="Times New Roman"/>
          <w:szCs w:val="22"/>
        </w:rPr>
        <w:t>na FVE. O těchto opatřeních informuje bez zbytečného odkladu Objednatele.</w:t>
      </w:r>
    </w:p>
    <w:p w14:paraId="121A13E0" w14:textId="08524AC2" w:rsidR="00745226" w:rsidRPr="00F81E19" w:rsidRDefault="00745226" w:rsidP="00142494">
      <w:pPr>
        <w:pStyle w:val="Clanek11"/>
        <w:widowControl/>
        <w:rPr>
          <w:rFonts w:cs="Times New Roman"/>
          <w:szCs w:val="22"/>
        </w:rPr>
      </w:pPr>
      <w:r w:rsidRPr="00F81E19">
        <w:rPr>
          <w:rFonts w:cs="Times New Roman"/>
          <w:szCs w:val="22"/>
        </w:rPr>
        <w:t xml:space="preserve">Poskytovatel bude </w:t>
      </w:r>
      <w:r w:rsidR="00C31526" w:rsidRPr="00F81E19">
        <w:rPr>
          <w:rFonts w:cs="Times New Roman"/>
          <w:szCs w:val="22"/>
        </w:rPr>
        <w:t>s</w:t>
      </w:r>
      <w:r w:rsidR="00823A87" w:rsidRPr="00F81E19">
        <w:rPr>
          <w:rFonts w:cs="Times New Roman"/>
          <w:szCs w:val="22"/>
        </w:rPr>
        <w:t> </w:t>
      </w:r>
      <w:r w:rsidR="00C31526" w:rsidRPr="00F81E19">
        <w:rPr>
          <w:rFonts w:cs="Times New Roman"/>
          <w:szCs w:val="22"/>
        </w:rPr>
        <w:t xml:space="preserve">výjimkou havarijních situací </w:t>
      </w:r>
      <w:r w:rsidRPr="00F81E19">
        <w:rPr>
          <w:rFonts w:cs="Times New Roman"/>
          <w:szCs w:val="22"/>
        </w:rPr>
        <w:t>provádět Služby v</w:t>
      </w:r>
      <w:r w:rsidR="00823A87" w:rsidRPr="00F81E19">
        <w:rPr>
          <w:rFonts w:cs="Times New Roman"/>
          <w:szCs w:val="22"/>
        </w:rPr>
        <w:t> </w:t>
      </w:r>
      <w:r w:rsidRPr="00F81E19">
        <w:rPr>
          <w:rFonts w:cs="Times New Roman"/>
          <w:szCs w:val="22"/>
        </w:rPr>
        <w:t>běžné pracovní době v</w:t>
      </w:r>
      <w:r w:rsidR="00823A87" w:rsidRPr="00F81E19">
        <w:rPr>
          <w:rFonts w:cs="Times New Roman"/>
          <w:szCs w:val="22"/>
        </w:rPr>
        <w:t> </w:t>
      </w:r>
      <w:r w:rsidRPr="00F81E19">
        <w:rPr>
          <w:rFonts w:cs="Times New Roman"/>
          <w:szCs w:val="22"/>
        </w:rPr>
        <w:t>místě FVE. Pokud to z</w:t>
      </w:r>
      <w:r w:rsidR="00823A87" w:rsidRPr="00F81E19">
        <w:rPr>
          <w:rFonts w:cs="Times New Roman"/>
          <w:szCs w:val="22"/>
        </w:rPr>
        <w:t> </w:t>
      </w:r>
      <w:r w:rsidRPr="00F81E19">
        <w:rPr>
          <w:rFonts w:cs="Times New Roman"/>
          <w:szCs w:val="22"/>
        </w:rPr>
        <w:t>povahy poskytované Služby není nutné, může kontrolní a monitorovací činnost provádět Objednatel i mimo FVE.</w:t>
      </w:r>
    </w:p>
    <w:p w14:paraId="70326645" w14:textId="33BFF77A" w:rsidR="00211259" w:rsidRPr="00F81E19" w:rsidRDefault="00211259" w:rsidP="00142494">
      <w:pPr>
        <w:pStyle w:val="Clanek11"/>
        <w:widowControl/>
        <w:rPr>
          <w:rFonts w:cs="Times New Roman"/>
          <w:szCs w:val="22"/>
        </w:rPr>
      </w:pPr>
      <w:r w:rsidRPr="00F81E19">
        <w:rPr>
          <w:rFonts w:cs="Times New Roman"/>
          <w:szCs w:val="22"/>
        </w:rPr>
        <w:t>Po Dobu trvání této Smlouvy umístí Poskytovatel za součinnosti Objednatele v</w:t>
      </w:r>
      <w:r w:rsidR="00823A87" w:rsidRPr="00F81E19">
        <w:rPr>
          <w:rFonts w:cs="Times New Roman"/>
          <w:szCs w:val="22"/>
        </w:rPr>
        <w:t> </w:t>
      </w:r>
      <w:r w:rsidRPr="00F81E19">
        <w:rPr>
          <w:rFonts w:cs="Times New Roman"/>
          <w:szCs w:val="22"/>
        </w:rPr>
        <w:t>místě FVE monitorovací zařízení, které bude Poskytovateli nepřetržitě a elektronicky předávat údaje o FVE, především o jejím výkonu</w:t>
      </w:r>
      <w:r w:rsidR="00C32812">
        <w:rPr>
          <w:rFonts w:cs="Times New Roman"/>
          <w:szCs w:val="22"/>
        </w:rPr>
        <w:t xml:space="preserve"> a současně bude tyto údaje předávat na dispečink Objednatele</w:t>
      </w:r>
      <w:r w:rsidRPr="00F81E19">
        <w:rPr>
          <w:rFonts w:cs="Times New Roman"/>
          <w:szCs w:val="22"/>
        </w:rPr>
        <w:t>.</w:t>
      </w:r>
      <w:r w:rsidR="00056AE4">
        <w:rPr>
          <w:rFonts w:cs="Times New Roman"/>
          <w:szCs w:val="22"/>
        </w:rPr>
        <w:t xml:space="preserve"> Za každý započatý den, kdy bude monitorovací systém nefunkční, nemá Poskytovatel nárok na Základní odměnu, resp. její poměrnou část připadající na daný den, </w:t>
      </w:r>
    </w:p>
    <w:p w14:paraId="49E3DF25" w14:textId="4BBBD98A" w:rsidR="008207C4" w:rsidRPr="00F81E19" w:rsidRDefault="008207C4" w:rsidP="00142494">
      <w:pPr>
        <w:pStyle w:val="Clanek11"/>
        <w:widowControl/>
        <w:rPr>
          <w:rFonts w:cs="Times New Roman"/>
          <w:szCs w:val="22"/>
        </w:rPr>
      </w:pPr>
      <w:bookmarkStart w:id="17" w:name="_Ref134019175"/>
      <w:bookmarkStart w:id="18" w:name="_Ref129935695"/>
      <w:bookmarkStart w:id="19" w:name="_Ref375318324"/>
      <w:bookmarkEnd w:id="15"/>
      <w:bookmarkEnd w:id="16"/>
      <w:r w:rsidRPr="00F81E19">
        <w:rPr>
          <w:rFonts w:cs="Times New Roman"/>
          <w:szCs w:val="22"/>
        </w:rPr>
        <w:t xml:space="preserve">Poskytovatel bude poskytovat Služby prostřednictvím svých </w:t>
      </w:r>
      <w:r w:rsidR="00212AD2">
        <w:rPr>
          <w:rFonts w:cs="Times New Roman"/>
          <w:szCs w:val="22"/>
        </w:rPr>
        <w:t xml:space="preserve">kvalifikovaných </w:t>
      </w:r>
      <w:r w:rsidRPr="00F81E19">
        <w:rPr>
          <w:rFonts w:cs="Times New Roman"/>
          <w:szCs w:val="22"/>
        </w:rPr>
        <w:t>zaměstnanců</w:t>
      </w:r>
      <w:r w:rsidR="00212AD2">
        <w:rPr>
          <w:rFonts w:cs="Times New Roman"/>
          <w:szCs w:val="22"/>
        </w:rPr>
        <w:t>, jiných pracovníků</w:t>
      </w:r>
      <w:r w:rsidRPr="00F81E19">
        <w:rPr>
          <w:rFonts w:cs="Times New Roman"/>
          <w:szCs w:val="22"/>
        </w:rPr>
        <w:t xml:space="preserve"> </w:t>
      </w:r>
      <w:r w:rsidR="00C31526" w:rsidRPr="00F81E19">
        <w:rPr>
          <w:rFonts w:cs="Times New Roman"/>
          <w:szCs w:val="22"/>
        </w:rPr>
        <w:t xml:space="preserve">a/nebo </w:t>
      </w:r>
      <w:r w:rsidR="00212AD2">
        <w:rPr>
          <w:rFonts w:cs="Times New Roman"/>
          <w:szCs w:val="22"/>
        </w:rPr>
        <w:t>pod</w:t>
      </w:r>
      <w:r w:rsidR="00212AD2" w:rsidRPr="00F81E19">
        <w:rPr>
          <w:rFonts w:cs="Times New Roman"/>
          <w:szCs w:val="22"/>
        </w:rPr>
        <w:t>dodavatelů</w:t>
      </w:r>
      <w:r w:rsidRPr="00F81E19">
        <w:rPr>
          <w:rFonts w:cs="Times New Roman"/>
          <w:szCs w:val="22"/>
        </w:rPr>
        <w:t>.</w:t>
      </w:r>
      <w:bookmarkEnd w:id="17"/>
      <w:r w:rsidR="00C31526" w:rsidRPr="00F81E19">
        <w:rPr>
          <w:rFonts w:cs="Times New Roman"/>
          <w:szCs w:val="22"/>
        </w:rPr>
        <w:t xml:space="preserve"> Těmto osobám zajistí Objednatel přístup k</w:t>
      </w:r>
      <w:r w:rsidR="00823A87" w:rsidRPr="00F81E19">
        <w:rPr>
          <w:rFonts w:cs="Times New Roman"/>
          <w:szCs w:val="22"/>
        </w:rPr>
        <w:t> </w:t>
      </w:r>
      <w:r w:rsidR="00C31526" w:rsidRPr="00F81E19">
        <w:rPr>
          <w:rFonts w:cs="Times New Roman"/>
          <w:szCs w:val="22"/>
        </w:rPr>
        <w:t>FVE</w:t>
      </w:r>
      <w:r w:rsidR="00212AD2" w:rsidRPr="00212AD2">
        <w:rPr>
          <w:rFonts w:cs="Times New Roman"/>
          <w:szCs w:val="22"/>
        </w:rPr>
        <w:t xml:space="preserve"> </w:t>
      </w:r>
      <w:r w:rsidR="00212AD2" w:rsidRPr="00F81E19">
        <w:rPr>
          <w:rFonts w:cs="Times New Roman"/>
          <w:szCs w:val="22"/>
        </w:rPr>
        <w:t>za účelem poskytování Služeb</w:t>
      </w:r>
      <w:r w:rsidR="00C31526" w:rsidRPr="00F81E19">
        <w:rPr>
          <w:rFonts w:cs="Times New Roman"/>
          <w:szCs w:val="22"/>
        </w:rPr>
        <w:t>.</w:t>
      </w:r>
    </w:p>
    <w:p w14:paraId="3E1962F9" w14:textId="35B90735" w:rsidR="0037074F" w:rsidRPr="00A20B61" w:rsidRDefault="00142494" w:rsidP="0037074F">
      <w:pPr>
        <w:pStyle w:val="Clanek11"/>
        <w:widowControl/>
        <w:rPr>
          <w:rFonts w:cs="Times New Roman"/>
          <w:szCs w:val="22"/>
        </w:rPr>
      </w:pPr>
      <w:r w:rsidRPr="00F81E19">
        <w:rPr>
          <w:rFonts w:cs="Times New Roman"/>
          <w:szCs w:val="22"/>
        </w:rPr>
        <w:t xml:space="preserve">Poskytovatel </w:t>
      </w:r>
      <w:r w:rsidR="008207C4" w:rsidRPr="00F81E19">
        <w:rPr>
          <w:rFonts w:cs="Times New Roman"/>
          <w:szCs w:val="22"/>
        </w:rPr>
        <w:t>bude vykonávat</w:t>
      </w:r>
      <w:r w:rsidRPr="00F81E19">
        <w:rPr>
          <w:rFonts w:cs="Times New Roman"/>
          <w:szCs w:val="22"/>
        </w:rPr>
        <w:t xml:space="preserve"> </w:t>
      </w:r>
      <w:r w:rsidR="00663AF0" w:rsidRPr="00F81E19">
        <w:rPr>
          <w:rFonts w:cs="Times New Roman"/>
          <w:szCs w:val="22"/>
        </w:rPr>
        <w:t>Služby</w:t>
      </w:r>
      <w:r w:rsidRPr="00F81E19">
        <w:rPr>
          <w:rFonts w:cs="Times New Roman"/>
          <w:szCs w:val="22"/>
        </w:rPr>
        <w:t xml:space="preserve"> s</w:t>
      </w:r>
      <w:r w:rsidR="00823A87" w:rsidRPr="00F81E19">
        <w:rPr>
          <w:rFonts w:cs="Times New Roman"/>
          <w:szCs w:val="22"/>
        </w:rPr>
        <w:t> </w:t>
      </w:r>
      <w:r w:rsidRPr="00F81E19">
        <w:rPr>
          <w:rFonts w:cs="Times New Roman"/>
          <w:szCs w:val="22"/>
        </w:rPr>
        <w:t xml:space="preserve">ohledem na maximální snahu o minimalizaci </w:t>
      </w:r>
      <w:r w:rsidRPr="00A20B61">
        <w:rPr>
          <w:rFonts w:cs="Times New Roman"/>
          <w:szCs w:val="22"/>
        </w:rPr>
        <w:t xml:space="preserve">odstávek FVE nebo jiných dopadů na výkon a provoz FVE. </w:t>
      </w:r>
      <w:bookmarkEnd w:id="18"/>
      <w:bookmarkEnd w:id="19"/>
    </w:p>
    <w:p w14:paraId="23B4D38B" w14:textId="77777777" w:rsidR="00BA157D" w:rsidRPr="00A20B61" w:rsidRDefault="00056AE4" w:rsidP="0037074F">
      <w:pPr>
        <w:pStyle w:val="Clanek11"/>
        <w:widowControl/>
        <w:rPr>
          <w:rFonts w:cs="Times New Roman"/>
          <w:szCs w:val="22"/>
        </w:rPr>
      </w:pPr>
      <w:r w:rsidRPr="00A20B61">
        <w:rPr>
          <w:rFonts w:cs="Times New Roman"/>
          <w:szCs w:val="22"/>
        </w:rPr>
        <w:t xml:space="preserve">Poskytovatel je povinen </w:t>
      </w:r>
      <w:r w:rsidR="00AB03FC" w:rsidRPr="00A20B61">
        <w:rPr>
          <w:rFonts w:cs="Times New Roman"/>
          <w:szCs w:val="22"/>
        </w:rPr>
        <w:t xml:space="preserve">zahájit práce </w:t>
      </w:r>
      <w:r w:rsidRPr="00A20B61">
        <w:rPr>
          <w:rFonts w:cs="Times New Roman"/>
          <w:szCs w:val="22"/>
        </w:rPr>
        <w:t xml:space="preserve">na odstranění </w:t>
      </w:r>
    </w:p>
    <w:p w14:paraId="0EA1F84E" w14:textId="2A69E1E4" w:rsidR="00D72444" w:rsidRPr="00A20B61" w:rsidRDefault="00D72444" w:rsidP="00D72444">
      <w:pPr>
        <w:pStyle w:val="Claneka"/>
        <w:tabs>
          <w:tab w:val="clear" w:pos="992"/>
          <w:tab w:val="num" w:pos="1560"/>
        </w:tabs>
        <w:ind w:left="1560" w:hanging="426"/>
      </w:pPr>
      <w:r w:rsidRPr="00A20B61">
        <w:t xml:space="preserve">poruchy či jiného </w:t>
      </w:r>
      <w:r w:rsidR="00056AE4" w:rsidRPr="00A20B61">
        <w:t xml:space="preserve">havarijního stavu na příslušné FVE </w:t>
      </w:r>
      <w:r w:rsidR="00403F58" w:rsidRPr="00A20B61">
        <w:t xml:space="preserve">bránící </w:t>
      </w:r>
      <w:r w:rsidR="00F347B4" w:rsidRPr="00A20B61">
        <w:t>provozu</w:t>
      </w:r>
      <w:r w:rsidR="00A20B61" w:rsidRPr="00A20B61">
        <w:t xml:space="preserve"> příslušné</w:t>
      </w:r>
      <w:r w:rsidR="00403F58" w:rsidRPr="00A20B61">
        <w:t xml:space="preserve"> FVE nebo </w:t>
      </w:r>
      <w:r w:rsidR="00AB03FC" w:rsidRPr="00A20B61">
        <w:t xml:space="preserve">snižující výkon </w:t>
      </w:r>
      <w:r w:rsidR="002C5429" w:rsidRPr="00A20B61">
        <w:t xml:space="preserve">všech </w:t>
      </w:r>
      <w:r w:rsidR="008F1A31" w:rsidRPr="00A20B61">
        <w:t>servisovaných</w:t>
      </w:r>
      <w:r w:rsidR="00AB03FC" w:rsidRPr="00A20B61">
        <w:t xml:space="preserve"> FVE o více než </w:t>
      </w:r>
      <w:proofErr w:type="gramStart"/>
      <w:r w:rsidR="00AB03FC" w:rsidRPr="00A20B61">
        <w:t>10%</w:t>
      </w:r>
      <w:proofErr w:type="gramEnd"/>
      <w:r w:rsidR="00AB03FC" w:rsidRPr="00A20B61">
        <w:t xml:space="preserve"> </w:t>
      </w:r>
      <w:r w:rsidR="00056AE4" w:rsidRPr="00A20B61">
        <w:t xml:space="preserve">do </w:t>
      </w:r>
      <w:r w:rsidR="00AB03FC" w:rsidRPr="00A20B61">
        <w:t xml:space="preserve">12 </w:t>
      </w:r>
      <w:r w:rsidR="00056AE4" w:rsidRPr="00A20B61">
        <w:t>hodin</w:t>
      </w:r>
      <w:r w:rsidRPr="00A20B61">
        <w:t xml:space="preserve">; a </w:t>
      </w:r>
    </w:p>
    <w:p w14:paraId="65966052" w14:textId="4D2E4D80" w:rsidR="00D72444" w:rsidRPr="00A20B61" w:rsidRDefault="00D72444" w:rsidP="00D72444">
      <w:pPr>
        <w:pStyle w:val="Claneka"/>
        <w:tabs>
          <w:tab w:val="clear" w:pos="992"/>
          <w:tab w:val="num" w:pos="1560"/>
        </w:tabs>
        <w:ind w:left="1560" w:hanging="426"/>
      </w:pPr>
      <w:r w:rsidRPr="00A20B61">
        <w:t xml:space="preserve">poruchy či jiného havarijního stavu na příslušné FVE nebránící </w:t>
      </w:r>
      <w:r w:rsidR="003A2EA9" w:rsidRPr="00A20B61">
        <w:t xml:space="preserve">provozu </w:t>
      </w:r>
      <w:proofErr w:type="gramStart"/>
      <w:r w:rsidR="00A20B61" w:rsidRPr="00A20B61">
        <w:t xml:space="preserve">příslušné </w:t>
      </w:r>
      <w:r w:rsidRPr="00A20B61">
        <w:t xml:space="preserve"> FVE</w:t>
      </w:r>
      <w:proofErr w:type="gramEnd"/>
      <w:r w:rsidRPr="00A20B61">
        <w:t xml:space="preserve"> nebo snižující výkon </w:t>
      </w:r>
      <w:r w:rsidR="008F1A31" w:rsidRPr="00A20B61">
        <w:t xml:space="preserve">všech servisovaných </w:t>
      </w:r>
      <w:r w:rsidRPr="00A20B61">
        <w:t>FVE o 10% a méně do 24</w:t>
      </w:r>
      <w:r w:rsidRPr="00A20B61">
        <w:rPr>
          <w:b/>
          <w:bCs/>
        </w:rPr>
        <w:t xml:space="preserve"> </w:t>
      </w:r>
      <w:r w:rsidRPr="00A20B61">
        <w:t>hodin</w:t>
      </w:r>
      <w:r w:rsidR="00846E66" w:rsidRPr="00A20B61">
        <w:t>, pokud se Strany v konkrétním případě nedohodnou jinak</w:t>
      </w:r>
      <w:r w:rsidRPr="00A20B61">
        <w:t>;</w:t>
      </w:r>
    </w:p>
    <w:p w14:paraId="4314431A" w14:textId="2C68F249" w:rsidR="00D72444" w:rsidRDefault="00056AE4" w:rsidP="00D72444">
      <w:pPr>
        <w:pStyle w:val="Clanek11"/>
        <w:widowControl/>
        <w:numPr>
          <w:ilvl w:val="0"/>
          <w:numId w:val="0"/>
        </w:numPr>
        <w:ind w:left="1135"/>
        <w:rPr>
          <w:rFonts w:cs="Times New Roman"/>
          <w:szCs w:val="22"/>
        </w:rPr>
      </w:pPr>
      <w:r w:rsidRPr="00A20B61">
        <w:rPr>
          <w:rFonts w:cs="Times New Roman"/>
          <w:szCs w:val="22"/>
        </w:rPr>
        <w:lastRenderedPageBreak/>
        <w:t xml:space="preserve">od okamžiku, kdy je havarijní </w:t>
      </w:r>
      <w:r w:rsidR="00D72444" w:rsidRPr="00A20B61">
        <w:rPr>
          <w:rFonts w:cs="Times New Roman"/>
          <w:szCs w:val="22"/>
        </w:rPr>
        <w:t>stav</w:t>
      </w:r>
      <w:r w:rsidRPr="00A20B61">
        <w:rPr>
          <w:rFonts w:cs="Times New Roman"/>
          <w:szCs w:val="22"/>
        </w:rPr>
        <w:t xml:space="preserve"> monitorovacím systém </w:t>
      </w:r>
      <w:r w:rsidR="00D44FE5" w:rsidRPr="00A20B61">
        <w:rPr>
          <w:rFonts w:cs="Times New Roman"/>
          <w:szCs w:val="22"/>
        </w:rPr>
        <w:t>vyhodnocen</w:t>
      </w:r>
      <w:r w:rsidRPr="00A20B61">
        <w:rPr>
          <w:rFonts w:cs="Times New Roman"/>
          <w:szCs w:val="22"/>
        </w:rPr>
        <w:t>, nebo Poskytovateli Objednatelem oznámen, podle toho, který okamžik nastane dříve.</w:t>
      </w:r>
      <w:r>
        <w:rPr>
          <w:rFonts w:cs="Times New Roman"/>
          <w:szCs w:val="22"/>
        </w:rPr>
        <w:t xml:space="preserve"> </w:t>
      </w:r>
    </w:p>
    <w:p w14:paraId="0E686DF3" w14:textId="232780C9" w:rsidR="00056AE4" w:rsidRDefault="00056AE4" w:rsidP="0037074F">
      <w:pPr>
        <w:pStyle w:val="Clanek11"/>
        <w:widowControl/>
        <w:rPr>
          <w:rFonts w:cs="Times New Roman"/>
          <w:szCs w:val="22"/>
        </w:rPr>
      </w:pPr>
      <w:r>
        <w:rPr>
          <w:rFonts w:cs="Times New Roman"/>
          <w:szCs w:val="22"/>
        </w:rPr>
        <w:t>V případě prodlení s nastoupení</w:t>
      </w:r>
      <w:r w:rsidR="00D44FE5">
        <w:rPr>
          <w:rFonts w:cs="Times New Roman"/>
          <w:szCs w:val="22"/>
        </w:rPr>
        <w:t>m</w:t>
      </w:r>
      <w:r>
        <w:rPr>
          <w:rFonts w:cs="Times New Roman"/>
          <w:szCs w:val="22"/>
        </w:rPr>
        <w:t xml:space="preserve"> na odstranění </w:t>
      </w:r>
      <w:r w:rsidR="009317CD">
        <w:rPr>
          <w:rFonts w:cs="Times New Roman"/>
          <w:szCs w:val="22"/>
        </w:rPr>
        <w:t>poruchy či jiného havarijního</w:t>
      </w:r>
      <w:r>
        <w:rPr>
          <w:rFonts w:cs="Times New Roman"/>
          <w:szCs w:val="22"/>
        </w:rPr>
        <w:t xml:space="preserve">, má Objednatel nárok na smluvní pokutu, ve výši </w:t>
      </w:r>
      <w:r w:rsidR="000A3F90">
        <w:rPr>
          <w:rFonts w:cs="Times New Roman"/>
          <w:b/>
          <w:bCs w:val="0"/>
          <w:szCs w:val="22"/>
        </w:rPr>
        <w:t xml:space="preserve">200 </w:t>
      </w:r>
      <w:r>
        <w:rPr>
          <w:rFonts w:cs="Times New Roman"/>
          <w:b/>
          <w:bCs w:val="0"/>
          <w:szCs w:val="22"/>
        </w:rPr>
        <w:t xml:space="preserve">Kč </w:t>
      </w:r>
      <w:r w:rsidRPr="000C6E62">
        <w:rPr>
          <w:rFonts w:cs="Times New Roman"/>
          <w:szCs w:val="22"/>
        </w:rPr>
        <w:t>za každý případ prodlen</w:t>
      </w:r>
      <w:r w:rsidR="000A3F90">
        <w:rPr>
          <w:rFonts w:cs="Times New Roman"/>
          <w:szCs w:val="22"/>
        </w:rPr>
        <w:t xml:space="preserve"> a hodinu prodlení</w:t>
      </w:r>
      <w:r>
        <w:rPr>
          <w:rFonts w:cs="Times New Roman"/>
          <w:szCs w:val="22"/>
        </w:rPr>
        <w:t>.</w:t>
      </w:r>
    </w:p>
    <w:p w14:paraId="24AB84CA" w14:textId="77777777" w:rsidR="00612C55" w:rsidRPr="004871FD" w:rsidRDefault="001D7E95" w:rsidP="001D7E95">
      <w:pPr>
        <w:pStyle w:val="Clanek11"/>
        <w:widowControl/>
        <w:rPr>
          <w:rFonts w:cs="Times New Roman"/>
          <w:szCs w:val="22"/>
        </w:rPr>
      </w:pPr>
      <w:r w:rsidRPr="004871FD">
        <w:rPr>
          <w:rFonts w:cs="Times New Roman"/>
          <w:szCs w:val="22"/>
        </w:rPr>
        <w:t>Poskytovatel je povinen</w:t>
      </w:r>
      <w:r w:rsidR="00612C55" w:rsidRPr="004871FD">
        <w:rPr>
          <w:rFonts w:cs="Times New Roman"/>
          <w:szCs w:val="22"/>
        </w:rPr>
        <w:t xml:space="preserve"> odstranit </w:t>
      </w:r>
    </w:p>
    <w:p w14:paraId="445F0D05" w14:textId="1B870C19" w:rsidR="001D7E95" w:rsidRPr="004871FD" w:rsidRDefault="00612C55" w:rsidP="00600EC6">
      <w:pPr>
        <w:pStyle w:val="Claneka"/>
        <w:tabs>
          <w:tab w:val="clear" w:pos="992"/>
          <w:tab w:val="num" w:pos="1560"/>
        </w:tabs>
        <w:ind w:left="1560" w:hanging="426"/>
      </w:pPr>
      <w:r w:rsidRPr="004871FD">
        <w:t xml:space="preserve">poruchu či jiný havarijní stav na příslušné FVE bránící provozu </w:t>
      </w:r>
      <w:r w:rsidR="00A20B61">
        <w:t xml:space="preserve">příslušné </w:t>
      </w:r>
      <w:r w:rsidRPr="004871FD">
        <w:t xml:space="preserve">FVE nebo snižující výkon </w:t>
      </w:r>
      <w:r w:rsidR="008F1A31" w:rsidRPr="004871FD">
        <w:t>všech servisovaných</w:t>
      </w:r>
      <w:r w:rsidRPr="004871FD">
        <w:t xml:space="preserve"> FVE o více než </w:t>
      </w:r>
      <w:proofErr w:type="gramStart"/>
      <w:r w:rsidRPr="004871FD">
        <w:t>10%</w:t>
      </w:r>
      <w:proofErr w:type="gramEnd"/>
      <w:r w:rsidRPr="004871FD">
        <w:t xml:space="preserve"> do </w:t>
      </w:r>
      <w:r w:rsidR="00600EC6" w:rsidRPr="004871FD">
        <w:t>24</w:t>
      </w:r>
      <w:r w:rsidRPr="004871FD">
        <w:t xml:space="preserve"> hodin; </w:t>
      </w:r>
      <w:r w:rsidR="00600EC6" w:rsidRPr="004871FD">
        <w:t>a</w:t>
      </w:r>
    </w:p>
    <w:p w14:paraId="429FCCA2" w14:textId="292A1BA7" w:rsidR="00600EC6" w:rsidRPr="004871FD" w:rsidRDefault="00CA1BCC" w:rsidP="00600EC6">
      <w:pPr>
        <w:pStyle w:val="Claneka"/>
        <w:tabs>
          <w:tab w:val="clear" w:pos="992"/>
          <w:tab w:val="num" w:pos="1560"/>
        </w:tabs>
        <w:ind w:left="1560" w:hanging="426"/>
      </w:pPr>
      <w:r w:rsidRPr="004871FD">
        <w:t xml:space="preserve">poruchu či jiný havarijní stav na příslušné FVE nebránící provozu </w:t>
      </w:r>
      <w:r w:rsidR="00A20B61">
        <w:t xml:space="preserve">příslušné </w:t>
      </w:r>
      <w:r w:rsidRPr="004871FD">
        <w:t xml:space="preserve">FVE nebo snižující výkon </w:t>
      </w:r>
      <w:r w:rsidR="008F1A31" w:rsidRPr="004871FD">
        <w:t xml:space="preserve">všech servisovaných </w:t>
      </w:r>
      <w:r w:rsidRPr="004871FD">
        <w:t>FVE o 10% a méně ve lhůtě dohodnuté Stranami nebo</w:t>
      </w:r>
      <w:r w:rsidR="007F2A66" w:rsidRPr="004871FD">
        <w:t>,</w:t>
      </w:r>
      <w:r w:rsidRPr="004871FD">
        <w:t xml:space="preserve"> pokud se Strany nedohodnou</w:t>
      </w:r>
      <w:r w:rsidR="00FD512B" w:rsidRPr="004871FD">
        <w:t xml:space="preserve"> do čtyřiceti osmi (48) hodin</w:t>
      </w:r>
      <w:r w:rsidR="00082AB1" w:rsidRPr="004871FD">
        <w:t xml:space="preserve"> </w:t>
      </w:r>
      <w:r w:rsidR="00CC513A" w:rsidRPr="004871FD">
        <w:t>od oznámení poruchy či havarijního stavu</w:t>
      </w:r>
      <w:r w:rsidRPr="004871FD">
        <w:t xml:space="preserve">, </w:t>
      </w:r>
      <w:r w:rsidR="007F2A66" w:rsidRPr="004871FD">
        <w:t xml:space="preserve">ve lhůtě stanovené </w:t>
      </w:r>
      <w:r w:rsidRPr="004871FD">
        <w:t xml:space="preserve">Objednatelem podle jeho uvážení s přihlédnutím k proveditelnosti a jeho potřebám, nikoliv však kratší než </w:t>
      </w:r>
      <w:proofErr w:type="gramStart"/>
      <w:r w:rsidR="00D42D7E" w:rsidRPr="004871FD">
        <w:t>sedm  (</w:t>
      </w:r>
      <w:proofErr w:type="gramEnd"/>
      <w:r w:rsidR="00D42D7E" w:rsidRPr="004871FD">
        <w:t>7) dnů</w:t>
      </w:r>
      <w:r w:rsidR="00600EC6" w:rsidRPr="004871FD">
        <w:t>;</w:t>
      </w:r>
    </w:p>
    <w:p w14:paraId="35EF8243" w14:textId="77777777" w:rsidR="00D42D7E" w:rsidRPr="00F96054" w:rsidRDefault="00D42D7E" w:rsidP="003344AA">
      <w:pPr>
        <w:pStyle w:val="Clanek11"/>
        <w:widowControl/>
        <w:numPr>
          <w:ilvl w:val="0"/>
          <w:numId w:val="0"/>
        </w:numPr>
        <w:ind w:left="1135"/>
        <w:rPr>
          <w:rFonts w:cs="Times New Roman"/>
          <w:szCs w:val="22"/>
        </w:rPr>
      </w:pPr>
      <w:r w:rsidRPr="004871FD">
        <w:rPr>
          <w:rFonts w:cs="Times New Roman"/>
          <w:szCs w:val="22"/>
        </w:rPr>
        <w:t>od okamžiku, kdy je havarijní stav monitorovacím systém vyhodnocen, nebo Poskytovateli</w:t>
      </w:r>
      <w:r w:rsidRPr="00F96054">
        <w:rPr>
          <w:rFonts w:cs="Times New Roman"/>
          <w:szCs w:val="22"/>
        </w:rPr>
        <w:t xml:space="preserve"> Objednatelem oznámen, podle toho, který okamžik nastane dříve. </w:t>
      </w:r>
    </w:p>
    <w:p w14:paraId="1BBB6508" w14:textId="6CB747FD" w:rsidR="00F26C34" w:rsidRPr="002E2BBB" w:rsidRDefault="00F26C34" w:rsidP="003344AA">
      <w:pPr>
        <w:pStyle w:val="Clanek11"/>
        <w:widowControl/>
        <w:rPr>
          <w:rFonts w:cs="Times New Roman"/>
          <w:szCs w:val="22"/>
        </w:rPr>
      </w:pPr>
      <w:r w:rsidRPr="00F26C34">
        <w:rPr>
          <w:rFonts w:cs="Times New Roman"/>
          <w:szCs w:val="22"/>
        </w:rPr>
        <w:t xml:space="preserve">V případě, že se </w:t>
      </w:r>
      <w:r>
        <w:rPr>
          <w:rFonts w:cs="Times New Roman"/>
          <w:szCs w:val="22"/>
        </w:rPr>
        <w:t xml:space="preserve">Poskytovatel </w:t>
      </w:r>
      <w:r w:rsidRPr="00F26C34">
        <w:rPr>
          <w:rFonts w:cs="Times New Roman"/>
          <w:szCs w:val="22"/>
        </w:rPr>
        <w:t xml:space="preserve">ocitne v prodlení s odstraněním </w:t>
      </w:r>
      <w:r>
        <w:rPr>
          <w:rFonts w:cs="Times New Roman"/>
          <w:szCs w:val="22"/>
        </w:rPr>
        <w:t>poruchy či havarijního stavu</w:t>
      </w:r>
      <w:r w:rsidRPr="00F26C34">
        <w:rPr>
          <w:rFonts w:cs="Times New Roman"/>
          <w:szCs w:val="22"/>
        </w:rPr>
        <w:t>,</w:t>
      </w:r>
      <w:r>
        <w:rPr>
          <w:rFonts w:cs="Times New Roman"/>
          <w:szCs w:val="22"/>
        </w:rPr>
        <w:t xml:space="preserve"> </w:t>
      </w:r>
      <w:r w:rsidR="00A43EF5">
        <w:rPr>
          <w:rFonts w:cs="Times New Roman"/>
          <w:szCs w:val="22"/>
        </w:rPr>
        <w:t xml:space="preserve">s výjimkou poruchy či havarijního stavu způsobeného výlučně </w:t>
      </w:r>
      <w:r w:rsidR="00A448B5">
        <w:rPr>
          <w:rFonts w:cs="Times New Roman"/>
          <w:szCs w:val="22"/>
        </w:rPr>
        <w:t xml:space="preserve">záruční </w:t>
      </w:r>
      <w:r>
        <w:rPr>
          <w:rFonts w:cs="Times New Roman"/>
          <w:szCs w:val="22"/>
        </w:rPr>
        <w:t xml:space="preserve">vadou dle </w:t>
      </w:r>
      <w:r w:rsidR="00A448B5">
        <w:rPr>
          <w:rFonts w:cs="Times New Roman"/>
          <w:szCs w:val="22"/>
        </w:rPr>
        <w:t xml:space="preserve">Smlouvy </w:t>
      </w:r>
      <w:r w:rsidR="00A448B5" w:rsidRPr="002E2BBB">
        <w:rPr>
          <w:rFonts w:cs="Times New Roman"/>
          <w:szCs w:val="22"/>
        </w:rPr>
        <w:t>o dílo</w:t>
      </w:r>
      <w:r w:rsidR="00E30B41" w:rsidRPr="002E2BBB">
        <w:rPr>
          <w:rFonts w:cs="Times New Roman"/>
          <w:szCs w:val="22"/>
        </w:rPr>
        <w:t>, kter</w:t>
      </w:r>
      <w:r w:rsidR="00CA79A4" w:rsidRPr="002E2BBB">
        <w:rPr>
          <w:rFonts w:cs="Times New Roman"/>
          <w:szCs w:val="22"/>
        </w:rPr>
        <w:t>á</w:t>
      </w:r>
      <w:r w:rsidR="00E30B41" w:rsidRPr="002E2BBB">
        <w:rPr>
          <w:rFonts w:cs="Times New Roman"/>
          <w:szCs w:val="22"/>
        </w:rPr>
        <w:t xml:space="preserve"> bud</w:t>
      </w:r>
      <w:r w:rsidR="00CA79A4" w:rsidRPr="002E2BBB">
        <w:rPr>
          <w:rFonts w:cs="Times New Roman"/>
          <w:szCs w:val="22"/>
        </w:rPr>
        <w:t>e</w:t>
      </w:r>
      <w:r w:rsidR="00E30B41" w:rsidRPr="002E2BBB">
        <w:rPr>
          <w:rFonts w:cs="Times New Roman"/>
          <w:szCs w:val="22"/>
        </w:rPr>
        <w:t xml:space="preserve"> odstraňován</w:t>
      </w:r>
      <w:r w:rsidR="00CA79A4" w:rsidRPr="002E2BBB">
        <w:rPr>
          <w:rFonts w:cs="Times New Roman"/>
          <w:szCs w:val="22"/>
        </w:rPr>
        <w:t>a</w:t>
      </w:r>
      <w:r w:rsidR="00E30B41" w:rsidRPr="002E2BBB">
        <w:rPr>
          <w:rFonts w:cs="Times New Roman"/>
          <w:szCs w:val="22"/>
        </w:rPr>
        <w:t xml:space="preserve"> a </w:t>
      </w:r>
      <w:r w:rsidR="00CB26C6" w:rsidRPr="002E2BBB">
        <w:rPr>
          <w:rFonts w:cs="Times New Roman"/>
          <w:szCs w:val="22"/>
        </w:rPr>
        <w:t xml:space="preserve">případně </w:t>
      </w:r>
      <w:r w:rsidR="00E30B41" w:rsidRPr="002E2BBB">
        <w:rPr>
          <w:rFonts w:cs="Times New Roman"/>
          <w:szCs w:val="22"/>
        </w:rPr>
        <w:t>pokutován</w:t>
      </w:r>
      <w:r w:rsidR="00CA79A4" w:rsidRPr="002E2BBB">
        <w:rPr>
          <w:rFonts w:cs="Times New Roman"/>
          <w:szCs w:val="22"/>
        </w:rPr>
        <w:t>a</w:t>
      </w:r>
      <w:r w:rsidR="00E30B41" w:rsidRPr="002E2BBB">
        <w:rPr>
          <w:rFonts w:cs="Times New Roman"/>
          <w:szCs w:val="22"/>
        </w:rPr>
        <w:t xml:space="preserve"> dle Smlouvy o dílo</w:t>
      </w:r>
      <w:r w:rsidR="00894084" w:rsidRPr="002E2BBB">
        <w:rPr>
          <w:rFonts w:cs="Times New Roman"/>
          <w:szCs w:val="22"/>
        </w:rPr>
        <w:t xml:space="preserve">, </w:t>
      </w:r>
      <w:r w:rsidRPr="002E2BBB">
        <w:rPr>
          <w:rFonts w:cs="Times New Roman"/>
          <w:szCs w:val="22"/>
        </w:rPr>
        <w:t xml:space="preserve">zaplatí Zhotovitel Objednateli smluvní pokutu: </w:t>
      </w:r>
    </w:p>
    <w:p w14:paraId="7F1FB14E" w14:textId="48E2A707" w:rsidR="00F26C34" w:rsidRPr="002E2BBB" w:rsidRDefault="00F26C34" w:rsidP="003344AA">
      <w:pPr>
        <w:pStyle w:val="Claneka"/>
        <w:tabs>
          <w:tab w:val="clear" w:pos="992"/>
          <w:tab w:val="num" w:pos="1560"/>
        </w:tabs>
        <w:ind w:left="1560" w:hanging="426"/>
      </w:pPr>
      <w:r w:rsidRPr="002E2BBB">
        <w:t xml:space="preserve">ve výši </w:t>
      </w:r>
      <w:proofErr w:type="gramStart"/>
      <w:r w:rsidR="00D76F2A" w:rsidRPr="002E2BBB">
        <w:t>2</w:t>
      </w:r>
      <w:r w:rsidRPr="002E2BBB">
        <w:t>.000,-</w:t>
      </w:r>
      <w:proofErr w:type="gramEnd"/>
      <w:r w:rsidRPr="002E2BBB">
        <w:t xml:space="preserve"> Kč za každý započatý den prodlení s odstraněním každé jednotlivé </w:t>
      </w:r>
      <w:r w:rsidR="004871FD" w:rsidRPr="002E2BBB">
        <w:t xml:space="preserve">poruchy nebo havarijního stavu </w:t>
      </w:r>
      <w:r w:rsidR="00042503" w:rsidRPr="002E2BBB">
        <w:t xml:space="preserve">na příslušné FVE bránící provozu příslušné FVE nebo snižující výkon všech servisovaných FVE </w:t>
      </w:r>
      <w:r w:rsidRPr="002E2BBB">
        <w:t>o více než 10 % ,</w:t>
      </w:r>
    </w:p>
    <w:p w14:paraId="7DE1EF86" w14:textId="57118F73" w:rsidR="00F26C34" w:rsidRPr="002E2BBB" w:rsidRDefault="00F26C34" w:rsidP="003344AA">
      <w:pPr>
        <w:pStyle w:val="Claneka"/>
        <w:tabs>
          <w:tab w:val="clear" w:pos="992"/>
          <w:tab w:val="num" w:pos="1560"/>
        </w:tabs>
        <w:ind w:left="1560" w:hanging="426"/>
      </w:pPr>
      <w:r w:rsidRPr="002E2BBB">
        <w:t xml:space="preserve">ve výši </w:t>
      </w:r>
      <w:proofErr w:type="gramStart"/>
      <w:r w:rsidR="00462C88" w:rsidRPr="002E2BBB">
        <w:t>1</w:t>
      </w:r>
      <w:r w:rsidRPr="002E2BBB">
        <w:t>.000,-</w:t>
      </w:r>
      <w:proofErr w:type="gramEnd"/>
      <w:r w:rsidRPr="002E2BBB">
        <w:t xml:space="preserve"> Kč za každý započatý den prodlení s odstraněním </w:t>
      </w:r>
      <w:r w:rsidR="002439C5" w:rsidRPr="002E2BBB">
        <w:t>každé jednotlivé poruchy nebo havarijního stavu na příslušné FVE nebránící provozu příslušné FVE nebo snižující výkon všech servisovaných FVE</w:t>
      </w:r>
      <w:r w:rsidR="004871FD" w:rsidRPr="002E2BBB">
        <w:t xml:space="preserve"> </w:t>
      </w:r>
      <w:r w:rsidRPr="002E2BBB">
        <w:t>o méně než 10 %.</w:t>
      </w:r>
    </w:p>
    <w:p w14:paraId="19C6C937" w14:textId="73FFC020" w:rsidR="00BE7A48" w:rsidRPr="00F81E19" w:rsidRDefault="008207C4" w:rsidP="004E5A86">
      <w:pPr>
        <w:pStyle w:val="Nadpis1"/>
        <w:keepNext w:val="0"/>
        <w:spacing w:before="120" w:after="120"/>
        <w:rPr>
          <w:rFonts w:cs="Times New Roman"/>
          <w:szCs w:val="22"/>
        </w:rPr>
      </w:pPr>
      <w:r w:rsidRPr="00F81E19">
        <w:rPr>
          <w:rFonts w:cs="Times New Roman"/>
          <w:szCs w:val="22"/>
        </w:rPr>
        <w:t>CEna za Poskytování služeb</w:t>
      </w:r>
    </w:p>
    <w:p w14:paraId="1EC99182" w14:textId="48A1B326" w:rsidR="0037074F" w:rsidRPr="00E4556B" w:rsidRDefault="00CE729A">
      <w:pPr>
        <w:pStyle w:val="Clanek11"/>
        <w:rPr>
          <w:rFonts w:cs="Times New Roman"/>
          <w:szCs w:val="22"/>
        </w:rPr>
      </w:pPr>
      <w:bookmarkStart w:id="20" w:name="_Ref134014698"/>
      <w:bookmarkStart w:id="21" w:name="_Ref375319601"/>
      <w:bookmarkStart w:id="22" w:name="_Ref130287463"/>
      <w:r w:rsidRPr="00F81E19">
        <w:rPr>
          <w:rFonts w:cs="Times New Roman"/>
          <w:szCs w:val="22"/>
        </w:rPr>
        <w:t xml:space="preserve">Objednatel se za poskytování </w:t>
      </w:r>
      <w:r w:rsidR="000351C5" w:rsidRPr="00F81E19">
        <w:rPr>
          <w:rFonts w:cs="Times New Roman"/>
          <w:szCs w:val="22"/>
        </w:rPr>
        <w:t>Základních s</w:t>
      </w:r>
      <w:r w:rsidRPr="00F81E19">
        <w:rPr>
          <w:rFonts w:cs="Times New Roman"/>
          <w:szCs w:val="22"/>
        </w:rPr>
        <w:t xml:space="preserve">lužeb zavazuje zaplatit Poskytovateli </w:t>
      </w:r>
      <w:r w:rsidR="006E422F">
        <w:rPr>
          <w:rFonts w:cs="Times New Roman"/>
          <w:szCs w:val="22"/>
        </w:rPr>
        <w:t xml:space="preserve">měsíčně </w:t>
      </w:r>
      <w:r w:rsidRPr="00F81E19">
        <w:rPr>
          <w:rFonts w:cs="Times New Roman"/>
          <w:szCs w:val="22"/>
        </w:rPr>
        <w:t xml:space="preserve">odměnu </w:t>
      </w:r>
      <w:r w:rsidR="006E422F">
        <w:rPr>
          <w:rFonts w:cs="Times New Roman"/>
          <w:szCs w:val="22"/>
        </w:rPr>
        <w:t xml:space="preserve">určenou jako násobek </w:t>
      </w:r>
      <w:r w:rsidR="0009376A">
        <w:rPr>
          <w:rFonts w:cs="Times New Roman"/>
          <w:szCs w:val="22"/>
        </w:rPr>
        <w:t xml:space="preserve">(i) </w:t>
      </w:r>
      <w:r w:rsidR="006E422F">
        <w:rPr>
          <w:rFonts w:cs="Times New Roman"/>
          <w:szCs w:val="22"/>
        </w:rPr>
        <w:t xml:space="preserve">jednotkové ceny </w:t>
      </w:r>
      <w:r w:rsidRPr="00F81E19">
        <w:rPr>
          <w:rFonts w:cs="Times New Roman"/>
          <w:szCs w:val="22"/>
        </w:rPr>
        <w:t>v</w:t>
      </w:r>
      <w:r w:rsidR="002A04BD" w:rsidRPr="00F81E19">
        <w:rPr>
          <w:rFonts w:cs="Times New Roman"/>
          <w:szCs w:val="22"/>
        </w:rPr>
        <w:t>e</w:t>
      </w:r>
      <w:r w:rsidRPr="00F81E19">
        <w:rPr>
          <w:rFonts w:cs="Times New Roman"/>
          <w:szCs w:val="22"/>
        </w:rPr>
        <w:t xml:space="preserve"> </w:t>
      </w:r>
      <w:r w:rsidR="0037074F" w:rsidRPr="00F81E19">
        <w:rPr>
          <w:rFonts w:cs="Times New Roman"/>
          <w:szCs w:val="22"/>
        </w:rPr>
        <w:t xml:space="preserve">výši </w:t>
      </w:r>
      <w:r w:rsidR="0037074F" w:rsidRPr="000C6E62">
        <w:rPr>
          <w:rFonts w:cs="Times New Roman"/>
          <w:b/>
          <w:bCs w:val="0"/>
          <w:szCs w:val="22"/>
          <w:highlight w:val="yellow"/>
        </w:rPr>
        <w:t>[*</w:t>
      </w:r>
      <w:r w:rsidR="00186BF6">
        <w:rPr>
          <w:rFonts w:cs="Times New Roman"/>
          <w:b/>
          <w:bCs w:val="0"/>
          <w:szCs w:val="22"/>
          <w:highlight w:val="yellow"/>
        </w:rPr>
        <w:t>bude doplněno dle nabídky</w:t>
      </w:r>
      <w:r w:rsidR="0037074F" w:rsidRPr="000C6E62">
        <w:rPr>
          <w:rFonts w:cs="Times New Roman"/>
          <w:b/>
          <w:bCs w:val="0"/>
          <w:szCs w:val="22"/>
          <w:highlight w:val="yellow"/>
        </w:rPr>
        <w:t>]</w:t>
      </w:r>
      <w:r w:rsidR="0037074F" w:rsidRPr="000C6E62">
        <w:rPr>
          <w:rFonts w:cs="Times New Roman"/>
          <w:b/>
          <w:bCs w:val="0"/>
          <w:szCs w:val="22"/>
        </w:rPr>
        <w:t xml:space="preserve"> Kč</w:t>
      </w:r>
      <w:r w:rsidR="001A0F9D">
        <w:rPr>
          <w:rFonts w:cs="Times New Roman"/>
          <w:szCs w:val="22"/>
        </w:rPr>
        <w:t xml:space="preserve"> za každý jeden instalovaný a zprovozněný </w:t>
      </w:r>
      <w:proofErr w:type="spellStart"/>
      <w:r w:rsidR="001A0F9D">
        <w:rPr>
          <w:rFonts w:cs="Times New Roman"/>
          <w:szCs w:val="22"/>
        </w:rPr>
        <w:t>kW</w:t>
      </w:r>
      <w:r w:rsidR="001A0F9D" w:rsidRPr="003344AA">
        <w:rPr>
          <w:rFonts w:cs="Times New Roman"/>
          <w:szCs w:val="22"/>
          <w:vertAlign w:val="subscript"/>
        </w:rPr>
        <w:t>p</w:t>
      </w:r>
      <w:proofErr w:type="spellEnd"/>
      <w:r w:rsidR="0037074F" w:rsidRPr="00F81E19">
        <w:rPr>
          <w:rFonts w:cs="Times New Roman"/>
          <w:szCs w:val="22"/>
        </w:rPr>
        <w:t xml:space="preserve"> </w:t>
      </w:r>
      <w:r w:rsidR="006E422F">
        <w:rPr>
          <w:rFonts w:cs="Times New Roman"/>
          <w:szCs w:val="22"/>
        </w:rPr>
        <w:t>(</w:t>
      </w:r>
      <w:r w:rsidR="0037074F" w:rsidRPr="00F81E19">
        <w:rPr>
          <w:rFonts w:cs="Times New Roman"/>
          <w:szCs w:val="22"/>
        </w:rPr>
        <w:t>plus případné DPH v</w:t>
      </w:r>
      <w:r w:rsidR="00823A87" w:rsidRPr="00F81E19">
        <w:rPr>
          <w:rFonts w:cs="Times New Roman"/>
          <w:szCs w:val="22"/>
        </w:rPr>
        <w:t> </w:t>
      </w:r>
      <w:r w:rsidR="0037074F" w:rsidRPr="00F81E19">
        <w:rPr>
          <w:rFonts w:cs="Times New Roman"/>
          <w:szCs w:val="22"/>
        </w:rPr>
        <w:t>zákonné výši</w:t>
      </w:r>
      <w:r w:rsidR="006E422F">
        <w:rPr>
          <w:rFonts w:cs="Times New Roman"/>
          <w:szCs w:val="22"/>
        </w:rPr>
        <w:t>)</w:t>
      </w:r>
      <w:r w:rsidR="004665AC" w:rsidRPr="00F81E19">
        <w:rPr>
          <w:rFonts w:cs="Times New Roman"/>
          <w:szCs w:val="22"/>
        </w:rPr>
        <w:t xml:space="preserve"> </w:t>
      </w:r>
      <w:bookmarkEnd w:id="20"/>
      <w:r w:rsidR="0009376A">
        <w:rPr>
          <w:rFonts w:cs="Times New Roman"/>
          <w:szCs w:val="22"/>
        </w:rPr>
        <w:t>a</w:t>
      </w:r>
      <w:r w:rsidR="006E422F">
        <w:rPr>
          <w:rFonts w:cs="Times New Roman"/>
          <w:szCs w:val="22"/>
        </w:rPr>
        <w:t xml:space="preserve"> </w:t>
      </w:r>
      <w:r w:rsidR="0009376A">
        <w:rPr>
          <w:rFonts w:cs="Times New Roman"/>
          <w:szCs w:val="22"/>
        </w:rPr>
        <w:t>(</w:t>
      </w:r>
      <w:proofErr w:type="spellStart"/>
      <w:r w:rsidR="0009376A">
        <w:rPr>
          <w:rFonts w:cs="Times New Roman"/>
          <w:szCs w:val="22"/>
        </w:rPr>
        <w:t>ii</w:t>
      </w:r>
      <w:proofErr w:type="spellEnd"/>
      <w:r w:rsidR="0009376A">
        <w:rPr>
          <w:rFonts w:cs="Times New Roman"/>
          <w:szCs w:val="22"/>
        </w:rPr>
        <w:t xml:space="preserve">) </w:t>
      </w:r>
      <w:r w:rsidR="006E422F">
        <w:rPr>
          <w:rFonts w:cs="Times New Roman"/>
          <w:szCs w:val="22"/>
        </w:rPr>
        <w:t xml:space="preserve">celkového instalovaného výkonu </w:t>
      </w:r>
      <w:r w:rsidR="0009376A">
        <w:rPr>
          <w:rFonts w:cs="Times New Roman"/>
          <w:szCs w:val="22"/>
        </w:rPr>
        <w:t xml:space="preserve">všech již </w:t>
      </w:r>
      <w:r w:rsidR="006E422F">
        <w:rPr>
          <w:rFonts w:cs="Times New Roman"/>
          <w:szCs w:val="22"/>
        </w:rPr>
        <w:t xml:space="preserve">zprovozněných a Objednateli předaných </w:t>
      </w:r>
      <w:r w:rsidR="0009376A">
        <w:rPr>
          <w:rFonts w:cs="Times New Roman"/>
          <w:szCs w:val="22"/>
        </w:rPr>
        <w:t xml:space="preserve">a v daném měsíci funkčních </w:t>
      </w:r>
      <w:r w:rsidR="006E422F">
        <w:rPr>
          <w:rFonts w:cs="Times New Roman"/>
          <w:szCs w:val="22"/>
        </w:rPr>
        <w:t>FVE („</w:t>
      </w:r>
      <w:r w:rsidR="006E422F" w:rsidRPr="000C6E62">
        <w:rPr>
          <w:rFonts w:cs="Times New Roman"/>
          <w:b/>
          <w:bCs w:val="0"/>
          <w:szCs w:val="22"/>
        </w:rPr>
        <w:t>Základní odměna</w:t>
      </w:r>
      <w:r w:rsidR="006E422F">
        <w:rPr>
          <w:rFonts w:cs="Times New Roman"/>
          <w:szCs w:val="22"/>
        </w:rPr>
        <w:t xml:space="preserve">“). </w:t>
      </w:r>
      <w:r w:rsidR="00E4556B">
        <w:rPr>
          <w:rFonts w:cs="Times New Roman"/>
          <w:szCs w:val="22"/>
        </w:rPr>
        <w:t xml:space="preserve">V případě, že příslušná FVE je uvedena do provozu a předána Objednateli v průběhu měsíce, instalovaný výkon takto zprovozněné a předané FVE v daném měsíci se do výpočtu měsíční odměny zahrne pouze poměrně dle počtu dnů </w:t>
      </w:r>
      <w:r w:rsidR="00E4556B" w:rsidRPr="00E4556B">
        <w:rPr>
          <w:rFonts w:cs="Times New Roman"/>
          <w:szCs w:val="22"/>
        </w:rPr>
        <w:t xml:space="preserve">v měsíci, kdy byla tato FVE po předání Objednateli v provozu. </w:t>
      </w:r>
    </w:p>
    <w:p w14:paraId="28EDC22C" w14:textId="6E5B03A0" w:rsidR="004665AC" w:rsidRPr="005D58D5" w:rsidRDefault="004665AC">
      <w:pPr>
        <w:pStyle w:val="Clanek11"/>
        <w:rPr>
          <w:rFonts w:cs="Times New Roman"/>
          <w:szCs w:val="22"/>
        </w:rPr>
      </w:pPr>
      <w:bookmarkStart w:id="23" w:name="_Ref152791183"/>
      <w:r w:rsidRPr="000C6E62">
        <w:rPr>
          <w:rFonts w:cs="Times New Roman"/>
          <w:szCs w:val="22"/>
        </w:rPr>
        <w:t>Poskytovatel má právo</w:t>
      </w:r>
      <w:r w:rsidR="006E422F">
        <w:rPr>
          <w:rFonts w:cs="Times New Roman"/>
          <w:szCs w:val="22"/>
        </w:rPr>
        <w:t xml:space="preserve"> jednotkovou cenu pro výpočet</w:t>
      </w:r>
      <w:r w:rsidRPr="000C6E62">
        <w:rPr>
          <w:rFonts w:cs="Times New Roman"/>
          <w:szCs w:val="22"/>
        </w:rPr>
        <w:t xml:space="preserve"> Základní odměn</w:t>
      </w:r>
      <w:r w:rsidR="006E422F">
        <w:rPr>
          <w:rFonts w:cs="Times New Roman"/>
          <w:szCs w:val="22"/>
        </w:rPr>
        <w:t>y</w:t>
      </w:r>
      <w:r w:rsidR="00B6739A" w:rsidRPr="005D58D5">
        <w:rPr>
          <w:rFonts w:cs="Times New Roman"/>
          <w:szCs w:val="22"/>
        </w:rPr>
        <w:t xml:space="preserve"> jednou za kalendářní rok </w:t>
      </w:r>
      <w:r w:rsidRPr="000C6E62">
        <w:rPr>
          <w:rFonts w:cs="Times New Roman"/>
          <w:szCs w:val="22"/>
        </w:rPr>
        <w:t xml:space="preserve">upravit o míru inflace </w:t>
      </w:r>
      <w:r w:rsidR="005D58D5" w:rsidRPr="000C6E62">
        <w:rPr>
          <w:rFonts w:cs="Times New Roman"/>
          <w:szCs w:val="22"/>
        </w:rPr>
        <w:t>vyjádřenou přírůstkem průměrného ročního indexu spotřebitelských cen</w:t>
      </w:r>
      <w:r w:rsidR="005D58D5" w:rsidRPr="005D58D5" w:rsidDel="005D58D5">
        <w:rPr>
          <w:rFonts w:cs="Times New Roman"/>
          <w:szCs w:val="22"/>
        </w:rPr>
        <w:t xml:space="preserve"> </w:t>
      </w:r>
      <w:r w:rsidRPr="000C6E62">
        <w:rPr>
          <w:rFonts w:cs="Times New Roman"/>
          <w:szCs w:val="22"/>
        </w:rPr>
        <w:t>vyhlášenou Českým statistickým úřadem</w:t>
      </w:r>
      <w:r w:rsidR="005D58D5" w:rsidRPr="005D58D5">
        <w:rPr>
          <w:rFonts w:cs="Times New Roman"/>
          <w:szCs w:val="22"/>
        </w:rPr>
        <w:t xml:space="preserve"> </w:t>
      </w:r>
      <w:r w:rsidR="005D58D5" w:rsidRPr="000C6E62">
        <w:rPr>
          <w:rFonts w:cs="Times New Roman"/>
          <w:color w:val="333333"/>
          <w:szCs w:val="22"/>
          <w:shd w:val="clear" w:color="auto" w:fill="FFFFFF"/>
        </w:rPr>
        <w:t>vyjadřujícím procentní změnu průměrné cenové hladiny za 12 posledních měsíců proti průměru 12 předchozích měsíců</w:t>
      </w:r>
      <w:r w:rsidRPr="000C6E62">
        <w:rPr>
          <w:rFonts w:cs="Times New Roman"/>
          <w:szCs w:val="22"/>
        </w:rPr>
        <w:t xml:space="preserve">. Po zveřejnění míry inflace </w:t>
      </w:r>
      <w:r w:rsidR="005D58D5" w:rsidRPr="005D58D5">
        <w:rPr>
          <w:rFonts w:cs="Times New Roman"/>
          <w:szCs w:val="22"/>
        </w:rPr>
        <w:t xml:space="preserve">v prosinci kalendářního roku </w:t>
      </w:r>
      <w:r w:rsidRPr="000C6E62">
        <w:rPr>
          <w:rFonts w:cs="Times New Roman"/>
          <w:szCs w:val="22"/>
        </w:rPr>
        <w:t>je Poskytovatel oprávněn sdělit</w:t>
      </w:r>
      <w:r w:rsidR="005D58D5" w:rsidRPr="005D58D5">
        <w:rPr>
          <w:rFonts w:cs="Times New Roman"/>
          <w:szCs w:val="22"/>
        </w:rPr>
        <w:t xml:space="preserve"> do 31. 12. příslušného roku</w:t>
      </w:r>
      <w:r w:rsidRPr="000C6E62">
        <w:rPr>
          <w:rFonts w:cs="Times New Roman"/>
          <w:szCs w:val="22"/>
        </w:rPr>
        <w:t xml:space="preserve"> Objednateli výši inflačního navýšení </w:t>
      </w:r>
      <w:r w:rsidR="006E422F">
        <w:rPr>
          <w:rFonts w:cs="Times New Roman"/>
          <w:szCs w:val="22"/>
        </w:rPr>
        <w:t xml:space="preserve">jednotkové ceny </w:t>
      </w:r>
      <w:r w:rsidR="005D58D5" w:rsidRPr="005D58D5">
        <w:rPr>
          <w:rFonts w:cs="Times New Roman"/>
          <w:szCs w:val="22"/>
        </w:rPr>
        <w:t xml:space="preserve">Základní odměny, které bude účinné od 1. 1. následujícího kalendářního roku </w:t>
      </w:r>
      <w:r w:rsidRPr="000C6E62">
        <w:rPr>
          <w:rFonts w:cs="Times New Roman"/>
          <w:szCs w:val="22"/>
        </w:rPr>
        <w:t xml:space="preserve">a Objednatel je povinen počínaje úhradou </w:t>
      </w:r>
      <w:r w:rsidR="005D58D5" w:rsidRPr="005D58D5">
        <w:rPr>
          <w:rFonts w:cs="Times New Roman"/>
          <w:szCs w:val="22"/>
        </w:rPr>
        <w:t xml:space="preserve">za měsíc leden následujícího roku </w:t>
      </w:r>
      <w:r w:rsidRPr="000C6E62">
        <w:rPr>
          <w:rFonts w:cs="Times New Roman"/>
          <w:szCs w:val="22"/>
        </w:rPr>
        <w:t xml:space="preserve">hradit Základní odměnu </w:t>
      </w:r>
      <w:r w:rsidR="006E422F">
        <w:rPr>
          <w:rFonts w:cs="Times New Roman"/>
          <w:szCs w:val="22"/>
        </w:rPr>
        <w:t xml:space="preserve">vypočtenou na základě jednotkové ceny </w:t>
      </w:r>
      <w:r w:rsidRPr="000C6E62">
        <w:rPr>
          <w:rFonts w:cs="Times New Roman"/>
          <w:szCs w:val="22"/>
        </w:rPr>
        <w:t>zvýšen</w:t>
      </w:r>
      <w:r w:rsidR="006E422F">
        <w:rPr>
          <w:rFonts w:cs="Times New Roman"/>
          <w:szCs w:val="22"/>
        </w:rPr>
        <w:t>é</w:t>
      </w:r>
      <w:r w:rsidRPr="000C6E62">
        <w:rPr>
          <w:rFonts w:cs="Times New Roman"/>
          <w:szCs w:val="22"/>
        </w:rPr>
        <w:t xml:space="preserve"> o </w:t>
      </w:r>
      <w:r w:rsidR="005D58D5" w:rsidRPr="005D58D5">
        <w:rPr>
          <w:rFonts w:cs="Times New Roman"/>
          <w:szCs w:val="22"/>
        </w:rPr>
        <w:t xml:space="preserve">tuto </w:t>
      </w:r>
      <w:r w:rsidRPr="000C6E62">
        <w:rPr>
          <w:rFonts w:cs="Times New Roman"/>
          <w:szCs w:val="22"/>
        </w:rPr>
        <w:t>míru inflace. Pro vyloučení pochybností Smluvní strany shodně prohlašují, že pro změnu výše Základní odměny dle tohoto článku Smlouvy postačuje oznámení Poskytovatele dle věty přecházející a uzavření dodatku k</w:t>
      </w:r>
      <w:r w:rsidR="00823A87" w:rsidRPr="000C6E62">
        <w:rPr>
          <w:rFonts w:cs="Times New Roman"/>
          <w:szCs w:val="22"/>
        </w:rPr>
        <w:t> </w:t>
      </w:r>
      <w:r w:rsidRPr="000C6E62">
        <w:rPr>
          <w:rFonts w:cs="Times New Roman"/>
          <w:szCs w:val="22"/>
        </w:rPr>
        <w:t>této Smlouvě není nutné.</w:t>
      </w:r>
      <w:bookmarkEnd w:id="23"/>
    </w:p>
    <w:p w14:paraId="10E76FE5" w14:textId="03542616" w:rsidR="00C31526" w:rsidRPr="00F81E19" w:rsidRDefault="00C31526" w:rsidP="004665AC">
      <w:pPr>
        <w:pStyle w:val="Clanek11"/>
        <w:rPr>
          <w:rFonts w:cs="Times New Roman"/>
          <w:szCs w:val="22"/>
        </w:rPr>
      </w:pPr>
      <w:r w:rsidRPr="00F81E19">
        <w:rPr>
          <w:rFonts w:cs="Times New Roman"/>
          <w:szCs w:val="22"/>
        </w:rPr>
        <w:t xml:space="preserve">Objednatel se za poskytování Rozšířených služeb zavazuje zaplatit Poskytovateli odměnu ve výši dohodnuté před započetím poskytování každé Rozšířené služby. </w:t>
      </w:r>
    </w:p>
    <w:p w14:paraId="5DCC4E68" w14:textId="496D6D71" w:rsidR="002A04BD" w:rsidRPr="00F81E19" w:rsidRDefault="002A04BD" w:rsidP="002A04BD">
      <w:pPr>
        <w:pStyle w:val="Clanek11"/>
        <w:rPr>
          <w:rFonts w:cs="Times New Roman"/>
          <w:szCs w:val="22"/>
        </w:rPr>
      </w:pPr>
      <w:bookmarkStart w:id="24" w:name="_Ref375319838"/>
      <w:bookmarkEnd w:id="21"/>
      <w:bookmarkEnd w:id="22"/>
      <w:r w:rsidRPr="00F81E19">
        <w:rPr>
          <w:rFonts w:cs="Times New Roman"/>
          <w:szCs w:val="22"/>
        </w:rPr>
        <w:lastRenderedPageBreak/>
        <w:t>S</w:t>
      </w:r>
      <w:r w:rsidR="00D00A11">
        <w:rPr>
          <w:rFonts w:cs="Times New Roman"/>
          <w:szCs w:val="22"/>
        </w:rPr>
        <w:t>mluvní s</w:t>
      </w:r>
      <w:r w:rsidRPr="00F81E19">
        <w:rPr>
          <w:rFonts w:cs="Times New Roman"/>
          <w:szCs w:val="22"/>
        </w:rPr>
        <w:t xml:space="preserve">trany se dohodly na tom, že veškerá vyúčtování a </w:t>
      </w:r>
      <w:r w:rsidR="00212AD2">
        <w:rPr>
          <w:rFonts w:cs="Times New Roman"/>
          <w:szCs w:val="22"/>
        </w:rPr>
        <w:t>daňové doklady (</w:t>
      </w:r>
      <w:r w:rsidRPr="00F81E19">
        <w:rPr>
          <w:rFonts w:cs="Times New Roman"/>
          <w:szCs w:val="22"/>
        </w:rPr>
        <w:t>faktury</w:t>
      </w:r>
      <w:r w:rsidR="00212AD2">
        <w:rPr>
          <w:rFonts w:cs="Times New Roman"/>
          <w:szCs w:val="22"/>
        </w:rPr>
        <w:t>)</w:t>
      </w:r>
      <w:r w:rsidRPr="00F81E19">
        <w:rPr>
          <w:rFonts w:cs="Times New Roman"/>
          <w:szCs w:val="22"/>
        </w:rPr>
        <w:t xml:space="preserve"> bude Poskytovatel zasílat Objednateli elektronicky na adresy uvedené v</w:t>
      </w:r>
      <w:r w:rsidR="00823A87" w:rsidRPr="00F81E19">
        <w:rPr>
          <w:rFonts w:cs="Times New Roman"/>
          <w:szCs w:val="22"/>
        </w:rPr>
        <w:t> </w:t>
      </w:r>
      <w:r w:rsidRPr="00F81E19">
        <w:rPr>
          <w:rFonts w:cs="Times New Roman"/>
          <w:szCs w:val="22"/>
        </w:rPr>
        <w:t>této Smlouvě.</w:t>
      </w:r>
    </w:p>
    <w:p w14:paraId="01E8D6DC" w14:textId="071C9214" w:rsidR="002A04BD" w:rsidRPr="00F81E19" w:rsidRDefault="002A04BD" w:rsidP="002A04BD">
      <w:pPr>
        <w:pStyle w:val="Clanek11"/>
        <w:rPr>
          <w:rFonts w:cs="Times New Roman"/>
          <w:szCs w:val="22"/>
        </w:rPr>
      </w:pPr>
      <w:r w:rsidRPr="00F81E19">
        <w:rPr>
          <w:rFonts w:cs="Times New Roman"/>
          <w:szCs w:val="22"/>
        </w:rPr>
        <w:t>Faktury musí splňovat náležitosti daňového dokladu stanovené platnými právními předpisy. V</w:t>
      </w:r>
      <w:r w:rsidR="00823A87" w:rsidRPr="00F81E19">
        <w:rPr>
          <w:rFonts w:cs="Times New Roman"/>
          <w:szCs w:val="22"/>
        </w:rPr>
        <w:t> </w:t>
      </w:r>
      <w:r w:rsidRPr="00F81E19">
        <w:rPr>
          <w:rFonts w:cs="Times New Roman"/>
          <w:szCs w:val="22"/>
        </w:rPr>
        <w:t>případě, že kterákoliv z</w:t>
      </w:r>
      <w:r w:rsidR="00823A87" w:rsidRPr="00F81E19">
        <w:rPr>
          <w:rFonts w:cs="Times New Roman"/>
          <w:szCs w:val="22"/>
        </w:rPr>
        <w:t> </w:t>
      </w:r>
      <w:r w:rsidRPr="00F81E19">
        <w:rPr>
          <w:rFonts w:cs="Times New Roman"/>
          <w:szCs w:val="22"/>
        </w:rPr>
        <w:t>faktur nebude splňovat tyto náležitosti, je Objednatel oprávněn takovou fakturu vrátit Poskytovateli.</w:t>
      </w:r>
    </w:p>
    <w:p w14:paraId="5C8758B0" w14:textId="65DA126C" w:rsidR="002A04BD" w:rsidRPr="00F81E19" w:rsidRDefault="002A04BD" w:rsidP="002A04BD">
      <w:pPr>
        <w:pStyle w:val="Clanek11"/>
        <w:rPr>
          <w:rFonts w:cs="Times New Roman"/>
          <w:szCs w:val="22"/>
        </w:rPr>
      </w:pPr>
      <w:r w:rsidRPr="00F81E19">
        <w:rPr>
          <w:rFonts w:eastAsia="Arial" w:cs="Times New Roman"/>
          <w:szCs w:val="22"/>
        </w:rPr>
        <w:t xml:space="preserve">Veškeré platební povinnosti </w:t>
      </w:r>
      <w:r w:rsidR="005D58D5">
        <w:rPr>
          <w:rFonts w:eastAsia="Arial" w:cs="Times New Roman"/>
          <w:szCs w:val="22"/>
        </w:rPr>
        <w:t>Objednatele</w:t>
      </w:r>
      <w:r w:rsidR="005D58D5" w:rsidRPr="00F81E19">
        <w:rPr>
          <w:rFonts w:eastAsia="Arial" w:cs="Times New Roman"/>
          <w:szCs w:val="22"/>
        </w:rPr>
        <w:t xml:space="preserve"> </w:t>
      </w:r>
      <w:r w:rsidR="00212AD2">
        <w:rPr>
          <w:rFonts w:eastAsia="Arial" w:cs="Times New Roman"/>
          <w:szCs w:val="22"/>
        </w:rPr>
        <w:t>budou</w:t>
      </w:r>
      <w:r w:rsidR="00212AD2" w:rsidRPr="00F81E19">
        <w:rPr>
          <w:rFonts w:eastAsia="Arial" w:cs="Times New Roman"/>
          <w:szCs w:val="22"/>
        </w:rPr>
        <w:t xml:space="preserve"> </w:t>
      </w:r>
      <w:r w:rsidRPr="00F81E19">
        <w:rPr>
          <w:rFonts w:eastAsia="Arial" w:cs="Times New Roman"/>
          <w:szCs w:val="22"/>
        </w:rPr>
        <w:t xml:space="preserve">hrazeny pouze bezhotovostní formou (prostřednictvím poskytovatele platebních služeb) a jsou považovány za splněné okamžikem </w:t>
      </w:r>
      <w:r w:rsidR="005D58D5">
        <w:rPr>
          <w:rFonts w:eastAsia="Arial" w:cs="Times New Roman"/>
          <w:szCs w:val="22"/>
        </w:rPr>
        <w:t xml:space="preserve">odepsání </w:t>
      </w:r>
      <w:r w:rsidRPr="00F81E19">
        <w:rPr>
          <w:rFonts w:eastAsia="Arial" w:cs="Times New Roman"/>
          <w:szCs w:val="22"/>
        </w:rPr>
        <w:t xml:space="preserve">dlužné částky </w:t>
      </w:r>
      <w:r w:rsidR="005D58D5">
        <w:rPr>
          <w:rFonts w:eastAsia="Arial" w:cs="Times New Roman"/>
          <w:szCs w:val="22"/>
        </w:rPr>
        <w:t xml:space="preserve">z bankovního účtu Objednatele </w:t>
      </w:r>
      <w:r w:rsidRPr="00F81E19">
        <w:rPr>
          <w:rFonts w:eastAsia="Arial" w:cs="Times New Roman"/>
          <w:szCs w:val="22"/>
        </w:rPr>
        <w:t xml:space="preserve">na bankovní účet Poskytovatele č. </w:t>
      </w:r>
      <w:r w:rsidRPr="00F81E19">
        <w:rPr>
          <w:rFonts w:cs="Times New Roman"/>
          <w:szCs w:val="22"/>
          <w:highlight w:val="yellow"/>
        </w:rPr>
        <w:t>[*]</w:t>
      </w:r>
      <w:r w:rsidRPr="00F81E19">
        <w:rPr>
          <w:rFonts w:eastAsia="Arial" w:cs="Times New Roman"/>
          <w:szCs w:val="22"/>
        </w:rPr>
        <w:t xml:space="preserve"> vedený u </w:t>
      </w:r>
      <w:r w:rsidRPr="00F81E19">
        <w:rPr>
          <w:rFonts w:cs="Times New Roman"/>
          <w:szCs w:val="22"/>
          <w:highlight w:val="yellow"/>
        </w:rPr>
        <w:t>[*]</w:t>
      </w:r>
      <w:r w:rsidRPr="00F81E19">
        <w:rPr>
          <w:rFonts w:cs="Times New Roman"/>
          <w:szCs w:val="22"/>
        </w:rPr>
        <w:t xml:space="preserve"> </w:t>
      </w:r>
      <w:r w:rsidRPr="00F81E19">
        <w:rPr>
          <w:rFonts w:eastAsia="Arial" w:cs="Times New Roman"/>
          <w:szCs w:val="22"/>
        </w:rPr>
        <w:t>nebo na příslušném platebním dokladu (například faktura, předpis záloh, upomínka), a to pod variabilním symbolem uvedeným v</w:t>
      </w:r>
      <w:r w:rsidR="00823A87" w:rsidRPr="00F81E19">
        <w:rPr>
          <w:rFonts w:eastAsia="Arial" w:cs="Times New Roman"/>
          <w:szCs w:val="22"/>
        </w:rPr>
        <w:t> </w:t>
      </w:r>
      <w:r w:rsidRPr="00F81E19">
        <w:rPr>
          <w:rFonts w:eastAsia="Arial" w:cs="Times New Roman"/>
          <w:szCs w:val="22"/>
        </w:rPr>
        <w:t>příslušném platebním dokladu, na jehož základě je tato částka účtována.</w:t>
      </w:r>
    </w:p>
    <w:p w14:paraId="5CD8DAFD" w14:textId="7E820599" w:rsidR="0009376A" w:rsidRDefault="0009376A" w:rsidP="004E5A86">
      <w:pPr>
        <w:pStyle w:val="Nadpis1"/>
        <w:keepNext w:val="0"/>
        <w:spacing w:before="120" w:after="120"/>
        <w:rPr>
          <w:rFonts w:cs="Times New Roman"/>
          <w:szCs w:val="22"/>
        </w:rPr>
      </w:pPr>
      <w:bookmarkStart w:id="25" w:name="_Ref134087300"/>
      <w:r>
        <w:rPr>
          <w:rFonts w:cs="Times New Roman"/>
          <w:szCs w:val="22"/>
        </w:rPr>
        <w:t>Garance Dostupnosti</w:t>
      </w:r>
    </w:p>
    <w:p w14:paraId="7D835EF3" w14:textId="5839D02B" w:rsidR="001A6FD9" w:rsidRDefault="0009376A" w:rsidP="000C6E62">
      <w:pPr>
        <w:pStyle w:val="Clanek11"/>
      </w:pPr>
      <w:bookmarkStart w:id="26" w:name="_Ref148470682"/>
      <w:r>
        <w:t xml:space="preserve">Poskytovatel se zavazuje po Dobu trvání Smlouvy poskytovat Objednateli Základní služby uvedené v této Smlouvě takovým způsobem a tak, aby </w:t>
      </w:r>
      <w:r w:rsidR="00A6087F">
        <w:t xml:space="preserve">byla v každém </w:t>
      </w:r>
      <w:r w:rsidR="001A6FD9">
        <w:t xml:space="preserve">12měsíčním </w:t>
      </w:r>
      <w:r w:rsidR="00A6087F">
        <w:t>výrobním období</w:t>
      </w:r>
      <w:r w:rsidR="001A6FD9">
        <w:t xml:space="preserve"> p</w:t>
      </w:r>
      <w:r w:rsidR="00A6087F">
        <w:t>o Dobu trvání této Smlouvy dodržena</w:t>
      </w:r>
      <w:r w:rsidR="001A6FD9">
        <w:t xml:space="preserve"> </w:t>
      </w:r>
      <w:r w:rsidR="00C76658">
        <w:t>měřená průměrná dostupnost</w:t>
      </w:r>
      <w:r w:rsidR="001A6FD9">
        <w:t>, která bude stejná nebo vyšší než</w:t>
      </w:r>
      <w:r w:rsidR="00A6087F">
        <w:t xml:space="preserve"> (i) garantovaná úroveň dostupnosti každé jednotlivé zprovozněné a předané FVE</w:t>
      </w:r>
      <w:r w:rsidR="001A6FD9">
        <w:t xml:space="preserve"> v daném výrobním období</w:t>
      </w:r>
      <w:r w:rsidR="00A6087F">
        <w:t>, jakož i (</w:t>
      </w:r>
      <w:proofErr w:type="spellStart"/>
      <w:r w:rsidR="00A6087F">
        <w:t>ii</w:t>
      </w:r>
      <w:proofErr w:type="spellEnd"/>
      <w:r w:rsidR="00A6087F">
        <w:t xml:space="preserve">) garantovaná úroveň dostupnosti všech zprovozněných a předaných FVE společně </w:t>
      </w:r>
      <w:r w:rsidR="001A6FD9">
        <w:t>v daném výrobním období těchto FVE, a to následovně:</w:t>
      </w:r>
    </w:p>
    <w:tbl>
      <w:tblPr>
        <w:tblStyle w:val="Mkatabulky"/>
        <w:tblW w:w="0" w:type="auto"/>
        <w:tblInd w:w="1129" w:type="dxa"/>
        <w:tblLook w:val="04A0" w:firstRow="1" w:lastRow="0" w:firstColumn="1" w:lastColumn="0" w:noHBand="0" w:noVBand="1"/>
      </w:tblPr>
      <w:tblGrid>
        <w:gridCol w:w="4820"/>
        <w:gridCol w:w="3112"/>
      </w:tblGrid>
      <w:tr w:rsidR="001A6FD9" w14:paraId="349A4A01" w14:textId="77777777" w:rsidTr="000C6E62">
        <w:tc>
          <w:tcPr>
            <w:tcW w:w="4820" w:type="dxa"/>
            <w:tcBorders>
              <w:top w:val="single" w:sz="4" w:space="0" w:color="auto"/>
              <w:left w:val="single" w:sz="4" w:space="0" w:color="auto"/>
              <w:bottom w:val="single" w:sz="4" w:space="0" w:color="auto"/>
              <w:right w:val="single" w:sz="4" w:space="0" w:color="auto"/>
            </w:tcBorders>
            <w:vAlign w:val="center"/>
            <w:hideMark/>
          </w:tcPr>
          <w:p w14:paraId="7D9CDF2E" w14:textId="77777777" w:rsidR="001A6FD9" w:rsidRPr="000C6E62" w:rsidRDefault="001A6FD9">
            <w:pPr>
              <w:jc w:val="center"/>
              <w:rPr>
                <w:b/>
                <w:szCs w:val="22"/>
                <w:lang w:eastAsia="cs-CZ"/>
              </w:rPr>
            </w:pPr>
            <w:r w:rsidRPr="000C6E62">
              <w:rPr>
                <w:b/>
                <w:szCs w:val="22"/>
              </w:rPr>
              <w:t>Definice</w:t>
            </w:r>
          </w:p>
        </w:tc>
        <w:tc>
          <w:tcPr>
            <w:tcW w:w="3112" w:type="dxa"/>
            <w:tcBorders>
              <w:top w:val="single" w:sz="4" w:space="0" w:color="auto"/>
              <w:left w:val="single" w:sz="4" w:space="0" w:color="auto"/>
              <w:bottom w:val="single" w:sz="4" w:space="0" w:color="auto"/>
              <w:right w:val="single" w:sz="4" w:space="0" w:color="auto"/>
            </w:tcBorders>
            <w:vAlign w:val="center"/>
            <w:hideMark/>
          </w:tcPr>
          <w:p w14:paraId="062AD782" w14:textId="7A2E9E4A" w:rsidR="001A6FD9" w:rsidRPr="000C6E62" w:rsidRDefault="001A6FD9">
            <w:pPr>
              <w:jc w:val="center"/>
              <w:rPr>
                <w:b/>
                <w:szCs w:val="22"/>
              </w:rPr>
            </w:pPr>
            <w:r w:rsidRPr="000C6E62">
              <w:rPr>
                <w:b/>
                <w:szCs w:val="22"/>
              </w:rPr>
              <w:t>Garantovaná</w:t>
            </w:r>
            <w:r w:rsidR="00825BB4">
              <w:rPr>
                <w:b/>
                <w:szCs w:val="22"/>
              </w:rPr>
              <w:t xml:space="preserve"> průměrná</w:t>
            </w:r>
            <w:r w:rsidRPr="000C6E62">
              <w:rPr>
                <w:b/>
                <w:szCs w:val="22"/>
              </w:rPr>
              <w:t xml:space="preserve"> dostupnost</w:t>
            </w:r>
            <w:r w:rsidR="00825BB4">
              <w:rPr>
                <w:b/>
                <w:szCs w:val="22"/>
              </w:rPr>
              <w:t xml:space="preserve"> </w:t>
            </w:r>
            <w:r w:rsidR="00553BCA">
              <w:rPr>
                <w:b/>
                <w:szCs w:val="22"/>
              </w:rPr>
              <w:t>za rok</w:t>
            </w:r>
          </w:p>
        </w:tc>
      </w:tr>
      <w:tr w:rsidR="001A6FD9" w14:paraId="23528CEE" w14:textId="77777777" w:rsidTr="000C6E62">
        <w:tc>
          <w:tcPr>
            <w:tcW w:w="4820" w:type="dxa"/>
            <w:tcBorders>
              <w:top w:val="single" w:sz="4" w:space="0" w:color="auto"/>
              <w:left w:val="single" w:sz="4" w:space="0" w:color="auto"/>
              <w:bottom w:val="single" w:sz="4" w:space="0" w:color="auto"/>
              <w:right w:val="single" w:sz="4" w:space="0" w:color="auto"/>
            </w:tcBorders>
            <w:vAlign w:val="center"/>
            <w:hideMark/>
          </w:tcPr>
          <w:p w14:paraId="1E15CF8C" w14:textId="697B660B" w:rsidR="001A6FD9" w:rsidRPr="000C6E62" w:rsidRDefault="001A6FD9">
            <w:pPr>
              <w:pStyle w:val="Odstavecseseznamem"/>
              <w:ind w:left="10" w:hanging="10"/>
              <w:rPr>
                <w:szCs w:val="22"/>
              </w:rPr>
            </w:pPr>
            <w:r w:rsidRPr="000C6E62">
              <w:rPr>
                <w:szCs w:val="22"/>
              </w:rPr>
              <w:t>Garantovaná dostupnost pro každou z jednotlivých FVE v prvním 12měsíčním výrobním období (1. rok od předání a uvedení do provozu dané FVE).</w:t>
            </w:r>
          </w:p>
        </w:tc>
        <w:tc>
          <w:tcPr>
            <w:tcW w:w="3112" w:type="dxa"/>
            <w:tcBorders>
              <w:top w:val="single" w:sz="4" w:space="0" w:color="auto"/>
              <w:left w:val="single" w:sz="4" w:space="0" w:color="auto"/>
              <w:bottom w:val="single" w:sz="4" w:space="0" w:color="auto"/>
              <w:right w:val="single" w:sz="4" w:space="0" w:color="auto"/>
            </w:tcBorders>
            <w:vAlign w:val="center"/>
            <w:hideMark/>
          </w:tcPr>
          <w:p w14:paraId="45C7F6C4" w14:textId="72262CE1" w:rsidR="001A6FD9" w:rsidRPr="000C6E62" w:rsidRDefault="001A6FD9">
            <w:pPr>
              <w:jc w:val="center"/>
              <w:rPr>
                <w:szCs w:val="22"/>
                <w:highlight w:val="yellow"/>
              </w:rPr>
            </w:pPr>
            <w:r w:rsidRPr="000C6E62">
              <w:rPr>
                <w:szCs w:val="22"/>
                <w:highlight w:val="yellow"/>
              </w:rPr>
              <w:t>[Doplní Poskytovatel</w:t>
            </w:r>
            <w:r w:rsidR="00825BB4">
              <w:rPr>
                <w:szCs w:val="22"/>
                <w:highlight w:val="yellow"/>
              </w:rPr>
              <w:t xml:space="preserve"> v %</w:t>
            </w:r>
            <w:r w:rsidRPr="000C6E62">
              <w:rPr>
                <w:szCs w:val="22"/>
                <w:highlight w:val="yellow"/>
              </w:rPr>
              <w:t>, nejméně 90 %]</w:t>
            </w:r>
            <w:r w:rsidR="002E2BBB">
              <w:rPr>
                <w:rStyle w:val="Znakapoznpodarou"/>
                <w:szCs w:val="22"/>
                <w:highlight w:val="yellow"/>
              </w:rPr>
              <w:footnoteReference w:id="2"/>
            </w:r>
          </w:p>
        </w:tc>
      </w:tr>
      <w:tr w:rsidR="001A6FD9" w14:paraId="0E626379" w14:textId="77777777" w:rsidTr="000C6E62">
        <w:tc>
          <w:tcPr>
            <w:tcW w:w="4820" w:type="dxa"/>
            <w:tcBorders>
              <w:top w:val="single" w:sz="4" w:space="0" w:color="auto"/>
              <w:left w:val="single" w:sz="4" w:space="0" w:color="auto"/>
              <w:bottom w:val="single" w:sz="4" w:space="0" w:color="auto"/>
              <w:right w:val="single" w:sz="4" w:space="0" w:color="auto"/>
            </w:tcBorders>
            <w:vAlign w:val="center"/>
            <w:hideMark/>
          </w:tcPr>
          <w:p w14:paraId="219578DE" w14:textId="039EF064" w:rsidR="001A6FD9" w:rsidRPr="000C6E62" w:rsidRDefault="001A6FD9">
            <w:pPr>
              <w:pStyle w:val="Odstavecseseznamem"/>
              <w:ind w:left="10" w:hanging="10"/>
              <w:rPr>
                <w:szCs w:val="22"/>
              </w:rPr>
            </w:pPr>
            <w:r w:rsidRPr="000C6E62">
              <w:rPr>
                <w:szCs w:val="22"/>
              </w:rPr>
              <w:t>Garantovaná dostupnost pro každou z jednotlivých FVE za každé 12měsíční výrobní období během let následujících po prvním roce od uvedení do provozu (2. rok od uvedení do provozu a dále).</w:t>
            </w:r>
          </w:p>
        </w:tc>
        <w:tc>
          <w:tcPr>
            <w:tcW w:w="3112" w:type="dxa"/>
            <w:tcBorders>
              <w:top w:val="single" w:sz="4" w:space="0" w:color="auto"/>
              <w:left w:val="single" w:sz="4" w:space="0" w:color="auto"/>
              <w:bottom w:val="single" w:sz="4" w:space="0" w:color="auto"/>
              <w:right w:val="single" w:sz="4" w:space="0" w:color="auto"/>
            </w:tcBorders>
            <w:vAlign w:val="center"/>
            <w:hideMark/>
          </w:tcPr>
          <w:p w14:paraId="7E4A95D1" w14:textId="5920BF93" w:rsidR="001A6FD9" w:rsidRPr="000C6E62" w:rsidRDefault="001A6FD9">
            <w:pPr>
              <w:jc w:val="center"/>
              <w:rPr>
                <w:szCs w:val="22"/>
                <w:highlight w:val="yellow"/>
              </w:rPr>
            </w:pPr>
            <w:r w:rsidRPr="000C6E62">
              <w:rPr>
                <w:szCs w:val="22"/>
                <w:highlight w:val="yellow"/>
              </w:rPr>
              <w:t>[Doplní Poskytovatel</w:t>
            </w:r>
            <w:r w:rsidR="00825BB4">
              <w:rPr>
                <w:szCs w:val="22"/>
                <w:highlight w:val="yellow"/>
              </w:rPr>
              <w:t xml:space="preserve"> v %</w:t>
            </w:r>
            <w:r w:rsidRPr="000C6E62">
              <w:rPr>
                <w:szCs w:val="22"/>
                <w:highlight w:val="yellow"/>
              </w:rPr>
              <w:t>, nejméně 92 %]</w:t>
            </w:r>
            <w:r w:rsidR="002E2BBB">
              <w:rPr>
                <w:rStyle w:val="Znakapoznpodarou"/>
                <w:szCs w:val="22"/>
                <w:highlight w:val="yellow"/>
              </w:rPr>
              <w:footnoteReference w:id="3"/>
            </w:r>
          </w:p>
        </w:tc>
      </w:tr>
    </w:tbl>
    <w:bookmarkEnd w:id="26"/>
    <w:p w14:paraId="124B635E" w14:textId="454CC03A" w:rsidR="007A0728" w:rsidRDefault="00C76658" w:rsidP="000C6E62">
      <w:pPr>
        <w:pStyle w:val="Clanek11"/>
      </w:pPr>
      <w:r>
        <w:t>Měřená</w:t>
      </w:r>
      <w:r w:rsidR="004A3B33">
        <w:t xml:space="preserve"> průměrná</w:t>
      </w:r>
      <w:r>
        <w:t xml:space="preserve"> </w:t>
      </w:r>
      <w:r w:rsidR="007A0728" w:rsidRPr="004E230C">
        <w:t xml:space="preserve">dostupnost bude </w:t>
      </w:r>
      <w:r>
        <w:t xml:space="preserve">zjišťována </w:t>
      </w:r>
      <w:r w:rsidR="007A0728" w:rsidRPr="004E230C">
        <w:t xml:space="preserve">a vykazována </w:t>
      </w:r>
      <w:r w:rsidR="007A0728">
        <w:t xml:space="preserve">pro každou FVE zvlášť </w:t>
      </w:r>
      <w:r w:rsidR="007A0728" w:rsidRPr="004E230C">
        <w:t>na měsíční bázi s roční zprávou o dostupnosti</w:t>
      </w:r>
      <w:r>
        <w:t xml:space="preserve"> pro každou FVE</w:t>
      </w:r>
      <w:r w:rsidR="007A0728">
        <w:t xml:space="preserve">, kterou dodá Poskytovatel pro každou FVE za každé </w:t>
      </w:r>
      <w:proofErr w:type="gramStart"/>
      <w:r w:rsidR="007A0728">
        <w:t>12 měsíční</w:t>
      </w:r>
      <w:proofErr w:type="gramEnd"/>
      <w:r w:rsidR="007A0728">
        <w:t xml:space="preserve"> </w:t>
      </w:r>
      <w:r>
        <w:t xml:space="preserve">výrobní </w:t>
      </w:r>
      <w:r w:rsidR="007A0728">
        <w:t xml:space="preserve">období </w:t>
      </w:r>
      <w:r>
        <w:t xml:space="preserve">této FVE do 15 dnů </w:t>
      </w:r>
      <w:r w:rsidR="000C2092">
        <w:t>o</w:t>
      </w:r>
      <w:r>
        <w:t xml:space="preserve">d skončení každého 12 měsíčního výrobního období. </w:t>
      </w:r>
    </w:p>
    <w:p w14:paraId="09C0CCE3" w14:textId="2C775148" w:rsidR="00C76658" w:rsidRDefault="00C76658" w:rsidP="000C6E62">
      <w:pPr>
        <w:pStyle w:val="Clanek11"/>
      </w:pPr>
      <w:r>
        <w:t xml:space="preserve">Měřená </w:t>
      </w:r>
      <w:r w:rsidR="004A3B33">
        <w:t xml:space="preserve">průměrná </w:t>
      </w:r>
      <w:r>
        <w:t xml:space="preserve">dostupnost se stanoví </w:t>
      </w:r>
      <w:r w:rsidR="00060D4F">
        <w:t xml:space="preserve">pro každou FVE a každé </w:t>
      </w:r>
      <w:proofErr w:type="gramStart"/>
      <w:r w:rsidR="00060D4F">
        <w:t>12 měsíční</w:t>
      </w:r>
      <w:proofErr w:type="gramEnd"/>
      <w:r w:rsidR="00060D4F">
        <w:t xml:space="preserve"> období trvání této Smlouvy </w:t>
      </w:r>
      <w:r>
        <w:t>podle následujícího vztahu:</w:t>
      </w:r>
    </w:p>
    <w:p w14:paraId="4480D6CA" w14:textId="4FA073F8" w:rsidR="00C76658" w:rsidRDefault="00C76658" w:rsidP="000C6E62">
      <w:pPr>
        <w:pStyle w:val="Nadpis1"/>
        <w:numPr>
          <w:ilvl w:val="0"/>
          <w:numId w:val="0"/>
        </w:numPr>
        <w:ind w:left="567"/>
      </w:pPr>
      <w:r w:rsidRPr="00C76658">
        <w:rPr>
          <w:noProof/>
        </w:rPr>
        <w:drawing>
          <wp:inline distT="0" distB="0" distL="0" distR="0" wp14:anchorId="247D3A7D" wp14:editId="239CC0E2">
            <wp:extent cx="5758180" cy="323850"/>
            <wp:effectExtent l="0" t="0" r="0" b="0"/>
            <wp:docPr id="5556078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180" cy="323850"/>
                    </a:xfrm>
                    <a:prstGeom prst="rect">
                      <a:avLst/>
                    </a:prstGeom>
                    <a:noFill/>
                    <a:ln>
                      <a:noFill/>
                    </a:ln>
                  </pic:spPr>
                </pic:pic>
              </a:graphicData>
            </a:graphic>
          </wp:inline>
        </w:drawing>
      </w:r>
    </w:p>
    <w:p w14:paraId="4012707E" w14:textId="77777777" w:rsidR="00C76658" w:rsidRDefault="00C76658" w:rsidP="00C76658"/>
    <w:p w14:paraId="572AE1F0" w14:textId="2D76C28D" w:rsidR="00C76658" w:rsidRDefault="00C76658" w:rsidP="000C6E62">
      <w:pPr>
        <w:ind w:left="1134"/>
      </w:pPr>
      <w:r>
        <w:t>kde:</w:t>
      </w:r>
    </w:p>
    <w:p w14:paraId="232A9931" w14:textId="3A34BFAB" w:rsidR="00C76658" w:rsidRDefault="00C76658" w:rsidP="000C6E62">
      <w:pPr>
        <w:ind w:left="3402" w:hanging="2268"/>
      </w:pPr>
      <w:r>
        <w:rPr>
          <w:b/>
          <w:bCs/>
        </w:rPr>
        <w:t>D</w:t>
      </w:r>
      <w:r w:rsidRPr="000C6E62">
        <w:rPr>
          <w:b/>
          <w:bCs/>
        </w:rPr>
        <w:t>oba připojení k síti</w:t>
      </w:r>
      <w:r>
        <w:tab/>
        <w:t xml:space="preserve">představuje </w:t>
      </w:r>
      <w:r w:rsidRPr="00EB6B61">
        <w:t>počet hodin</w:t>
      </w:r>
      <w:r w:rsidR="00D208D8">
        <w:t xml:space="preserve"> v daném </w:t>
      </w:r>
      <w:proofErr w:type="gramStart"/>
      <w:r w:rsidR="00D208D8">
        <w:t>12 měsíčním</w:t>
      </w:r>
      <w:proofErr w:type="gramEnd"/>
      <w:r w:rsidR="00D208D8">
        <w:t xml:space="preserve"> období</w:t>
      </w:r>
      <w:r w:rsidRPr="00EB6B61">
        <w:t xml:space="preserve">, během kterých jsou všechny moduly a střídače nainstalované v rámci </w:t>
      </w:r>
      <w:r w:rsidR="00947167">
        <w:t>měřené FVE</w:t>
      </w:r>
      <w:r w:rsidRPr="00EB6B61">
        <w:t xml:space="preserve"> připojeny k síti a jsou k dispozici pro export energie </w:t>
      </w:r>
      <w:r w:rsidRPr="00EB6B61">
        <w:lastRenderedPageBreak/>
        <w:t>do sítě a elektrárn</w:t>
      </w:r>
      <w:r w:rsidR="00947167">
        <w:t>a</w:t>
      </w:r>
      <w:r w:rsidRPr="00EB6B61">
        <w:t xml:space="preserve"> </w:t>
      </w:r>
      <w:r w:rsidR="00947167">
        <w:t xml:space="preserve">je </w:t>
      </w:r>
      <w:r w:rsidRPr="00EB6B61">
        <w:t>schopn</w:t>
      </w:r>
      <w:r w:rsidR="00947167">
        <w:t>a</w:t>
      </w:r>
      <w:r w:rsidRPr="00EB6B61">
        <w:t xml:space="preserve"> přeměnit veškerou energii přijatou ze slunce a </w:t>
      </w:r>
      <w:r>
        <w:t xml:space="preserve">předat </w:t>
      </w:r>
      <w:r w:rsidRPr="00EB6B61">
        <w:t>j</w:t>
      </w:r>
      <w:r>
        <w:t>i</w:t>
      </w:r>
      <w:r w:rsidRPr="00EB6B61">
        <w:t xml:space="preserve"> do sítě.</w:t>
      </w:r>
      <w:r>
        <w:t xml:space="preserve"> </w:t>
      </w:r>
    </w:p>
    <w:p w14:paraId="3443C0F2" w14:textId="77777777" w:rsidR="00C76658" w:rsidRDefault="00C76658" w:rsidP="00C76658">
      <w:pPr>
        <w:tabs>
          <w:tab w:val="left" w:pos="2127"/>
        </w:tabs>
        <w:ind w:left="2127" w:hanging="2127"/>
      </w:pPr>
    </w:p>
    <w:p w14:paraId="20C3239C" w14:textId="1E71A790" w:rsidR="00BA156B" w:rsidRDefault="00C76658" w:rsidP="00BA156B">
      <w:pPr>
        <w:ind w:left="3402" w:hanging="2268"/>
        <w:rPr>
          <w:szCs w:val="22"/>
        </w:rPr>
      </w:pPr>
      <w:r w:rsidRPr="000C6E62">
        <w:rPr>
          <w:b/>
          <w:bCs/>
        </w:rPr>
        <w:t>Možná dostupná doba</w:t>
      </w:r>
      <w:r w:rsidRPr="000C6E62">
        <w:rPr>
          <w:b/>
          <w:bCs/>
        </w:rPr>
        <w:tab/>
      </w:r>
      <w:r w:rsidR="00F1170B">
        <w:t>8 760 hodin</w:t>
      </w:r>
      <w:r w:rsidR="00BA156B">
        <w:t xml:space="preserve"> </w:t>
      </w:r>
      <w:r w:rsidR="00BA156B" w:rsidRPr="00BA156B">
        <w:t xml:space="preserve">(v případě přechodného kalendářního roku bude ve vzorcích </w:t>
      </w:r>
      <w:r w:rsidR="00543C4D">
        <w:t xml:space="preserve">Měřené průměrné dostupnosti, jakož i </w:t>
      </w:r>
      <w:r w:rsidR="005A3EDC">
        <w:t xml:space="preserve">Pokuty na nedostupnost a </w:t>
      </w:r>
      <w:proofErr w:type="gramStart"/>
      <w:r w:rsidR="005A3EDC">
        <w:t>dalších  vzorců</w:t>
      </w:r>
      <w:proofErr w:type="gramEnd"/>
      <w:r w:rsidR="005A3EDC">
        <w:t xml:space="preserve"> uvedených v této Smlouvě </w:t>
      </w:r>
      <w:r w:rsidR="00BA156B" w:rsidRPr="00BA156B">
        <w:t>místo hodnoty 8 760 hodin hodnota 8 784 hodin)</w:t>
      </w:r>
    </w:p>
    <w:p w14:paraId="3D346D65" w14:textId="648B4570" w:rsidR="00C76658" w:rsidRPr="00C76658" w:rsidRDefault="00C76658" w:rsidP="000C6E62">
      <w:pPr>
        <w:ind w:left="3402" w:hanging="2268"/>
      </w:pPr>
      <w:r w:rsidRPr="000C6E62">
        <w:rPr>
          <w:b/>
          <w:bCs/>
        </w:rPr>
        <w:t>Vyloučená doba</w:t>
      </w:r>
      <w:r w:rsidRPr="000C6E62">
        <w:rPr>
          <w:b/>
          <w:bCs/>
        </w:rPr>
        <w:tab/>
      </w:r>
      <w:r w:rsidRPr="00C76658">
        <w:t>hodiny, kdy</w:t>
      </w:r>
      <w:r w:rsidR="00947167">
        <w:t xml:space="preserve"> </w:t>
      </w:r>
      <w:r w:rsidR="00947167" w:rsidRPr="00EB6B61">
        <w:t xml:space="preserve">všechny moduly a střídače nainstalované v rámci </w:t>
      </w:r>
      <w:r w:rsidR="00947167">
        <w:t xml:space="preserve">měřené FVE </w:t>
      </w:r>
      <w:proofErr w:type="gramStart"/>
      <w:r w:rsidR="00947167">
        <w:t xml:space="preserve">nebyly </w:t>
      </w:r>
      <w:r w:rsidR="00947167" w:rsidRPr="00EB6B61">
        <w:t xml:space="preserve"> připojeny</w:t>
      </w:r>
      <w:proofErr w:type="gramEnd"/>
      <w:r w:rsidR="00947167" w:rsidRPr="00EB6B61">
        <w:t xml:space="preserve"> k síti a </w:t>
      </w:r>
      <w:r w:rsidR="00947167">
        <w:t xml:space="preserve">nebyly </w:t>
      </w:r>
      <w:r w:rsidR="00947167" w:rsidRPr="00EB6B61">
        <w:t>k dispozici pro export energie do sítě a elektrárn</w:t>
      </w:r>
      <w:r w:rsidR="00947167">
        <w:t>a</w:t>
      </w:r>
      <w:r w:rsidR="00947167" w:rsidRPr="00EB6B61">
        <w:t xml:space="preserve"> </w:t>
      </w:r>
      <w:r w:rsidR="00947167">
        <w:t xml:space="preserve">nebyla </w:t>
      </w:r>
      <w:r w:rsidR="00947167" w:rsidRPr="00EB6B61">
        <w:t>schopn</w:t>
      </w:r>
      <w:r w:rsidR="00947167">
        <w:t>a</w:t>
      </w:r>
      <w:r w:rsidR="00947167" w:rsidRPr="00EB6B61">
        <w:t xml:space="preserve"> přeměnit veškerou energii přijatou ze slunce a </w:t>
      </w:r>
      <w:r w:rsidR="00947167">
        <w:t xml:space="preserve">předat </w:t>
      </w:r>
      <w:r w:rsidR="00947167" w:rsidRPr="00EB6B61">
        <w:t>j</w:t>
      </w:r>
      <w:r w:rsidR="00947167">
        <w:t>i</w:t>
      </w:r>
      <w:r w:rsidR="00947167" w:rsidRPr="00EB6B61">
        <w:t xml:space="preserve"> do sítě</w:t>
      </w:r>
      <w:r w:rsidR="00947167">
        <w:t xml:space="preserve"> výlučně z důvodu ležících výlučně na straně Objednatele</w:t>
      </w:r>
      <w:r w:rsidRPr="00C76658">
        <w:t>.</w:t>
      </w:r>
    </w:p>
    <w:p w14:paraId="2F176DF2" w14:textId="19970F94" w:rsidR="00C76658" w:rsidRDefault="00C76658" w:rsidP="000C6E62">
      <w:pPr>
        <w:ind w:left="3402" w:hanging="2268"/>
      </w:pPr>
      <w:r w:rsidRPr="000C6E62">
        <w:rPr>
          <w:b/>
          <w:bCs/>
        </w:rPr>
        <w:t>Vyšší moc</w:t>
      </w:r>
      <w:r>
        <w:tab/>
      </w:r>
      <w:r w:rsidR="00C138D4" w:rsidRPr="00C76658">
        <w:t>hodiny, kdy</w:t>
      </w:r>
      <w:r w:rsidR="00C138D4">
        <w:t xml:space="preserve"> </w:t>
      </w:r>
      <w:r w:rsidR="00C138D4" w:rsidRPr="00EB6B61">
        <w:t xml:space="preserve">všechny moduly a střídače nainstalované v rámci </w:t>
      </w:r>
      <w:r w:rsidR="00C138D4">
        <w:t>měřené FVE nebyly</w:t>
      </w:r>
      <w:r w:rsidR="00C138D4" w:rsidRPr="00EB6B61">
        <w:t xml:space="preserve"> připojeny k síti a </w:t>
      </w:r>
      <w:r w:rsidR="00C138D4">
        <w:t xml:space="preserve">nebyly </w:t>
      </w:r>
      <w:r w:rsidR="00C138D4" w:rsidRPr="00EB6B61">
        <w:t>k dispozici pro export energie do sítě a elektrárn</w:t>
      </w:r>
      <w:r w:rsidR="00C138D4">
        <w:t>a</w:t>
      </w:r>
      <w:r w:rsidR="00C138D4" w:rsidRPr="00EB6B61">
        <w:t xml:space="preserve"> </w:t>
      </w:r>
      <w:r w:rsidR="00C138D4">
        <w:t xml:space="preserve">nebyla </w:t>
      </w:r>
      <w:r w:rsidR="00C138D4" w:rsidRPr="00EB6B61">
        <w:t>schopn</w:t>
      </w:r>
      <w:r w:rsidR="00C138D4">
        <w:t>a</w:t>
      </w:r>
      <w:r w:rsidR="00C138D4" w:rsidRPr="00EB6B61">
        <w:t xml:space="preserve"> přeměnit veškerou energii přijatou ze slunce a </w:t>
      </w:r>
      <w:r w:rsidR="00C138D4">
        <w:t xml:space="preserve">předat </w:t>
      </w:r>
      <w:r w:rsidR="00C138D4" w:rsidRPr="00EB6B61">
        <w:t>j</w:t>
      </w:r>
      <w:r w:rsidR="00C138D4">
        <w:t>i</w:t>
      </w:r>
      <w:r w:rsidR="00C138D4" w:rsidRPr="00EB6B61">
        <w:t xml:space="preserve"> do sítě</w:t>
      </w:r>
      <w:r w:rsidR="00C138D4">
        <w:t xml:space="preserve"> výlučně z důvodu Vyšší moci</w:t>
      </w:r>
      <w:r w:rsidRPr="007F0512">
        <w:t xml:space="preserve">. </w:t>
      </w:r>
    </w:p>
    <w:p w14:paraId="5B24BEB4" w14:textId="595AAA11" w:rsidR="00C76658" w:rsidRPr="004E230C" w:rsidRDefault="00C76658" w:rsidP="000C6E62">
      <w:pPr>
        <w:tabs>
          <w:tab w:val="left" w:pos="2127"/>
        </w:tabs>
        <w:ind w:left="1134"/>
      </w:pPr>
      <w:r w:rsidRPr="007F0512">
        <w:t xml:space="preserve">Pro účely výpočtu a posouzení </w:t>
      </w:r>
      <w:r>
        <w:t>M</w:t>
      </w:r>
      <w:r w:rsidRPr="007F0512">
        <w:t xml:space="preserve">ěřené průměrné dostupnosti musí být </w:t>
      </w:r>
      <w:r>
        <w:t>V</w:t>
      </w:r>
      <w:r w:rsidRPr="007F0512">
        <w:t xml:space="preserve">yloučené hodiny a </w:t>
      </w:r>
      <w:r w:rsidR="004A3B33">
        <w:t xml:space="preserve">hodiny </w:t>
      </w:r>
      <w:r>
        <w:t>V</w:t>
      </w:r>
      <w:r w:rsidRPr="007F0512">
        <w:t xml:space="preserve">yšší moci řádně zdokumentovány </w:t>
      </w:r>
      <w:r>
        <w:t>P</w:t>
      </w:r>
      <w:r w:rsidRPr="007F0512">
        <w:t>oskytovatelem služby a připojeny ke zprávě o dostupnosti.</w:t>
      </w:r>
      <w:r w:rsidR="000C6E62">
        <w:t xml:space="preserve"> Selhání monitorovacího systému nelze v žádném případě považovat za Vyloučené hodiny, ani za událost Vyšší moci</w:t>
      </w:r>
      <w:r w:rsidR="00153D55">
        <w:t xml:space="preserve"> </w:t>
      </w:r>
      <w:r w:rsidR="000C6E62">
        <w:t>a po dobu trvání selhání monitorovacího systému se má každá FVE, jíž se selhání týká, za nepřipojen</w:t>
      </w:r>
      <w:r w:rsidR="003F62C2">
        <w:t>ou</w:t>
      </w:r>
      <w:r w:rsidR="000C6E62">
        <w:t xml:space="preserve"> k síti. </w:t>
      </w:r>
    </w:p>
    <w:p w14:paraId="5F4A8C59" w14:textId="063B2540" w:rsidR="00290F11" w:rsidRDefault="0009376A">
      <w:pPr>
        <w:pStyle w:val="Clanek11"/>
      </w:pPr>
      <w:r>
        <w:t xml:space="preserve">V případě porušení </w:t>
      </w:r>
      <w:r w:rsidR="00A6087F">
        <w:t xml:space="preserve">povinnosti uvedené v článku </w:t>
      </w:r>
      <w:r w:rsidR="00A6087F">
        <w:fldChar w:fldCharType="begin"/>
      </w:r>
      <w:r w:rsidR="00A6087F">
        <w:instrText xml:space="preserve"> REF _Ref148470682 \r \h </w:instrText>
      </w:r>
      <w:r w:rsidR="00A6087F">
        <w:fldChar w:fldCharType="separate"/>
      </w:r>
      <w:r w:rsidR="00A6087F">
        <w:t>5.1</w:t>
      </w:r>
      <w:r w:rsidR="00A6087F">
        <w:fldChar w:fldCharType="end"/>
      </w:r>
      <w:r>
        <w:t xml:space="preserve"> výše</w:t>
      </w:r>
      <w:r w:rsidR="00290F11">
        <w:t xml:space="preserve"> ve vztahu k jakékoliv FVE</w:t>
      </w:r>
      <w:r>
        <w:t>, tj.</w:t>
      </w:r>
      <w:r w:rsidR="000C6E62">
        <w:t xml:space="preserve"> pokud</w:t>
      </w:r>
      <w:r>
        <w:t xml:space="preserve"> naměřená průměrná dostupnost za </w:t>
      </w:r>
      <w:r w:rsidR="00F6558B">
        <w:t xml:space="preserve">dané </w:t>
      </w:r>
      <w:proofErr w:type="gramStart"/>
      <w:r w:rsidR="00F6558B">
        <w:t>12 měsíční</w:t>
      </w:r>
      <w:proofErr w:type="gramEnd"/>
      <w:r w:rsidR="00F6558B">
        <w:t xml:space="preserve"> </w:t>
      </w:r>
      <w:r>
        <w:t xml:space="preserve">výrobní období je </w:t>
      </w:r>
      <w:r w:rsidR="005C4994">
        <w:t>ve vztahu k</w:t>
      </w:r>
      <w:r w:rsidR="0054576E">
        <w:t> dané FVE</w:t>
      </w:r>
      <w:r w:rsidR="005C4994">
        <w:t xml:space="preserve"> </w:t>
      </w:r>
      <w:r>
        <w:t>nižší než příslušná Garantovaná průměrná dostupnost, zaplatí Poskytovatel smluvní pokutu</w:t>
      </w:r>
      <w:r w:rsidR="00A6087F">
        <w:t xml:space="preserve"> </w:t>
      </w:r>
      <w:r>
        <w:t>(„</w:t>
      </w:r>
      <w:r w:rsidRPr="00DD7A87">
        <w:rPr>
          <w:b/>
        </w:rPr>
        <w:t>Pokuta za nedostupnost</w:t>
      </w:r>
      <w:r>
        <w:t>“)</w:t>
      </w:r>
      <w:r w:rsidR="0022030E">
        <w:t xml:space="preserve">. </w:t>
      </w:r>
    </w:p>
    <w:p w14:paraId="6C40BBCF" w14:textId="3D21D741" w:rsidR="00290F11" w:rsidRDefault="0022030E">
      <w:pPr>
        <w:pStyle w:val="Clanek11"/>
      </w:pPr>
      <w:r>
        <w:t xml:space="preserve">Pokuta za </w:t>
      </w:r>
      <w:r w:rsidR="00DD7A87">
        <w:t>ne</w:t>
      </w:r>
      <w:r>
        <w:t xml:space="preserve">dostupnost se stanoví </w:t>
      </w:r>
      <w:r w:rsidR="00953EF0">
        <w:t xml:space="preserve">pro každou jednotlivou FVE zvlášť </w:t>
      </w:r>
      <w:r w:rsidR="00290F11">
        <w:t xml:space="preserve">dle následujícího vzorce: </w:t>
      </w:r>
    </w:p>
    <w:p w14:paraId="137816E5" w14:textId="11C16F44" w:rsidR="0092273D" w:rsidRDefault="006B4618" w:rsidP="0092273D">
      <w:pPr>
        <w:pStyle w:val="Clanek11"/>
        <w:numPr>
          <w:ilvl w:val="0"/>
          <w:numId w:val="0"/>
        </w:numPr>
        <w:ind w:left="1135"/>
        <w:jc w:val="center"/>
        <w:rPr>
          <w:b/>
          <w:bCs w:val="0"/>
        </w:rPr>
      </w:pPr>
      <w:r w:rsidRPr="003344AA">
        <w:rPr>
          <w:b/>
          <w:bCs w:val="0"/>
        </w:rPr>
        <w:t>PN = (</w:t>
      </w:r>
      <w:proofErr w:type="spellStart"/>
      <w:proofErr w:type="gramStart"/>
      <w:r w:rsidR="00F25AE3" w:rsidRPr="003344AA">
        <w:rPr>
          <w:b/>
          <w:bCs w:val="0"/>
        </w:rPr>
        <w:t>HN</w:t>
      </w:r>
      <w:r w:rsidR="00953EF0" w:rsidRPr="003344AA">
        <w:rPr>
          <w:b/>
          <w:bCs w:val="0"/>
          <w:vertAlign w:val="subscript"/>
        </w:rPr>
        <w:t>skut</w:t>
      </w:r>
      <w:proofErr w:type="spellEnd"/>
      <w:r w:rsidR="00F25AE3" w:rsidRPr="003344AA">
        <w:rPr>
          <w:b/>
          <w:bCs w:val="0"/>
          <w:vertAlign w:val="subscript"/>
        </w:rPr>
        <w:t xml:space="preserve"> </w:t>
      </w:r>
      <w:r w:rsidR="000938B5" w:rsidRPr="003344AA">
        <w:rPr>
          <w:b/>
          <w:bCs w:val="0"/>
        </w:rPr>
        <w:t>-</w:t>
      </w:r>
      <w:r w:rsidR="00F25AE3" w:rsidRPr="003344AA">
        <w:rPr>
          <w:b/>
          <w:bCs w:val="0"/>
          <w:vertAlign w:val="subscript"/>
        </w:rPr>
        <w:t xml:space="preserve"> </w:t>
      </w:r>
      <w:proofErr w:type="spellStart"/>
      <w:r w:rsidR="00F25AE3" w:rsidRPr="003344AA">
        <w:rPr>
          <w:b/>
          <w:bCs w:val="0"/>
        </w:rPr>
        <w:t>HN</w:t>
      </w:r>
      <w:r w:rsidR="00F65AC4" w:rsidRPr="003344AA">
        <w:rPr>
          <w:b/>
          <w:bCs w:val="0"/>
          <w:vertAlign w:val="subscript"/>
        </w:rPr>
        <w:t>po</w:t>
      </w:r>
      <w:r w:rsidR="00A80218">
        <w:rPr>
          <w:b/>
          <w:bCs w:val="0"/>
          <w:vertAlign w:val="subscript"/>
        </w:rPr>
        <w:t>v</w:t>
      </w:r>
      <w:proofErr w:type="spellEnd"/>
      <w:proofErr w:type="gramEnd"/>
      <w:r w:rsidR="00F65AC4" w:rsidRPr="003344AA">
        <w:rPr>
          <w:b/>
          <w:bCs w:val="0"/>
        </w:rPr>
        <w:t xml:space="preserve">) </w:t>
      </w:r>
      <w:r w:rsidR="0092273D" w:rsidRPr="003344AA">
        <w:rPr>
          <w:b/>
          <w:bCs w:val="0"/>
        </w:rPr>
        <w:t>x</w:t>
      </w:r>
      <w:r w:rsidR="000938B5" w:rsidRPr="003344AA">
        <w:rPr>
          <w:b/>
          <w:bCs w:val="0"/>
        </w:rPr>
        <w:t xml:space="preserve"> </w:t>
      </w:r>
      <w:proofErr w:type="spellStart"/>
      <w:r w:rsidR="000938B5" w:rsidRPr="003344AA">
        <w:rPr>
          <w:b/>
          <w:bCs w:val="0"/>
        </w:rPr>
        <w:t>InstV</w:t>
      </w:r>
      <w:proofErr w:type="spellEnd"/>
      <w:r w:rsidR="000938B5" w:rsidRPr="003344AA">
        <w:rPr>
          <w:b/>
          <w:bCs w:val="0"/>
        </w:rPr>
        <w:t xml:space="preserve"> </w:t>
      </w:r>
      <w:r w:rsidR="0092273D" w:rsidRPr="003344AA">
        <w:rPr>
          <w:b/>
          <w:bCs w:val="0"/>
        </w:rPr>
        <w:t>x</w:t>
      </w:r>
      <w:r w:rsidR="000938B5" w:rsidRPr="003344AA">
        <w:rPr>
          <w:b/>
          <w:bCs w:val="0"/>
        </w:rPr>
        <w:t xml:space="preserve"> </w:t>
      </w:r>
      <w:r w:rsidR="00C35E4F" w:rsidRPr="003344AA">
        <w:rPr>
          <w:b/>
          <w:bCs w:val="0"/>
        </w:rPr>
        <w:t xml:space="preserve">PÚ </w:t>
      </w:r>
      <w:r w:rsidR="0092273D" w:rsidRPr="003344AA">
        <w:rPr>
          <w:b/>
          <w:bCs w:val="0"/>
        </w:rPr>
        <w:t>x</w:t>
      </w:r>
      <w:r w:rsidR="00C35E4F" w:rsidRPr="003344AA">
        <w:rPr>
          <w:b/>
          <w:bCs w:val="0"/>
        </w:rPr>
        <w:t xml:space="preserve"> </w:t>
      </w:r>
      <w:proofErr w:type="spellStart"/>
      <w:r w:rsidR="00C35E4F" w:rsidRPr="003344AA">
        <w:rPr>
          <w:b/>
          <w:bCs w:val="0"/>
        </w:rPr>
        <w:t>FaktorČasu</w:t>
      </w:r>
      <w:proofErr w:type="spellEnd"/>
      <w:r w:rsidR="00C35E4F" w:rsidRPr="003344AA">
        <w:rPr>
          <w:b/>
          <w:bCs w:val="0"/>
        </w:rPr>
        <w:t xml:space="preserve"> </w:t>
      </w:r>
      <w:r w:rsidR="0092273D" w:rsidRPr="003344AA">
        <w:rPr>
          <w:b/>
          <w:bCs w:val="0"/>
        </w:rPr>
        <w:t xml:space="preserve">x </w:t>
      </w:r>
      <w:proofErr w:type="spellStart"/>
      <w:r w:rsidR="0092273D" w:rsidRPr="003344AA">
        <w:rPr>
          <w:b/>
          <w:bCs w:val="0"/>
        </w:rPr>
        <w:t>CenaEnergie</w:t>
      </w:r>
      <w:proofErr w:type="spellEnd"/>
    </w:p>
    <w:p w14:paraId="5F9763C4" w14:textId="77777777" w:rsidR="0092273D" w:rsidRDefault="0092273D" w:rsidP="0092273D">
      <w:pPr>
        <w:pStyle w:val="Clanek11"/>
        <w:numPr>
          <w:ilvl w:val="0"/>
          <w:numId w:val="0"/>
        </w:numPr>
        <w:ind w:left="1135"/>
        <w:rPr>
          <w:b/>
          <w:bCs w:val="0"/>
        </w:rPr>
      </w:pPr>
    </w:p>
    <w:p w14:paraId="3FD66937" w14:textId="1DE29E1F" w:rsidR="0092273D" w:rsidRDefault="0092273D" w:rsidP="0092273D">
      <w:pPr>
        <w:pStyle w:val="Clanek11"/>
        <w:numPr>
          <w:ilvl w:val="0"/>
          <w:numId w:val="0"/>
        </w:numPr>
        <w:ind w:left="1135"/>
        <w:rPr>
          <w:b/>
          <w:bCs w:val="0"/>
        </w:rPr>
      </w:pPr>
      <w:r w:rsidRPr="003344AA">
        <w:t>Kde:</w:t>
      </w:r>
    </w:p>
    <w:p w14:paraId="5AB4D5FA" w14:textId="438EDD90" w:rsidR="0092273D" w:rsidRDefault="0092273D" w:rsidP="0092273D">
      <w:pPr>
        <w:pStyle w:val="Clanek11"/>
        <w:numPr>
          <w:ilvl w:val="0"/>
          <w:numId w:val="0"/>
        </w:numPr>
        <w:ind w:left="1135"/>
      </w:pPr>
      <w:r>
        <w:rPr>
          <w:b/>
          <w:bCs w:val="0"/>
        </w:rPr>
        <w:t>PN</w:t>
      </w:r>
      <w:r>
        <w:rPr>
          <w:b/>
          <w:bCs w:val="0"/>
        </w:rPr>
        <w:tab/>
      </w:r>
      <w:r>
        <w:rPr>
          <w:b/>
          <w:bCs w:val="0"/>
        </w:rPr>
        <w:tab/>
      </w:r>
      <w:r>
        <w:rPr>
          <w:b/>
          <w:bCs w:val="0"/>
        </w:rPr>
        <w:tab/>
      </w:r>
      <w:r w:rsidR="00AE712A" w:rsidRPr="003344AA">
        <w:t>znamená Pokutu za nedostupnost</w:t>
      </w:r>
      <w:r w:rsidR="00693C33">
        <w:t xml:space="preserve"> v korunách českých</w:t>
      </w:r>
    </w:p>
    <w:p w14:paraId="5B69F4FD" w14:textId="2D676FD2" w:rsidR="00BF3688" w:rsidRDefault="00AE712A" w:rsidP="00F46F3E">
      <w:pPr>
        <w:pStyle w:val="Clanek11"/>
        <w:numPr>
          <w:ilvl w:val="0"/>
          <w:numId w:val="0"/>
        </w:numPr>
        <w:ind w:left="2835" w:hanging="1700"/>
      </w:pPr>
      <w:proofErr w:type="spellStart"/>
      <w:r w:rsidRPr="00B17EB9">
        <w:rPr>
          <w:b/>
          <w:bCs w:val="0"/>
        </w:rPr>
        <w:t>HN</w:t>
      </w:r>
      <w:r w:rsidRPr="00B17EB9">
        <w:rPr>
          <w:b/>
          <w:bCs w:val="0"/>
          <w:vertAlign w:val="subscript"/>
        </w:rPr>
        <w:t>skut</w:t>
      </w:r>
      <w:proofErr w:type="spellEnd"/>
      <w:r>
        <w:rPr>
          <w:b/>
          <w:bCs w:val="0"/>
          <w:vertAlign w:val="subscript"/>
        </w:rPr>
        <w:tab/>
      </w:r>
      <w:r>
        <w:rPr>
          <w:b/>
          <w:bCs w:val="0"/>
          <w:vertAlign w:val="subscript"/>
        </w:rPr>
        <w:tab/>
      </w:r>
      <w:r w:rsidRPr="003344AA">
        <w:t xml:space="preserve">znamená skutečný </w:t>
      </w:r>
      <w:r>
        <w:t>počet hodin</w:t>
      </w:r>
      <w:r w:rsidR="00F46F3E">
        <w:t xml:space="preserve"> nefunkčnosti </w:t>
      </w:r>
      <w:r w:rsidR="00672D31">
        <w:t xml:space="preserve">dané FVE </w:t>
      </w:r>
      <w:r w:rsidR="00F46F3E">
        <w:t xml:space="preserve">v daném </w:t>
      </w:r>
      <w:proofErr w:type="gramStart"/>
      <w:r w:rsidR="00F46F3E">
        <w:t>12 měsíčním</w:t>
      </w:r>
      <w:proofErr w:type="gramEnd"/>
      <w:r w:rsidR="00F46F3E">
        <w:t xml:space="preserve">   období, jen</w:t>
      </w:r>
      <w:r w:rsidR="004347D1">
        <w:t>ž</w:t>
      </w:r>
      <w:r w:rsidR="00F46F3E">
        <w:t xml:space="preserve"> se vypočte </w:t>
      </w:r>
      <w:r w:rsidR="007242BD">
        <w:t>následovně</w:t>
      </w:r>
      <w:r w:rsidR="004347D1">
        <w:t xml:space="preserve">:  </w:t>
      </w:r>
    </w:p>
    <w:p w14:paraId="6BE11BF9" w14:textId="6864DFDB" w:rsidR="00AE712A" w:rsidRPr="00AE712A" w:rsidRDefault="00846DE4" w:rsidP="00A9191B">
      <w:pPr>
        <w:pStyle w:val="Clanek11"/>
        <w:numPr>
          <w:ilvl w:val="0"/>
          <w:numId w:val="0"/>
        </w:numPr>
        <w:ind w:left="2835"/>
      </w:pPr>
      <m:oMath>
        <m:r>
          <m:rPr>
            <m:sty m:val="b"/>
          </m:rPr>
          <w:rPr>
            <w:rFonts w:ascii="Cambria Math" w:hAnsi="Cambria Math"/>
          </w:rPr>
          <m:t>HN</m:t>
        </m:r>
        <m:r>
          <m:rPr>
            <m:sty m:val="b"/>
          </m:rPr>
          <w:rPr>
            <w:rFonts w:ascii="Cambria Math" w:hAnsi="Cambria Math"/>
            <w:vertAlign w:val="subscript"/>
          </w:rPr>
          <m:t>skut</m:t>
        </m:r>
        <m:r>
          <w:rPr>
            <w:rFonts w:ascii="Cambria Math" w:hAnsi="Cambria Math"/>
          </w:rPr>
          <m:t xml:space="preserve">=8760 </m:t>
        </m:r>
        <m:f>
          <m:fPr>
            <m:ctrlPr>
              <w:rPr>
                <w:rFonts w:ascii="Cambria Math" w:hAnsi="Cambria Math"/>
                <w:bCs w:val="0"/>
              </w:rPr>
            </m:ctrlPr>
          </m:fPr>
          <m:num>
            <m:r>
              <w:rPr>
                <w:rFonts w:ascii="Cambria Math" w:hAnsi="Cambria Math"/>
              </w:rPr>
              <m:t>100-Měřená průměrná dostupnost</m:t>
            </m:r>
          </m:num>
          <m:den>
            <m:r>
              <w:rPr>
                <w:rFonts w:ascii="Cambria Math" w:hAnsi="Cambria Math"/>
              </w:rPr>
              <m:t>100</m:t>
            </m:r>
          </m:den>
        </m:f>
      </m:oMath>
      <w:r w:rsidR="004347D1">
        <w:rPr>
          <w:b/>
          <w:bCs w:val="0"/>
          <w:vertAlign w:val="subscript"/>
        </w:rPr>
        <w:t xml:space="preserve"> </w:t>
      </w:r>
    </w:p>
    <w:p w14:paraId="69016D9F" w14:textId="266740E9" w:rsidR="0092273D" w:rsidRPr="00C2451C" w:rsidRDefault="00526B89" w:rsidP="003344AA">
      <w:pPr>
        <w:pStyle w:val="Clanek11"/>
        <w:numPr>
          <w:ilvl w:val="0"/>
          <w:numId w:val="0"/>
        </w:numPr>
        <w:ind w:left="2835" w:hanging="1700"/>
      </w:pPr>
      <w:proofErr w:type="spellStart"/>
      <w:r w:rsidRPr="00B17EB9">
        <w:rPr>
          <w:b/>
          <w:bCs w:val="0"/>
        </w:rPr>
        <w:t>HN</w:t>
      </w:r>
      <w:r w:rsidRPr="00B17EB9">
        <w:rPr>
          <w:b/>
          <w:bCs w:val="0"/>
          <w:vertAlign w:val="subscript"/>
        </w:rPr>
        <w:t>po</w:t>
      </w:r>
      <w:r w:rsidR="00A80218">
        <w:rPr>
          <w:b/>
          <w:bCs w:val="0"/>
          <w:vertAlign w:val="subscript"/>
        </w:rPr>
        <w:t>y</w:t>
      </w:r>
      <w:proofErr w:type="spellEnd"/>
      <w:r w:rsidRPr="00526B89">
        <w:rPr>
          <w:b/>
          <w:bCs w:val="0"/>
          <w:vertAlign w:val="subscript"/>
        </w:rPr>
        <w:t xml:space="preserve"> </w:t>
      </w:r>
      <w:r>
        <w:rPr>
          <w:b/>
          <w:bCs w:val="0"/>
          <w:vertAlign w:val="subscript"/>
        </w:rPr>
        <w:tab/>
      </w:r>
      <w:r>
        <w:rPr>
          <w:b/>
          <w:bCs w:val="0"/>
          <w:vertAlign w:val="subscript"/>
        </w:rPr>
        <w:tab/>
      </w:r>
      <w:r w:rsidRPr="00B17EB9">
        <w:t xml:space="preserve">znamená </w:t>
      </w:r>
      <w:r>
        <w:t xml:space="preserve">povolený počet hodin nefunkčnosti v daném </w:t>
      </w:r>
      <w:proofErr w:type="gramStart"/>
      <w:r>
        <w:t>12 měsíčním</w:t>
      </w:r>
      <w:proofErr w:type="gramEnd"/>
      <w:r>
        <w:t xml:space="preserve">   období, jenž se vypočte následovně</w:t>
      </w:r>
      <w:r w:rsidR="00A80218">
        <w:t>:</w:t>
      </w:r>
    </w:p>
    <w:p w14:paraId="41B613CE" w14:textId="23A98924" w:rsidR="00A80218" w:rsidRDefault="009F4A6F" w:rsidP="003344AA">
      <w:pPr>
        <w:pStyle w:val="Nadpis1"/>
        <w:numPr>
          <w:ilvl w:val="0"/>
          <w:numId w:val="0"/>
        </w:numPr>
        <w:ind w:left="2835"/>
      </w:pPr>
      <m:oMathPara>
        <m:oMath>
          <m:r>
            <m:rPr>
              <m:sty m:val="b"/>
            </m:rPr>
            <w:rPr>
              <w:rFonts w:ascii="Cambria Math" w:hAnsi="Cambria Math"/>
            </w:rPr>
            <m:t>HN</m:t>
          </m:r>
          <m:r>
            <m:rPr>
              <m:sty m:val="b"/>
            </m:rPr>
            <w:rPr>
              <w:rFonts w:ascii="Cambria Math" w:hAnsi="Cambria Math"/>
              <w:vertAlign w:val="subscript"/>
            </w:rPr>
            <m:t>pov</m:t>
          </m:r>
          <m:r>
            <m:rPr>
              <m:sty m:val="bi"/>
            </m:rPr>
            <w:rPr>
              <w:rFonts w:ascii="Cambria Math" w:hAnsi="Cambria Math"/>
            </w:rPr>
            <m:t xml:space="preserve">=8760 </m:t>
          </m:r>
          <m:f>
            <m:fPr>
              <m:ctrlPr>
                <w:rPr>
                  <w:rFonts w:ascii="Cambria Math" w:hAnsi="Cambria Math"/>
                  <w:bCs w:val="0"/>
                </w:rPr>
              </m:ctrlPr>
            </m:fPr>
            <m:num>
              <m:r>
                <m:rPr>
                  <m:sty m:val="bi"/>
                </m:rPr>
                <w:rPr>
                  <w:rFonts w:ascii="Cambria Math" w:hAnsi="Cambria Math"/>
                </w:rPr>
                <m:t>100-Garantovaná  průměrná dostupnost</m:t>
              </m:r>
            </m:num>
            <m:den>
              <m:r>
                <m:rPr>
                  <m:sty m:val="bi"/>
                </m:rPr>
                <w:rPr>
                  <w:rFonts w:ascii="Cambria Math" w:hAnsi="Cambria Math"/>
                </w:rPr>
                <m:t>100</m:t>
              </m:r>
            </m:den>
          </m:f>
        </m:oMath>
      </m:oMathPara>
    </w:p>
    <w:p w14:paraId="2D9E3542" w14:textId="5675BA9F" w:rsidR="00A80218" w:rsidRDefault="00672D31" w:rsidP="00672D31">
      <w:pPr>
        <w:pStyle w:val="Clanek11"/>
        <w:numPr>
          <w:ilvl w:val="0"/>
          <w:numId w:val="0"/>
        </w:numPr>
        <w:ind w:left="1135"/>
      </w:pPr>
      <w:proofErr w:type="spellStart"/>
      <w:r w:rsidRPr="003344AA">
        <w:rPr>
          <w:b/>
          <w:bCs w:val="0"/>
        </w:rPr>
        <w:t>InstV</w:t>
      </w:r>
      <w:proofErr w:type="spellEnd"/>
      <w:r>
        <w:rPr>
          <w:b/>
          <w:bCs w:val="0"/>
        </w:rPr>
        <w:tab/>
      </w:r>
      <w:r>
        <w:rPr>
          <w:b/>
          <w:bCs w:val="0"/>
        </w:rPr>
        <w:tab/>
      </w:r>
      <w:r w:rsidRPr="003344AA">
        <w:t>znamená instalovaný výkon dané FVE v</w:t>
      </w:r>
      <w:r>
        <w:t> </w:t>
      </w:r>
      <w:proofErr w:type="spellStart"/>
      <w:r w:rsidRPr="003344AA">
        <w:t>kWp</w:t>
      </w:r>
      <w:proofErr w:type="spellEnd"/>
    </w:p>
    <w:p w14:paraId="6A8700E6" w14:textId="0FC2F1AE" w:rsidR="00672D31" w:rsidRDefault="00672D31" w:rsidP="003344AA">
      <w:pPr>
        <w:pStyle w:val="Clanek11"/>
        <w:numPr>
          <w:ilvl w:val="0"/>
          <w:numId w:val="0"/>
        </w:numPr>
        <w:ind w:left="2835" w:hanging="1701"/>
      </w:pPr>
      <w:r>
        <w:rPr>
          <w:b/>
          <w:bCs w:val="0"/>
        </w:rPr>
        <w:t>PÚ</w:t>
      </w:r>
      <w:r>
        <w:rPr>
          <w:b/>
          <w:bCs w:val="0"/>
        </w:rPr>
        <w:tab/>
      </w:r>
      <w:r>
        <w:rPr>
          <w:b/>
          <w:bCs w:val="0"/>
        </w:rPr>
        <w:tab/>
      </w:r>
      <w:r w:rsidR="005F1401" w:rsidRPr="003344AA">
        <w:t xml:space="preserve">znamená průměrnou účinnost FVE </w:t>
      </w:r>
      <w:r w:rsidR="00B04770">
        <w:t xml:space="preserve">stanoveného dohodou stran ve </w:t>
      </w:r>
      <w:proofErr w:type="gramStart"/>
      <w:r w:rsidR="00B04770">
        <w:t xml:space="preserve">výši </w:t>
      </w:r>
      <w:r w:rsidR="005F1401" w:rsidRPr="003344AA">
        <w:t xml:space="preserve"> 0</w:t>
      </w:r>
      <w:proofErr w:type="gramEnd"/>
      <w:r w:rsidR="005F1401" w:rsidRPr="003344AA">
        <w:t>,6</w:t>
      </w:r>
    </w:p>
    <w:p w14:paraId="76C9452E" w14:textId="128CFF51" w:rsidR="00B04770" w:rsidRDefault="00BE2FE8" w:rsidP="00B04770">
      <w:pPr>
        <w:pStyle w:val="Clanek11"/>
        <w:numPr>
          <w:ilvl w:val="0"/>
          <w:numId w:val="0"/>
        </w:numPr>
        <w:ind w:left="2835" w:hanging="1701"/>
      </w:pPr>
      <w:proofErr w:type="spellStart"/>
      <w:r>
        <w:rPr>
          <w:b/>
          <w:bCs w:val="0"/>
        </w:rPr>
        <w:t>FaktorČasu</w:t>
      </w:r>
      <w:proofErr w:type="spellEnd"/>
      <w:r w:rsidR="00B04770">
        <w:rPr>
          <w:b/>
          <w:bCs w:val="0"/>
        </w:rPr>
        <w:tab/>
      </w:r>
      <w:r w:rsidR="00B04770" w:rsidRPr="003344AA">
        <w:t xml:space="preserve">znamená průměrné využití času k výrobě elektřiny za den </w:t>
      </w:r>
      <w:r w:rsidR="00B04770" w:rsidRPr="00B04770">
        <w:t>stanoveného dohodou stran ve výši 0,5</w:t>
      </w:r>
    </w:p>
    <w:p w14:paraId="0BF328F6" w14:textId="0E55C5F0" w:rsidR="00B04770" w:rsidRDefault="00B04770" w:rsidP="00B04770">
      <w:pPr>
        <w:pStyle w:val="Clanek11"/>
        <w:numPr>
          <w:ilvl w:val="0"/>
          <w:numId w:val="0"/>
        </w:numPr>
        <w:ind w:left="2835" w:hanging="1701"/>
      </w:pPr>
      <w:proofErr w:type="spellStart"/>
      <w:r>
        <w:rPr>
          <w:b/>
          <w:bCs w:val="0"/>
        </w:rPr>
        <w:t>CenaEnergie</w:t>
      </w:r>
      <w:proofErr w:type="spellEnd"/>
      <w:r>
        <w:rPr>
          <w:b/>
          <w:bCs w:val="0"/>
        </w:rPr>
        <w:tab/>
      </w:r>
      <w:r w:rsidR="00FA3495" w:rsidRPr="003344AA">
        <w:t xml:space="preserve">znamená cenu </w:t>
      </w:r>
      <w:r w:rsidR="000A3A0D" w:rsidRPr="003344AA">
        <w:t xml:space="preserve">energie </w:t>
      </w:r>
      <w:r w:rsidR="00FA3495" w:rsidRPr="003344AA">
        <w:t xml:space="preserve">stanovenou dohodou stran ve výši </w:t>
      </w:r>
      <w:r w:rsidR="00693C33" w:rsidRPr="003344AA">
        <w:t>3 Kč/kWh</w:t>
      </w:r>
      <w:r w:rsidR="00637A29">
        <w:t xml:space="preserve">. </w:t>
      </w:r>
      <w:proofErr w:type="spellStart"/>
      <w:r w:rsidR="00637A29">
        <w:lastRenderedPageBreak/>
        <w:t>Cena</w:t>
      </w:r>
      <w:r w:rsidR="00975874">
        <w:t>Energie</w:t>
      </w:r>
      <w:proofErr w:type="spellEnd"/>
      <w:r w:rsidR="00975874">
        <w:t xml:space="preserve"> bude každoročně </w:t>
      </w:r>
      <w:r w:rsidR="00A667D3">
        <w:t xml:space="preserve">k 1. 1. kalendářního roku </w:t>
      </w:r>
      <w:r w:rsidR="00CD463C">
        <w:t xml:space="preserve">Objednatelem upravována obdobně jako Základní odměna postupem uvedeným v článku </w:t>
      </w:r>
      <w:r w:rsidR="00CD463C">
        <w:fldChar w:fldCharType="begin"/>
      </w:r>
      <w:r w:rsidR="00CD463C">
        <w:instrText xml:space="preserve"> REF _Ref152791183 \r \h </w:instrText>
      </w:r>
      <w:r w:rsidR="00CD463C">
        <w:fldChar w:fldCharType="separate"/>
      </w:r>
      <w:r w:rsidR="00CD463C">
        <w:t>4.2</w:t>
      </w:r>
      <w:r w:rsidR="00CD463C">
        <w:fldChar w:fldCharType="end"/>
      </w:r>
      <w:r w:rsidR="00161E38">
        <w:t xml:space="preserve"> této Smlouvy</w:t>
      </w:r>
      <w:r w:rsidR="00A667D3">
        <w:t xml:space="preserve"> a bude uplatněna na nejbližší následující </w:t>
      </w:r>
      <w:proofErr w:type="gramStart"/>
      <w:r w:rsidR="00A667D3">
        <w:t>12 měsíční</w:t>
      </w:r>
      <w:proofErr w:type="gramEnd"/>
      <w:r w:rsidR="00A667D3">
        <w:t xml:space="preserve"> období</w:t>
      </w:r>
      <w:r w:rsidR="00A77D06">
        <w:t xml:space="preserve"> každé FVE</w:t>
      </w:r>
      <w:r w:rsidR="00CD463C">
        <w:t xml:space="preserve">. </w:t>
      </w:r>
    </w:p>
    <w:p w14:paraId="1F4F52DE" w14:textId="77777777" w:rsidR="005A3EDC" w:rsidRDefault="005A3EDC" w:rsidP="00B04770">
      <w:pPr>
        <w:pStyle w:val="Clanek11"/>
        <w:numPr>
          <w:ilvl w:val="0"/>
          <w:numId w:val="0"/>
        </w:numPr>
        <w:ind w:left="2835" w:hanging="1701"/>
      </w:pPr>
    </w:p>
    <w:p w14:paraId="61A5744F" w14:textId="643CB821" w:rsidR="00DD7A87" w:rsidRPr="00637A29" w:rsidRDefault="00637A29" w:rsidP="00A80218">
      <w:pPr>
        <w:pStyle w:val="Clanek11"/>
      </w:pPr>
      <w:bookmarkStart w:id="27" w:name="_Ref152792644"/>
      <w:r w:rsidRPr="003344AA">
        <w:t xml:space="preserve">Bez ohledu na výše uvedené, </w:t>
      </w:r>
      <w:r w:rsidRPr="00637A29">
        <w:t>m</w:t>
      </w:r>
      <w:r w:rsidR="00DD7A87" w:rsidRPr="00637A29">
        <w:t xml:space="preserve">aximální </w:t>
      </w:r>
      <w:r w:rsidR="00315B9E">
        <w:t xml:space="preserve">souhrnná </w:t>
      </w:r>
      <w:r w:rsidR="00DD7A87" w:rsidRPr="00637A29">
        <w:t>výše Pokut za nedostupnost</w:t>
      </w:r>
      <w:r w:rsidR="000A3A0D" w:rsidRPr="00637A29">
        <w:t xml:space="preserve"> </w:t>
      </w:r>
      <w:r w:rsidR="00AD3470">
        <w:t>uplatněných Objednatelem v</w:t>
      </w:r>
      <w:r w:rsidR="00FF042E">
        <w:t xml:space="preserve"> každém </w:t>
      </w:r>
      <w:r w:rsidR="006F36E0">
        <w:t>kalendářním roce</w:t>
      </w:r>
      <w:r w:rsidR="00FF042E">
        <w:t xml:space="preserve"> této Smlouvy </w:t>
      </w:r>
      <w:r w:rsidR="00376DC2">
        <w:t xml:space="preserve">je omezena </w:t>
      </w:r>
      <w:proofErr w:type="gramStart"/>
      <w:r w:rsidR="0035784E" w:rsidRPr="00637A29">
        <w:t>12 násobk</w:t>
      </w:r>
      <w:r w:rsidR="00376DC2">
        <w:t>em</w:t>
      </w:r>
      <w:proofErr w:type="gramEnd"/>
      <w:r w:rsidR="0035784E" w:rsidRPr="00637A29">
        <w:t xml:space="preserve"> </w:t>
      </w:r>
      <w:r w:rsidR="00DD7A87" w:rsidRPr="00637A29">
        <w:t>Základní odměny</w:t>
      </w:r>
      <w:r w:rsidR="0035784E" w:rsidRPr="00637A29">
        <w:t xml:space="preserve"> v</w:t>
      </w:r>
      <w:r w:rsidR="0037066C">
        <w:t xml:space="preserve"> daném </w:t>
      </w:r>
      <w:r w:rsidR="00376DC2">
        <w:t xml:space="preserve">kalendářním </w:t>
      </w:r>
      <w:r w:rsidR="0035784E" w:rsidRPr="00637A29">
        <w:t xml:space="preserve">roce, ve kterém je pokuta Objednatelem uplatněna. </w:t>
      </w:r>
      <w:r w:rsidR="00DD7A87" w:rsidRPr="00637A29">
        <w:t xml:space="preserve"> </w:t>
      </w:r>
      <w:r w:rsidR="00F217AD">
        <w:t>Zaplacením jakékoliv smluvní pokuty dle této Smlouvy není</w:t>
      </w:r>
      <w:r w:rsidR="0037066C">
        <w:t xml:space="preserve"> dotčeno právo </w:t>
      </w:r>
      <w:r w:rsidR="00F217AD">
        <w:t xml:space="preserve">Objednatele </w:t>
      </w:r>
      <w:r w:rsidR="0037066C">
        <w:t xml:space="preserve">na náhradu </w:t>
      </w:r>
      <w:r w:rsidR="00F217AD">
        <w:t xml:space="preserve">újmy </w:t>
      </w:r>
      <w:r w:rsidR="0037066C">
        <w:t xml:space="preserve">ve výši přesahující jakoukoliv smluvní pokutu zaplacenou podle této Smlouvy. </w:t>
      </w:r>
      <w:r w:rsidR="00A5664D" w:rsidRPr="00637A29">
        <w:t xml:space="preserve">Objednatel je oprávněn </w:t>
      </w:r>
      <w:r w:rsidR="00876F01" w:rsidRPr="00637A29">
        <w:t>jakékoliv Pokuty za nedostupnost</w:t>
      </w:r>
      <w:r w:rsidR="00A5664D" w:rsidRPr="00637A29">
        <w:t xml:space="preserve"> </w:t>
      </w:r>
      <w:r w:rsidR="00876F01" w:rsidRPr="00637A29">
        <w:t xml:space="preserve">jednostranně </w:t>
      </w:r>
      <w:r w:rsidR="00A5664D" w:rsidRPr="00637A29">
        <w:t>započíst</w:t>
      </w:r>
      <w:r w:rsidR="00876F01" w:rsidRPr="00637A29">
        <w:t xml:space="preserve"> vůči jakýmkoliv pohledávkám Poskytovatele </w:t>
      </w:r>
      <w:r w:rsidRPr="00637A29">
        <w:t>za Objednatelem, a to včetně nesplatných nebo budoucích pohledávek Poskytovatele za Objednatelem.</w:t>
      </w:r>
      <w:bookmarkEnd w:id="27"/>
      <w:r w:rsidRPr="00637A29">
        <w:t xml:space="preserve"> </w:t>
      </w:r>
    </w:p>
    <w:p w14:paraId="6831405E" w14:textId="2B9DB942" w:rsidR="000D3478" w:rsidRPr="00F81E19" w:rsidRDefault="00152CBC" w:rsidP="004E5A86">
      <w:pPr>
        <w:pStyle w:val="Nadpis1"/>
        <w:keepNext w:val="0"/>
        <w:spacing w:before="120" w:after="120"/>
        <w:rPr>
          <w:rFonts w:cs="Times New Roman"/>
          <w:szCs w:val="22"/>
        </w:rPr>
      </w:pPr>
      <w:r w:rsidRPr="00F81E19">
        <w:rPr>
          <w:rFonts w:cs="Times New Roman"/>
          <w:szCs w:val="22"/>
        </w:rPr>
        <w:t xml:space="preserve">trvání smlouvy; </w:t>
      </w:r>
      <w:r w:rsidR="005567B5" w:rsidRPr="00F81E19">
        <w:rPr>
          <w:rFonts w:cs="Times New Roman"/>
          <w:szCs w:val="22"/>
        </w:rPr>
        <w:t>ukončení smlouvy</w:t>
      </w:r>
      <w:bookmarkEnd w:id="24"/>
      <w:bookmarkEnd w:id="25"/>
    </w:p>
    <w:p w14:paraId="703BFEF4" w14:textId="25A84F11" w:rsidR="00152CBC" w:rsidRPr="00F81E19" w:rsidRDefault="00152CBC" w:rsidP="004E5A86">
      <w:pPr>
        <w:pStyle w:val="Clanek11"/>
        <w:widowControl/>
        <w:rPr>
          <w:rFonts w:cs="Times New Roman"/>
          <w:szCs w:val="22"/>
        </w:rPr>
      </w:pPr>
      <w:bookmarkStart w:id="28" w:name="_Ref134016869"/>
      <w:r w:rsidRPr="00F81E19">
        <w:rPr>
          <w:rFonts w:cs="Times New Roman"/>
          <w:szCs w:val="22"/>
        </w:rPr>
        <w:t>Tato Smlouva se uzavírá na dobu určitou</w:t>
      </w:r>
      <w:r w:rsidR="00BB7F35" w:rsidRPr="00F81E19">
        <w:rPr>
          <w:rFonts w:cs="Times New Roman"/>
          <w:szCs w:val="22"/>
        </w:rPr>
        <w:t xml:space="preserve"> v</w:t>
      </w:r>
      <w:r w:rsidR="00823A87" w:rsidRPr="00F81E19">
        <w:rPr>
          <w:rFonts w:cs="Times New Roman"/>
          <w:szCs w:val="22"/>
        </w:rPr>
        <w:t> </w:t>
      </w:r>
      <w:r w:rsidR="00BB7F35" w:rsidRPr="00F81E19">
        <w:rPr>
          <w:rFonts w:cs="Times New Roman"/>
          <w:szCs w:val="22"/>
        </w:rPr>
        <w:t xml:space="preserve">délce trvání </w:t>
      </w:r>
      <w:r w:rsidR="005D58D5">
        <w:rPr>
          <w:rFonts w:cs="Times New Roman"/>
          <w:szCs w:val="22"/>
        </w:rPr>
        <w:t>od Dne zahájení provozu</w:t>
      </w:r>
      <w:r w:rsidR="00CD20CB">
        <w:rPr>
          <w:rFonts w:cs="Times New Roman"/>
          <w:szCs w:val="22"/>
        </w:rPr>
        <w:t xml:space="preserve"> první</w:t>
      </w:r>
      <w:r w:rsidR="005D58D5">
        <w:rPr>
          <w:rFonts w:cs="Times New Roman"/>
          <w:szCs w:val="22"/>
        </w:rPr>
        <w:t xml:space="preserve"> FVE do </w:t>
      </w:r>
      <w:r w:rsidR="005D58D5" w:rsidRPr="003344AA">
        <w:rPr>
          <w:rFonts w:cs="Times New Roman"/>
          <w:szCs w:val="22"/>
        </w:rPr>
        <w:t xml:space="preserve">uplynutí </w:t>
      </w:r>
      <w:r w:rsidR="003344AA">
        <w:rPr>
          <w:rFonts w:cs="Times New Roman"/>
          <w:szCs w:val="22"/>
        </w:rPr>
        <w:t>deseti (10)</w:t>
      </w:r>
      <w:r w:rsidR="00BB7F35" w:rsidRPr="003344AA">
        <w:rPr>
          <w:rFonts w:cs="Times New Roman"/>
          <w:szCs w:val="22"/>
        </w:rPr>
        <w:t xml:space="preserve"> let</w:t>
      </w:r>
      <w:r w:rsidR="00E94650" w:rsidRPr="003344AA">
        <w:rPr>
          <w:rFonts w:cs="Times New Roman"/>
          <w:szCs w:val="22"/>
        </w:rPr>
        <w:t xml:space="preserve"> od</w:t>
      </w:r>
      <w:r w:rsidR="00E94650" w:rsidRPr="00F81E19">
        <w:rPr>
          <w:rFonts w:cs="Times New Roman"/>
          <w:szCs w:val="22"/>
        </w:rPr>
        <w:t xml:space="preserve"> </w:t>
      </w:r>
      <w:r w:rsidR="005D58D5">
        <w:rPr>
          <w:rFonts w:cs="Times New Roman"/>
          <w:szCs w:val="22"/>
        </w:rPr>
        <w:t>d</w:t>
      </w:r>
      <w:r w:rsidR="00212AD2">
        <w:rPr>
          <w:rFonts w:cs="Times New Roman"/>
          <w:szCs w:val="22"/>
        </w:rPr>
        <w:t>ne</w:t>
      </w:r>
      <w:r w:rsidR="00212AD2" w:rsidRPr="00212AD2">
        <w:rPr>
          <w:rFonts w:cs="Times New Roman"/>
          <w:szCs w:val="22"/>
        </w:rPr>
        <w:t xml:space="preserve"> </w:t>
      </w:r>
      <w:r w:rsidR="006E422F">
        <w:rPr>
          <w:rFonts w:cs="Times New Roman"/>
          <w:szCs w:val="22"/>
        </w:rPr>
        <w:t>uvedení do</w:t>
      </w:r>
      <w:r w:rsidR="006E422F" w:rsidRPr="00212AD2">
        <w:rPr>
          <w:rFonts w:cs="Times New Roman"/>
          <w:szCs w:val="22"/>
        </w:rPr>
        <w:t xml:space="preserve"> </w:t>
      </w:r>
      <w:r w:rsidR="00212AD2" w:rsidRPr="00212AD2">
        <w:rPr>
          <w:rFonts w:cs="Times New Roman"/>
          <w:szCs w:val="22"/>
        </w:rPr>
        <w:t xml:space="preserve">provozu </w:t>
      </w:r>
      <w:r w:rsidR="006E422F">
        <w:rPr>
          <w:rFonts w:cs="Times New Roman"/>
          <w:szCs w:val="22"/>
        </w:rPr>
        <w:t xml:space="preserve">a předání Objednateli </w:t>
      </w:r>
      <w:r w:rsidR="000C6E62">
        <w:rPr>
          <w:rFonts w:cs="Times New Roman"/>
          <w:szCs w:val="22"/>
        </w:rPr>
        <w:t xml:space="preserve">poslední FVE a </w:t>
      </w:r>
      <w:r w:rsidR="006E422F">
        <w:rPr>
          <w:rFonts w:cs="Times New Roman"/>
          <w:szCs w:val="22"/>
        </w:rPr>
        <w:t xml:space="preserve">Díla dle Smlouvy o dílo jako celku </w:t>
      </w:r>
      <w:r w:rsidR="00B2296C" w:rsidRPr="00F81E19">
        <w:rPr>
          <w:rFonts w:cs="Times New Roman"/>
          <w:szCs w:val="22"/>
        </w:rPr>
        <w:t>(„</w:t>
      </w:r>
      <w:r w:rsidR="00B2296C" w:rsidRPr="00F81E19">
        <w:rPr>
          <w:rFonts w:cs="Times New Roman"/>
          <w:b/>
          <w:bCs w:val="0"/>
          <w:szCs w:val="22"/>
        </w:rPr>
        <w:t>Doba trvání Smlouvy</w:t>
      </w:r>
      <w:r w:rsidR="00B2296C" w:rsidRPr="00F81E19">
        <w:rPr>
          <w:rFonts w:cs="Times New Roman"/>
          <w:szCs w:val="22"/>
        </w:rPr>
        <w:t>“).</w:t>
      </w:r>
      <w:bookmarkEnd w:id="28"/>
    </w:p>
    <w:p w14:paraId="56E507C6" w14:textId="600983F6" w:rsidR="00DF19CE" w:rsidRPr="00F81E19" w:rsidRDefault="006E422F" w:rsidP="00DF19CE">
      <w:pPr>
        <w:pStyle w:val="Clanek11"/>
        <w:widowControl/>
        <w:rPr>
          <w:rFonts w:cs="Times New Roman"/>
          <w:szCs w:val="22"/>
        </w:rPr>
      </w:pPr>
      <w:r>
        <w:rPr>
          <w:rFonts w:cs="Times New Roman"/>
          <w:szCs w:val="22"/>
        </w:rPr>
        <w:t xml:space="preserve">Poskytovatel </w:t>
      </w:r>
      <w:r w:rsidR="00DF19CE" w:rsidRPr="00F81E19">
        <w:rPr>
          <w:rFonts w:cs="Times New Roman"/>
          <w:szCs w:val="22"/>
        </w:rPr>
        <w:t>není oprávněn odstoupit od této Smlouvy nebo vypovědět či jinak jednostranně ukončit tuto Smlouvu, s</w:t>
      </w:r>
      <w:r w:rsidR="00823A87" w:rsidRPr="00F81E19">
        <w:rPr>
          <w:rFonts w:cs="Times New Roman"/>
          <w:szCs w:val="22"/>
        </w:rPr>
        <w:t> </w:t>
      </w:r>
      <w:r w:rsidR="00DF19CE" w:rsidRPr="00F81E19">
        <w:rPr>
          <w:rFonts w:cs="Times New Roman"/>
          <w:szCs w:val="22"/>
        </w:rPr>
        <w:t>výjimkou případů uvedených v</w:t>
      </w:r>
      <w:r w:rsidR="00823A87" w:rsidRPr="00F81E19">
        <w:rPr>
          <w:rFonts w:cs="Times New Roman"/>
          <w:szCs w:val="22"/>
        </w:rPr>
        <w:t> </w:t>
      </w:r>
      <w:r w:rsidR="00DF19CE" w:rsidRPr="00F81E19">
        <w:rPr>
          <w:rFonts w:cs="Times New Roman"/>
          <w:szCs w:val="22"/>
        </w:rPr>
        <w:t xml:space="preserve">článku </w:t>
      </w:r>
      <w:r w:rsidR="00E94650" w:rsidRPr="00F81E19">
        <w:rPr>
          <w:rFonts w:cs="Times New Roman"/>
          <w:szCs w:val="22"/>
        </w:rPr>
        <w:fldChar w:fldCharType="begin"/>
      </w:r>
      <w:r w:rsidR="00E94650" w:rsidRPr="00F81E19">
        <w:rPr>
          <w:rFonts w:cs="Times New Roman"/>
          <w:szCs w:val="22"/>
        </w:rPr>
        <w:instrText xml:space="preserve"> REF _Ref134709951 \r \h </w:instrText>
      </w:r>
      <w:r w:rsidR="00F81E19" w:rsidRPr="00F81E19">
        <w:rPr>
          <w:rFonts w:cs="Times New Roman"/>
          <w:szCs w:val="22"/>
        </w:rPr>
        <w:instrText xml:space="preserve"> \* MERGEFORMAT </w:instrText>
      </w:r>
      <w:r w:rsidR="00E94650" w:rsidRPr="00F81E19">
        <w:rPr>
          <w:rFonts w:cs="Times New Roman"/>
          <w:szCs w:val="22"/>
        </w:rPr>
      </w:r>
      <w:r w:rsidR="00E94650" w:rsidRPr="00F81E19">
        <w:rPr>
          <w:rFonts w:cs="Times New Roman"/>
          <w:szCs w:val="22"/>
        </w:rPr>
        <w:fldChar w:fldCharType="separate"/>
      </w:r>
      <w:r w:rsidR="007F550A">
        <w:rPr>
          <w:rFonts w:cs="Times New Roman"/>
          <w:szCs w:val="22"/>
        </w:rPr>
        <w:t>5.4</w:t>
      </w:r>
      <w:r w:rsidR="00E94650" w:rsidRPr="00F81E19">
        <w:rPr>
          <w:rFonts w:cs="Times New Roman"/>
          <w:szCs w:val="22"/>
        </w:rPr>
        <w:fldChar w:fldCharType="end"/>
      </w:r>
      <w:r w:rsidR="00DF19CE" w:rsidRPr="00F81E19">
        <w:rPr>
          <w:rFonts w:cs="Times New Roman"/>
          <w:szCs w:val="22"/>
        </w:rPr>
        <w:t xml:space="preserve"> této Smlouvy.</w:t>
      </w:r>
    </w:p>
    <w:p w14:paraId="2B681F28" w14:textId="46AE3165" w:rsidR="00DF19CE" w:rsidRPr="00F81E19" w:rsidRDefault="00DF19CE" w:rsidP="00DF19CE">
      <w:pPr>
        <w:pStyle w:val="Clanek11"/>
        <w:widowControl/>
        <w:rPr>
          <w:rFonts w:cs="Times New Roman"/>
          <w:szCs w:val="22"/>
        </w:rPr>
      </w:pPr>
      <w:bookmarkStart w:id="29" w:name="_Hlk134087212"/>
      <w:r w:rsidRPr="00F81E19">
        <w:rPr>
          <w:rFonts w:cs="Times New Roman"/>
          <w:szCs w:val="22"/>
        </w:rPr>
        <w:t>Smluvní strany si sjednávají, že použití ustanovení § 1998 až § 2005</w:t>
      </w:r>
      <w:r w:rsidR="0023558E" w:rsidRPr="00F81E19">
        <w:rPr>
          <w:rFonts w:cs="Times New Roman"/>
          <w:szCs w:val="22"/>
        </w:rPr>
        <w:t xml:space="preserve"> </w:t>
      </w:r>
      <w:r w:rsidRPr="00F81E19">
        <w:rPr>
          <w:rFonts w:cs="Times New Roman"/>
          <w:szCs w:val="22"/>
        </w:rPr>
        <w:t>Občanského zákoníku je vyloučeno.</w:t>
      </w:r>
    </w:p>
    <w:p w14:paraId="5E78A649" w14:textId="681867C1" w:rsidR="00BB7F35" w:rsidRPr="00F81E19" w:rsidRDefault="00BB7F35" w:rsidP="00BB7F35">
      <w:pPr>
        <w:pStyle w:val="Clanek11"/>
        <w:rPr>
          <w:rFonts w:cs="Times New Roman"/>
          <w:szCs w:val="22"/>
        </w:rPr>
      </w:pPr>
      <w:bookmarkStart w:id="30" w:name="_Ref134709951"/>
      <w:bookmarkEnd w:id="29"/>
      <w:r w:rsidRPr="00F81E19">
        <w:rPr>
          <w:rFonts w:cs="Times New Roman"/>
          <w:szCs w:val="22"/>
        </w:rPr>
        <w:t xml:space="preserve">Tato Smlouva může být ukončena </w:t>
      </w:r>
      <w:r w:rsidR="0023558E" w:rsidRPr="00F81E19">
        <w:rPr>
          <w:rFonts w:cs="Times New Roman"/>
          <w:szCs w:val="22"/>
        </w:rPr>
        <w:t>následujícími způsoby</w:t>
      </w:r>
      <w:r w:rsidR="00212AD2">
        <w:rPr>
          <w:rFonts w:cs="Times New Roman"/>
          <w:szCs w:val="22"/>
        </w:rPr>
        <w:t xml:space="preserve"> v následujících případech</w:t>
      </w:r>
      <w:r w:rsidRPr="00F81E19">
        <w:rPr>
          <w:rFonts w:cs="Times New Roman"/>
          <w:szCs w:val="22"/>
        </w:rPr>
        <w:t>:</w:t>
      </w:r>
      <w:bookmarkEnd w:id="30"/>
      <w:r w:rsidRPr="00F81E19">
        <w:rPr>
          <w:rFonts w:cs="Times New Roman"/>
          <w:szCs w:val="22"/>
        </w:rPr>
        <w:t xml:space="preserve"> </w:t>
      </w:r>
    </w:p>
    <w:p w14:paraId="2127B586" w14:textId="597FEE34" w:rsidR="00B2296C" w:rsidRPr="00F81E19" w:rsidRDefault="00BB7F35" w:rsidP="000C6E62">
      <w:pPr>
        <w:pStyle w:val="Preambule"/>
        <w:numPr>
          <w:ilvl w:val="1"/>
          <w:numId w:val="16"/>
        </w:numPr>
        <w:ind w:left="1560" w:hanging="426"/>
        <w:rPr>
          <w:szCs w:val="22"/>
        </w:rPr>
      </w:pPr>
      <w:r w:rsidRPr="00F81E19">
        <w:rPr>
          <w:szCs w:val="22"/>
        </w:rPr>
        <w:t>písemnou dohodou S</w:t>
      </w:r>
      <w:r w:rsidR="00D00A11">
        <w:rPr>
          <w:szCs w:val="22"/>
        </w:rPr>
        <w:t>mluvních s</w:t>
      </w:r>
      <w:r w:rsidRPr="00F81E19">
        <w:rPr>
          <w:szCs w:val="22"/>
        </w:rPr>
        <w:t>tran k</w:t>
      </w:r>
      <w:r w:rsidR="00823A87" w:rsidRPr="00F81E19">
        <w:rPr>
          <w:szCs w:val="22"/>
        </w:rPr>
        <w:t> </w:t>
      </w:r>
      <w:r w:rsidRPr="00F81E19">
        <w:rPr>
          <w:szCs w:val="22"/>
        </w:rPr>
        <w:t>datu uvedenému v</w:t>
      </w:r>
      <w:r w:rsidR="00823A87" w:rsidRPr="00F81E19">
        <w:rPr>
          <w:szCs w:val="22"/>
        </w:rPr>
        <w:t> </w:t>
      </w:r>
      <w:r w:rsidRPr="00F81E19">
        <w:rPr>
          <w:szCs w:val="22"/>
        </w:rPr>
        <w:t>takové dohodě;</w:t>
      </w:r>
    </w:p>
    <w:p w14:paraId="2CF4DCB9" w14:textId="74FA2E1E" w:rsidR="00B2296C" w:rsidRPr="00F81E19" w:rsidRDefault="00BB7F35" w:rsidP="000C6E62">
      <w:pPr>
        <w:pStyle w:val="Preambule"/>
        <w:numPr>
          <w:ilvl w:val="1"/>
          <w:numId w:val="16"/>
        </w:numPr>
        <w:ind w:left="1560" w:hanging="426"/>
        <w:rPr>
          <w:szCs w:val="22"/>
        </w:rPr>
      </w:pPr>
      <w:r w:rsidRPr="00F81E19">
        <w:rPr>
          <w:szCs w:val="22"/>
        </w:rPr>
        <w:t xml:space="preserve">uplynutím Doby </w:t>
      </w:r>
      <w:r w:rsidR="00B2296C" w:rsidRPr="00F81E19">
        <w:rPr>
          <w:szCs w:val="22"/>
        </w:rPr>
        <w:t>trvání Smlouvy</w:t>
      </w:r>
      <w:r w:rsidR="00212AD2">
        <w:rPr>
          <w:szCs w:val="22"/>
        </w:rPr>
        <w:t xml:space="preserve"> (pokud nedojde k </w:t>
      </w:r>
      <w:r w:rsidR="00D00A11">
        <w:rPr>
          <w:szCs w:val="22"/>
        </w:rPr>
        <w:t>p</w:t>
      </w:r>
      <w:r w:rsidR="00212AD2">
        <w:rPr>
          <w:szCs w:val="22"/>
        </w:rPr>
        <w:t>rolongaci)</w:t>
      </w:r>
      <w:r w:rsidRPr="00F81E19">
        <w:rPr>
          <w:szCs w:val="22"/>
        </w:rPr>
        <w:t xml:space="preserve">; </w:t>
      </w:r>
    </w:p>
    <w:p w14:paraId="7D82C505" w14:textId="3F638985" w:rsidR="0023558E" w:rsidRPr="00F81E19" w:rsidRDefault="009933F4" w:rsidP="000C6E62">
      <w:pPr>
        <w:pStyle w:val="Preambule"/>
        <w:numPr>
          <w:ilvl w:val="1"/>
          <w:numId w:val="16"/>
        </w:numPr>
        <w:ind w:left="1560" w:hanging="426"/>
        <w:rPr>
          <w:szCs w:val="22"/>
        </w:rPr>
      </w:pPr>
      <w:r w:rsidRPr="00F81E19">
        <w:rPr>
          <w:szCs w:val="22"/>
        </w:rPr>
        <w:t>Objednatel je oprávněn tuto Smlouvu vypovědět</w:t>
      </w:r>
      <w:r>
        <w:rPr>
          <w:szCs w:val="22"/>
        </w:rPr>
        <w:t xml:space="preserve"> i bez výpovědní doby, případně s výpovědní dobou v délce stanovené Objednatelem ve výpovědi v délce maximálně 12 měsíců,</w:t>
      </w:r>
      <w:r w:rsidRPr="00F81E19">
        <w:rPr>
          <w:szCs w:val="22"/>
        </w:rPr>
        <w:t xml:space="preserve"> </w:t>
      </w:r>
      <w:r w:rsidR="00BB7F35" w:rsidRPr="00F81E19">
        <w:rPr>
          <w:szCs w:val="22"/>
        </w:rPr>
        <w:t xml:space="preserve">pokud </w:t>
      </w:r>
      <w:r w:rsidR="006E422F">
        <w:rPr>
          <w:szCs w:val="22"/>
        </w:rPr>
        <w:t>dojde k ukončení Smlouvy o dílo z jakéhokoliv důvodu;</w:t>
      </w:r>
    </w:p>
    <w:p w14:paraId="2FC030FC" w14:textId="341F0377" w:rsidR="00EF0B76" w:rsidRDefault="00E37735" w:rsidP="000C6E62">
      <w:pPr>
        <w:pStyle w:val="Preambule"/>
        <w:numPr>
          <w:ilvl w:val="1"/>
          <w:numId w:val="16"/>
        </w:numPr>
        <w:ind w:left="1560" w:hanging="426"/>
        <w:rPr>
          <w:szCs w:val="22"/>
        </w:rPr>
      </w:pPr>
      <w:r w:rsidRPr="00F81E19">
        <w:rPr>
          <w:szCs w:val="22"/>
        </w:rPr>
        <w:t>Objednatel je oprávněn tuto Smlouvu vypovědět</w:t>
      </w:r>
      <w:r w:rsidR="00EF0B76">
        <w:rPr>
          <w:szCs w:val="22"/>
        </w:rPr>
        <w:t xml:space="preserve"> </w:t>
      </w:r>
      <w:r w:rsidR="00FA15C3">
        <w:rPr>
          <w:szCs w:val="22"/>
        </w:rPr>
        <w:t xml:space="preserve">i </w:t>
      </w:r>
      <w:r w:rsidR="00EF0B76">
        <w:rPr>
          <w:szCs w:val="22"/>
        </w:rPr>
        <w:t>bez výpovědní doby</w:t>
      </w:r>
      <w:r w:rsidR="00FA15C3">
        <w:rPr>
          <w:szCs w:val="22"/>
        </w:rPr>
        <w:t>, případně s výpovědní dobou v délce stanovené Objednatelem ve výpovědi</w:t>
      </w:r>
      <w:r w:rsidR="009933F4">
        <w:rPr>
          <w:szCs w:val="22"/>
        </w:rPr>
        <w:t xml:space="preserve"> v délce maximálně 12 měsíců</w:t>
      </w:r>
      <w:r w:rsidR="00212AD2">
        <w:rPr>
          <w:szCs w:val="22"/>
        </w:rPr>
        <w:t>,</w:t>
      </w:r>
      <w:r w:rsidRPr="00F81E19">
        <w:rPr>
          <w:szCs w:val="22"/>
        </w:rPr>
        <w:t xml:space="preserve"> pokud Objednatel </w:t>
      </w:r>
      <w:r w:rsidR="00212AD2" w:rsidRPr="00F81E19">
        <w:rPr>
          <w:szCs w:val="22"/>
        </w:rPr>
        <w:t>přesta</w:t>
      </w:r>
      <w:r w:rsidR="00212AD2">
        <w:rPr>
          <w:szCs w:val="22"/>
        </w:rPr>
        <w:t>ne</w:t>
      </w:r>
      <w:r w:rsidR="00212AD2" w:rsidRPr="00F81E19">
        <w:rPr>
          <w:szCs w:val="22"/>
        </w:rPr>
        <w:t xml:space="preserve"> </w:t>
      </w:r>
      <w:r w:rsidRPr="00F81E19">
        <w:rPr>
          <w:szCs w:val="22"/>
        </w:rPr>
        <w:t>být držitelem licence k</w:t>
      </w:r>
      <w:r w:rsidR="00823A87" w:rsidRPr="00F81E19">
        <w:rPr>
          <w:szCs w:val="22"/>
        </w:rPr>
        <w:t> </w:t>
      </w:r>
      <w:r w:rsidRPr="00F81E19">
        <w:rPr>
          <w:szCs w:val="22"/>
        </w:rPr>
        <w:t>výrobě elektrické energie či jiného povolení nezbytné</w:t>
      </w:r>
      <w:r w:rsidR="00D00A11">
        <w:rPr>
          <w:szCs w:val="22"/>
        </w:rPr>
        <w:t>ho</w:t>
      </w:r>
      <w:r w:rsidRPr="00F81E19">
        <w:rPr>
          <w:szCs w:val="22"/>
        </w:rPr>
        <w:t xml:space="preserve"> k</w:t>
      </w:r>
      <w:r w:rsidR="00823A87" w:rsidRPr="00F81E19">
        <w:rPr>
          <w:szCs w:val="22"/>
        </w:rPr>
        <w:t> </w:t>
      </w:r>
      <w:r w:rsidRPr="00F81E19">
        <w:rPr>
          <w:szCs w:val="22"/>
        </w:rPr>
        <w:t>provozu FVE, a to bez ohledu na příčinu a zavinění takové ztráty</w:t>
      </w:r>
      <w:r w:rsidR="00EF0B76">
        <w:rPr>
          <w:szCs w:val="22"/>
        </w:rPr>
        <w:t>;</w:t>
      </w:r>
    </w:p>
    <w:p w14:paraId="1877EBF6" w14:textId="267AE63D" w:rsidR="00EF0B76" w:rsidRDefault="009933F4" w:rsidP="000C6E62">
      <w:pPr>
        <w:pStyle w:val="Preambule"/>
        <w:numPr>
          <w:ilvl w:val="1"/>
          <w:numId w:val="16"/>
        </w:numPr>
        <w:ind w:left="1560" w:hanging="426"/>
        <w:rPr>
          <w:szCs w:val="22"/>
        </w:rPr>
      </w:pPr>
      <w:r w:rsidRPr="00F81E19">
        <w:rPr>
          <w:szCs w:val="22"/>
        </w:rPr>
        <w:t>Objednatel je oprávněn tuto Smlouvu vypovědět</w:t>
      </w:r>
      <w:r>
        <w:rPr>
          <w:szCs w:val="22"/>
        </w:rPr>
        <w:t xml:space="preserve"> i bez výpovědní doby, případně s výpovědní dobou v délce stanovené Objednatelem ve výpovědi v délce maximálně 12 měsíců,</w:t>
      </w:r>
      <w:r w:rsidRPr="00F81E19">
        <w:rPr>
          <w:szCs w:val="22"/>
        </w:rPr>
        <w:t xml:space="preserve"> </w:t>
      </w:r>
      <w:r w:rsidR="00EF0B76" w:rsidRPr="00EF0B76">
        <w:rPr>
          <w:szCs w:val="22"/>
        </w:rPr>
        <w:t xml:space="preserve">pokud (i) soud rozhodne o úpadku </w:t>
      </w:r>
      <w:r w:rsidR="00EF0B76">
        <w:rPr>
          <w:szCs w:val="22"/>
        </w:rPr>
        <w:t>Poskytovatele</w:t>
      </w:r>
      <w:r w:rsidR="00EF0B76" w:rsidRPr="00EF0B76">
        <w:rPr>
          <w:szCs w:val="22"/>
        </w:rPr>
        <w:t>; nebo (</w:t>
      </w:r>
      <w:proofErr w:type="spellStart"/>
      <w:r w:rsidR="00EF0B76" w:rsidRPr="00EF0B76">
        <w:rPr>
          <w:szCs w:val="22"/>
        </w:rPr>
        <w:t>ii</w:t>
      </w:r>
      <w:proofErr w:type="spellEnd"/>
      <w:r w:rsidR="00EF0B76" w:rsidRPr="00EF0B76">
        <w:rPr>
          <w:szCs w:val="22"/>
        </w:rPr>
        <w:t xml:space="preserve">) </w:t>
      </w:r>
      <w:r w:rsidR="00EF0B76">
        <w:rPr>
          <w:szCs w:val="22"/>
        </w:rPr>
        <w:t xml:space="preserve">Poskytovatel </w:t>
      </w:r>
      <w:r w:rsidR="00EF0B76" w:rsidRPr="00EF0B76">
        <w:rPr>
          <w:szCs w:val="22"/>
        </w:rPr>
        <w:t>podá insolvenční návrh na svou osobu ve smyslu ustanovení zákona č. 182/2006 Sb., o úpadku a způsobech jeho řešení (insolvenční zákon), v platném znění</w:t>
      </w:r>
      <w:r w:rsidR="00EF0B76">
        <w:rPr>
          <w:szCs w:val="22"/>
        </w:rPr>
        <w:t>, anebo (</w:t>
      </w:r>
      <w:proofErr w:type="spellStart"/>
      <w:r w:rsidR="00EF0B76">
        <w:rPr>
          <w:szCs w:val="22"/>
        </w:rPr>
        <w:t>i</w:t>
      </w:r>
      <w:r w:rsidR="00994B14">
        <w:rPr>
          <w:szCs w:val="22"/>
        </w:rPr>
        <w:t>ii</w:t>
      </w:r>
      <w:proofErr w:type="spellEnd"/>
      <w:r w:rsidR="00EF0B76">
        <w:rPr>
          <w:szCs w:val="22"/>
        </w:rPr>
        <w:t>) Poskytovatel vstoupí do likvidace</w:t>
      </w:r>
      <w:r w:rsidR="00EF0B76" w:rsidRPr="00EF0B76">
        <w:rPr>
          <w:szCs w:val="22"/>
        </w:rPr>
        <w:t>.</w:t>
      </w:r>
    </w:p>
    <w:p w14:paraId="0CFB0F77" w14:textId="36903866" w:rsidR="002C41B3" w:rsidRDefault="009933F4" w:rsidP="000C6E62">
      <w:pPr>
        <w:pStyle w:val="Preambule"/>
        <w:numPr>
          <w:ilvl w:val="1"/>
          <w:numId w:val="16"/>
        </w:numPr>
        <w:ind w:left="1560" w:hanging="426"/>
        <w:rPr>
          <w:szCs w:val="22"/>
        </w:rPr>
      </w:pPr>
      <w:r w:rsidRPr="00F81E19">
        <w:rPr>
          <w:szCs w:val="22"/>
        </w:rPr>
        <w:t>Objednatel je oprávněn tuto Smlouvu vypovědět</w:t>
      </w:r>
      <w:r>
        <w:rPr>
          <w:szCs w:val="22"/>
        </w:rPr>
        <w:t xml:space="preserve"> i bez výpovědní doby, případně s výpovědní dobou v délce stanovené Objednatelem ve výpovědi v délce maximálně 12 měsíců,</w:t>
      </w:r>
      <w:r w:rsidRPr="00F81E19">
        <w:rPr>
          <w:szCs w:val="22"/>
        </w:rPr>
        <w:t xml:space="preserve"> </w:t>
      </w:r>
      <w:r w:rsidR="00EF0B76">
        <w:rPr>
          <w:szCs w:val="22"/>
        </w:rPr>
        <w:t xml:space="preserve">pokud Poskytovatel </w:t>
      </w:r>
      <w:proofErr w:type="gramStart"/>
      <w:r w:rsidR="00EF0B76">
        <w:rPr>
          <w:szCs w:val="22"/>
        </w:rPr>
        <w:t>poruší</w:t>
      </w:r>
      <w:proofErr w:type="gramEnd"/>
      <w:r w:rsidR="00EF0B76">
        <w:rPr>
          <w:szCs w:val="22"/>
        </w:rPr>
        <w:t xml:space="preserve"> jakoukoliv svou povinnost dle této Smlouvy a tuto nenapraví ani v dodatečné lhůtě, kterou mu k tomu Objednatel poskytne, která nesmí být kratší než 15 dnů.</w:t>
      </w:r>
    </w:p>
    <w:p w14:paraId="6B955249" w14:textId="04119DDF" w:rsidR="00EF0B76" w:rsidRPr="00EF0B76" w:rsidRDefault="009933F4" w:rsidP="000C6E62">
      <w:pPr>
        <w:pStyle w:val="Preambule"/>
        <w:numPr>
          <w:ilvl w:val="1"/>
          <w:numId w:val="16"/>
        </w:numPr>
        <w:ind w:left="1560" w:hanging="426"/>
        <w:rPr>
          <w:szCs w:val="22"/>
        </w:rPr>
      </w:pPr>
      <w:r w:rsidRPr="00F81E19">
        <w:rPr>
          <w:szCs w:val="22"/>
        </w:rPr>
        <w:t>Objednatel je oprávněn tuto Smlouvu vypovědět</w:t>
      </w:r>
      <w:r>
        <w:rPr>
          <w:szCs w:val="22"/>
        </w:rPr>
        <w:t xml:space="preserve"> i bez výpovědní doby, případně s výpovědní dobou v délce stanovené Objednatelem ve výpovědi v délce maximálně 12 </w:t>
      </w:r>
      <w:proofErr w:type="gramStart"/>
      <w:r>
        <w:rPr>
          <w:szCs w:val="22"/>
        </w:rPr>
        <w:t>měsíců,</w:t>
      </w:r>
      <w:r w:rsidR="00130A1D">
        <w:rPr>
          <w:szCs w:val="22"/>
        </w:rPr>
        <w:t>,</w:t>
      </w:r>
      <w:proofErr w:type="gramEnd"/>
      <w:r w:rsidR="00130A1D">
        <w:rPr>
          <w:szCs w:val="22"/>
        </w:rPr>
        <w:t xml:space="preserve"> pokud v</w:t>
      </w:r>
      <w:r w:rsidR="003349A9">
        <w:rPr>
          <w:szCs w:val="22"/>
        </w:rPr>
        <w:t xml:space="preserve"> kterémkoliv kalendářním roce trvání této Smlouvy souhrnná výše Pokut za nedostupnosti </w:t>
      </w:r>
      <w:r w:rsidR="00130A1D">
        <w:rPr>
          <w:szCs w:val="22"/>
        </w:rPr>
        <w:t xml:space="preserve">uplatněných Objednatelem v daném kalendářním roce </w:t>
      </w:r>
      <w:r w:rsidR="003349A9">
        <w:rPr>
          <w:szCs w:val="22"/>
        </w:rPr>
        <w:lastRenderedPageBreak/>
        <w:t>dosáhne</w:t>
      </w:r>
      <w:r w:rsidR="00130A1D">
        <w:rPr>
          <w:szCs w:val="22"/>
        </w:rPr>
        <w:t xml:space="preserve"> limitu uvedeného v článku </w:t>
      </w:r>
      <w:r w:rsidR="00130A1D">
        <w:rPr>
          <w:szCs w:val="22"/>
        </w:rPr>
        <w:fldChar w:fldCharType="begin"/>
      </w:r>
      <w:r w:rsidR="00130A1D">
        <w:rPr>
          <w:szCs w:val="22"/>
        </w:rPr>
        <w:instrText xml:space="preserve"> REF _Ref152792644 \r \h </w:instrText>
      </w:r>
      <w:r w:rsidR="00130A1D">
        <w:rPr>
          <w:szCs w:val="22"/>
        </w:rPr>
      </w:r>
      <w:r w:rsidR="00130A1D">
        <w:rPr>
          <w:szCs w:val="22"/>
        </w:rPr>
        <w:fldChar w:fldCharType="separate"/>
      </w:r>
      <w:r w:rsidR="00130A1D">
        <w:rPr>
          <w:szCs w:val="22"/>
        </w:rPr>
        <w:t>5.6</w:t>
      </w:r>
      <w:r w:rsidR="00130A1D">
        <w:rPr>
          <w:szCs w:val="22"/>
        </w:rPr>
        <w:fldChar w:fldCharType="end"/>
      </w:r>
      <w:r w:rsidR="003349A9">
        <w:rPr>
          <w:szCs w:val="22"/>
        </w:rPr>
        <w:t xml:space="preserve"> </w:t>
      </w:r>
    </w:p>
    <w:p w14:paraId="587736F9" w14:textId="1D9222C2" w:rsidR="00E37735" w:rsidRPr="00EF0B76" w:rsidRDefault="00EF0B76" w:rsidP="000C6E62">
      <w:pPr>
        <w:pStyle w:val="Preambule"/>
        <w:numPr>
          <w:ilvl w:val="1"/>
          <w:numId w:val="16"/>
        </w:numPr>
        <w:ind w:left="1560" w:hanging="426"/>
        <w:rPr>
          <w:szCs w:val="22"/>
        </w:rPr>
      </w:pPr>
      <w:r w:rsidRPr="00EF0B76">
        <w:rPr>
          <w:szCs w:val="22"/>
        </w:rPr>
        <w:t>Poskytovatel je oprávněn tuto Smlouvu vypovědět</w:t>
      </w:r>
      <w:r w:rsidR="00130A1D" w:rsidRPr="00130A1D">
        <w:rPr>
          <w:szCs w:val="22"/>
        </w:rPr>
        <w:t xml:space="preserve"> </w:t>
      </w:r>
      <w:r w:rsidR="00130A1D" w:rsidRPr="00EF0B76">
        <w:rPr>
          <w:szCs w:val="22"/>
        </w:rPr>
        <w:t>tuto Smlouvu vypovědět</w:t>
      </w:r>
      <w:r w:rsidR="00BE334E">
        <w:rPr>
          <w:szCs w:val="22"/>
        </w:rPr>
        <w:t xml:space="preserve"> s výpovědní dobou </w:t>
      </w:r>
      <w:r w:rsidR="009933F4">
        <w:rPr>
          <w:szCs w:val="22"/>
        </w:rPr>
        <w:t xml:space="preserve">3 </w:t>
      </w:r>
      <w:r w:rsidR="00BE334E">
        <w:rPr>
          <w:szCs w:val="22"/>
        </w:rPr>
        <w:t>měsíce</w:t>
      </w:r>
      <w:r w:rsidRPr="00EF0B76">
        <w:rPr>
          <w:szCs w:val="22"/>
        </w:rPr>
        <w:t>, pokud je Objednatel v prodlení s úhradou odměny dle této Smlouvy v délce více než 6</w:t>
      </w:r>
      <w:r w:rsidR="0009376A">
        <w:rPr>
          <w:szCs w:val="22"/>
        </w:rPr>
        <w:t>0</w:t>
      </w:r>
      <w:r w:rsidRPr="00EF0B76">
        <w:rPr>
          <w:szCs w:val="22"/>
        </w:rPr>
        <w:t xml:space="preserve"> dnů dlužnou částku neuhradí Poskytovateli ani na písemnou výzvu Poskytovatele v dodatečné lhůtě, kterou mu Poskytovatel k tomu poskytne, která nesmí být kratší než 60 dnů</w:t>
      </w:r>
      <w:r w:rsidR="0056743D" w:rsidRPr="00EF0B76">
        <w:rPr>
          <w:szCs w:val="22"/>
        </w:rPr>
        <w:t>.</w:t>
      </w:r>
    </w:p>
    <w:p w14:paraId="08A82DC5" w14:textId="4581946F" w:rsidR="00BB7F35" w:rsidRPr="00F81E19" w:rsidRDefault="00BB7F35" w:rsidP="00BB7F35">
      <w:pPr>
        <w:pStyle w:val="Clanek11"/>
        <w:rPr>
          <w:rFonts w:cs="Times New Roman"/>
          <w:szCs w:val="22"/>
        </w:rPr>
      </w:pPr>
      <w:r w:rsidRPr="00F81E19">
        <w:rPr>
          <w:rFonts w:cs="Times New Roman"/>
          <w:szCs w:val="22"/>
        </w:rPr>
        <w:t>Ukončením Smlouvy z</w:t>
      </w:r>
      <w:r w:rsidR="00823A87" w:rsidRPr="00F81E19">
        <w:rPr>
          <w:rFonts w:cs="Times New Roman"/>
          <w:szCs w:val="22"/>
        </w:rPr>
        <w:t> </w:t>
      </w:r>
      <w:r w:rsidRPr="00F81E19">
        <w:rPr>
          <w:rFonts w:cs="Times New Roman"/>
          <w:szCs w:val="22"/>
        </w:rPr>
        <w:t>jakéhokoliv důvodu není žádná S</w:t>
      </w:r>
      <w:r w:rsidR="00D00A11">
        <w:rPr>
          <w:rFonts w:cs="Times New Roman"/>
          <w:szCs w:val="22"/>
        </w:rPr>
        <w:t>mluvní s</w:t>
      </w:r>
      <w:r w:rsidRPr="00F81E19">
        <w:rPr>
          <w:rFonts w:cs="Times New Roman"/>
          <w:szCs w:val="22"/>
        </w:rPr>
        <w:t>trana zproštěna závazku zaplatit všechny částky, které se staly splatnými druhé S</w:t>
      </w:r>
      <w:r w:rsidR="00D00A11">
        <w:rPr>
          <w:rFonts w:cs="Times New Roman"/>
          <w:szCs w:val="22"/>
        </w:rPr>
        <w:t>mluvní s</w:t>
      </w:r>
      <w:r w:rsidRPr="00F81E19">
        <w:rPr>
          <w:rFonts w:cs="Times New Roman"/>
          <w:szCs w:val="22"/>
        </w:rPr>
        <w:t xml:space="preserve">traně až do doby ukončení Smlouvy, nebo splnit takové jiné závazky, které přetrvají po ukončení </w:t>
      </w:r>
      <w:r w:rsidR="00613F90" w:rsidRPr="00F81E19">
        <w:rPr>
          <w:rFonts w:cs="Times New Roman"/>
          <w:szCs w:val="22"/>
        </w:rPr>
        <w:t>Smlouvy.</w:t>
      </w:r>
    </w:p>
    <w:p w14:paraId="36F0A47A" w14:textId="5C789EE6" w:rsidR="00BB7F35" w:rsidRPr="00F81E19" w:rsidRDefault="00BB7F35" w:rsidP="00BB7F35">
      <w:pPr>
        <w:pStyle w:val="Clanek11"/>
        <w:rPr>
          <w:rFonts w:cs="Times New Roman"/>
          <w:szCs w:val="22"/>
        </w:rPr>
      </w:pPr>
      <w:r w:rsidRPr="00F81E19">
        <w:rPr>
          <w:rFonts w:cs="Times New Roman"/>
          <w:szCs w:val="22"/>
        </w:rPr>
        <w:t>V</w:t>
      </w:r>
      <w:r w:rsidR="00823A87" w:rsidRPr="00F81E19">
        <w:rPr>
          <w:rFonts w:cs="Times New Roman"/>
          <w:szCs w:val="22"/>
        </w:rPr>
        <w:t> </w:t>
      </w:r>
      <w:r w:rsidRPr="00F81E19">
        <w:rPr>
          <w:rFonts w:cs="Times New Roman"/>
          <w:szCs w:val="22"/>
        </w:rPr>
        <w:t>případě výpovědi této Smlouvy nejsou S</w:t>
      </w:r>
      <w:r w:rsidR="00D00A11">
        <w:rPr>
          <w:rFonts w:cs="Times New Roman"/>
          <w:szCs w:val="22"/>
        </w:rPr>
        <w:t>mluvní s</w:t>
      </w:r>
      <w:r w:rsidRPr="00F81E19">
        <w:rPr>
          <w:rFonts w:cs="Times New Roman"/>
          <w:szCs w:val="22"/>
        </w:rPr>
        <w:t>trany povinny si vracet vzájemné plnění, které si podle této Smlouvy do dne účinnosti ukončení Smlouvy navzájem poskytly.</w:t>
      </w:r>
    </w:p>
    <w:p w14:paraId="6F921646" w14:textId="77777777" w:rsidR="00511E03" w:rsidRPr="00F81E19" w:rsidRDefault="00511E03" w:rsidP="004E5A86">
      <w:pPr>
        <w:pStyle w:val="Nadpis1"/>
        <w:keepNext w:val="0"/>
        <w:spacing w:before="120" w:after="120"/>
        <w:rPr>
          <w:rFonts w:cs="Times New Roman"/>
          <w:szCs w:val="22"/>
        </w:rPr>
      </w:pPr>
      <w:r w:rsidRPr="00F81E19">
        <w:rPr>
          <w:rFonts w:cs="Times New Roman"/>
          <w:szCs w:val="22"/>
        </w:rPr>
        <w:t>oznámení</w:t>
      </w:r>
    </w:p>
    <w:p w14:paraId="526D6F7E" w14:textId="6DFEBD6A" w:rsidR="00511E03" w:rsidRPr="00F81E19" w:rsidRDefault="00511E03" w:rsidP="004E5A86">
      <w:pPr>
        <w:pStyle w:val="Clanek11"/>
        <w:widowControl/>
        <w:rPr>
          <w:rFonts w:cs="Times New Roman"/>
          <w:szCs w:val="22"/>
        </w:rPr>
      </w:pPr>
      <w:r w:rsidRPr="00F81E19">
        <w:rPr>
          <w:rFonts w:cs="Times New Roman"/>
          <w:szCs w:val="22"/>
        </w:rPr>
        <w:t>Není-li v této Smlouvě výslovně uvedeno jinak, vzájemná komunikace S</w:t>
      </w:r>
      <w:r w:rsidR="00551C0C" w:rsidRPr="00F81E19">
        <w:rPr>
          <w:rFonts w:cs="Times New Roman"/>
          <w:szCs w:val="22"/>
        </w:rPr>
        <w:t>mluvních s</w:t>
      </w:r>
      <w:r w:rsidRPr="00F81E19">
        <w:rPr>
          <w:rFonts w:cs="Times New Roman"/>
          <w:szCs w:val="22"/>
        </w:rPr>
        <w:t>tran, zejména jakákoli oznámení či sdělení vyžadovaná podle této Smlouvy, bude činěna v písemné formě v</w:t>
      </w:r>
      <w:r w:rsidR="005A2A7E" w:rsidRPr="00F81E19">
        <w:rPr>
          <w:rFonts w:cs="Times New Roman"/>
          <w:szCs w:val="22"/>
        </w:rPr>
        <w:t> </w:t>
      </w:r>
      <w:r w:rsidR="00613F90" w:rsidRPr="00F81E19">
        <w:rPr>
          <w:rFonts w:cs="Times New Roman"/>
          <w:szCs w:val="22"/>
        </w:rPr>
        <w:t>českém</w:t>
      </w:r>
      <w:r w:rsidR="006D5334" w:rsidRPr="00F81E19">
        <w:rPr>
          <w:rFonts w:cs="Times New Roman"/>
          <w:szCs w:val="22"/>
        </w:rPr>
        <w:t xml:space="preserve"> </w:t>
      </w:r>
      <w:r w:rsidRPr="00F81E19">
        <w:rPr>
          <w:rFonts w:cs="Times New Roman"/>
          <w:szCs w:val="22"/>
        </w:rPr>
        <w:t>jazyce a doručena S</w:t>
      </w:r>
      <w:r w:rsidR="00551C0C" w:rsidRPr="00F81E19">
        <w:rPr>
          <w:rFonts w:cs="Times New Roman"/>
          <w:szCs w:val="22"/>
        </w:rPr>
        <w:t>mluvním s</w:t>
      </w:r>
      <w:r w:rsidRPr="00F81E19">
        <w:rPr>
          <w:rFonts w:cs="Times New Roman"/>
          <w:szCs w:val="22"/>
        </w:rPr>
        <w:t xml:space="preserve">tranám na adresy </w:t>
      </w:r>
      <w:r w:rsidR="003F6336" w:rsidRPr="00F81E19">
        <w:rPr>
          <w:rFonts w:cs="Times New Roman"/>
          <w:szCs w:val="22"/>
        </w:rPr>
        <w:t xml:space="preserve">uvedené v záhlaví této Smlouvy </w:t>
      </w:r>
      <w:r w:rsidRPr="00F81E19">
        <w:rPr>
          <w:rFonts w:cs="Times New Roman"/>
          <w:szCs w:val="22"/>
        </w:rPr>
        <w:t>osobním doručením, zasláním uznávanou poštou doporučeným dopisem, nebo zasláním kurýrní službou, která umožňuje ověření doručení. Oznámení učiněné výše uvedeným způsobem bude považováno za řádně doručené příslušné S</w:t>
      </w:r>
      <w:r w:rsidR="00551C0C" w:rsidRPr="00F81E19">
        <w:rPr>
          <w:rFonts w:cs="Times New Roman"/>
          <w:szCs w:val="22"/>
        </w:rPr>
        <w:t>mluvní s</w:t>
      </w:r>
      <w:r w:rsidRPr="00F81E19">
        <w:rPr>
          <w:rFonts w:cs="Times New Roman"/>
          <w:szCs w:val="22"/>
        </w:rPr>
        <w:t>traně okamžikem:</w:t>
      </w:r>
    </w:p>
    <w:p w14:paraId="4B5B1C8C" w14:textId="77777777" w:rsidR="00511E03" w:rsidRPr="00F81E19" w:rsidRDefault="00511E03" w:rsidP="000C6E62">
      <w:pPr>
        <w:pStyle w:val="Claneka"/>
        <w:keepLines w:val="0"/>
        <w:widowControl/>
        <w:tabs>
          <w:tab w:val="clear" w:pos="992"/>
          <w:tab w:val="num" w:pos="1701"/>
        </w:tabs>
        <w:ind w:left="1560" w:hanging="426"/>
        <w:rPr>
          <w:szCs w:val="22"/>
        </w:rPr>
      </w:pPr>
      <w:r w:rsidRPr="00F81E19">
        <w:rPr>
          <w:szCs w:val="22"/>
        </w:rPr>
        <w:t xml:space="preserve">v případě osobního doručení, převzetím oznámení nebo sdělení příslušnou </w:t>
      </w:r>
      <w:r w:rsidR="00BE43F9" w:rsidRPr="00F81E19">
        <w:rPr>
          <w:szCs w:val="22"/>
        </w:rPr>
        <w:t>S</w:t>
      </w:r>
      <w:r w:rsidR="00551C0C" w:rsidRPr="00F81E19">
        <w:rPr>
          <w:szCs w:val="22"/>
        </w:rPr>
        <w:t>mluvní s</w:t>
      </w:r>
      <w:r w:rsidRPr="00F81E19">
        <w:rPr>
          <w:szCs w:val="22"/>
        </w:rPr>
        <w:t>tranou;</w:t>
      </w:r>
    </w:p>
    <w:p w14:paraId="016316A8" w14:textId="493FBE70" w:rsidR="00511E03" w:rsidRPr="00F81E19" w:rsidRDefault="00511E03" w:rsidP="000C6E62">
      <w:pPr>
        <w:pStyle w:val="Claneka"/>
        <w:keepLines w:val="0"/>
        <w:widowControl/>
        <w:tabs>
          <w:tab w:val="clear" w:pos="992"/>
          <w:tab w:val="num" w:pos="1701"/>
        </w:tabs>
        <w:ind w:left="1560" w:hanging="426"/>
        <w:rPr>
          <w:szCs w:val="22"/>
        </w:rPr>
      </w:pPr>
      <w:r w:rsidRPr="00F81E19">
        <w:rPr>
          <w:szCs w:val="22"/>
        </w:rPr>
        <w:t xml:space="preserve">v případě doručení poštou převzetím příslušnou </w:t>
      </w:r>
      <w:r w:rsidR="00BE43F9" w:rsidRPr="00F81E19">
        <w:rPr>
          <w:szCs w:val="22"/>
        </w:rPr>
        <w:t>S</w:t>
      </w:r>
      <w:r w:rsidR="00551C0C" w:rsidRPr="00F81E19">
        <w:rPr>
          <w:szCs w:val="22"/>
        </w:rPr>
        <w:t>mluvní s</w:t>
      </w:r>
      <w:r w:rsidRPr="00F81E19">
        <w:rPr>
          <w:szCs w:val="22"/>
        </w:rPr>
        <w:t xml:space="preserve">tranou nebo, pokud daná </w:t>
      </w:r>
      <w:r w:rsidR="00BE43F9" w:rsidRPr="00F81E19">
        <w:rPr>
          <w:szCs w:val="22"/>
        </w:rPr>
        <w:t>S</w:t>
      </w:r>
      <w:r w:rsidR="00551C0C" w:rsidRPr="00F81E19">
        <w:rPr>
          <w:szCs w:val="22"/>
        </w:rPr>
        <w:t>mluvní s</w:t>
      </w:r>
      <w:r w:rsidRPr="00F81E19">
        <w:rPr>
          <w:szCs w:val="22"/>
        </w:rPr>
        <w:t xml:space="preserve">trana písemnost nepřevezme, uplynutím </w:t>
      </w:r>
      <w:r w:rsidR="00483D1A" w:rsidRPr="00F81E19">
        <w:rPr>
          <w:szCs w:val="22"/>
        </w:rPr>
        <w:t xml:space="preserve">šestého </w:t>
      </w:r>
      <w:r w:rsidRPr="00F81E19">
        <w:rPr>
          <w:szCs w:val="22"/>
        </w:rPr>
        <w:t>(</w:t>
      </w:r>
      <w:r w:rsidR="00483D1A" w:rsidRPr="00F81E19">
        <w:rPr>
          <w:szCs w:val="22"/>
        </w:rPr>
        <w:t>6</w:t>
      </w:r>
      <w:r w:rsidRPr="00F81E19">
        <w:rPr>
          <w:szCs w:val="22"/>
        </w:rPr>
        <w:t xml:space="preserve">.) pracovního dne po dni uložení písemnosti na poště nebo dnem, kdy </w:t>
      </w:r>
      <w:r w:rsidR="00BE43F9" w:rsidRPr="00F81E19">
        <w:rPr>
          <w:szCs w:val="22"/>
        </w:rPr>
        <w:t>S</w:t>
      </w:r>
      <w:r w:rsidR="00551C0C" w:rsidRPr="00F81E19">
        <w:rPr>
          <w:szCs w:val="22"/>
        </w:rPr>
        <w:t>mluvní s</w:t>
      </w:r>
      <w:r w:rsidRPr="00F81E19">
        <w:rPr>
          <w:szCs w:val="22"/>
        </w:rPr>
        <w:t>trana převzetí odmítla, s tím, že za</w:t>
      </w:r>
      <w:r w:rsidR="00551C0C" w:rsidRPr="00F81E19">
        <w:rPr>
          <w:szCs w:val="22"/>
        </w:rPr>
        <w:t> </w:t>
      </w:r>
      <w:r w:rsidRPr="00F81E19">
        <w:rPr>
          <w:szCs w:val="22"/>
        </w:rPr>
        <w:t>doklad o</w:t>
      </w:r>
      <w:r w:rsidR="005A2A7E" w:rsidRPr="00F81E19">
        <w:rPr>
          <w:szCs w:val="22"/>
        </w:rPr>
        <w:t> </w:t>
      </w:r>
      <w:r w:rsidRPr="00F81E19">
        <w:rPr>
          <w:szCs w:val="22"/>
        </w:rPr>
        <w:t>odeslání se považuje potvrzený podací lístek;</w:t>
      </w:r>
    </w:p>
    <w:p w14:paraId="5168DECE" w14:textId="77777777" w:rsidR="00511E03" w:rsidRPr="00F81E19" w:rsidRDefault="00511E03" w:rsidP="000C6E62">
      <w:pPr>
        <w:pStyle w:val="Claneka"/>
        <w:keepLines w:val="0"/>
        <w:widowControl/>
        <w:tabs>
          <w:tab w:val="clear" w:pos="992"/>
          <w:tab w:val="num" w:pos="1701"/>
        </w:tabs>
        <w:ind w:left="1560" w:hanging="426"/>
        <w:rPr>
          <w:szCs w:val="22"/>
        </w:rPr>
      </w:pPr>
      <w:r w:rsidRPr="00F81E19">
        <w:rPr>
          <w:szCs w:val="22"/>
        </w:rPr>
        <w:t xml:space="preserve">v případě doručení kurýrní službou převzetím příslušnou </w:t>
      </w:r>
      <w:r w:rsidR="00BE43F9" w:rsidRPr="00F81E19">
        <w:rPr>
          <w:szCs w:val="22"/>
        </w:rPr>
        <w:t>S</w:t>
      </w:r>
      <w:r w:rsidR="00551C0C" w:rsidRPr="00F81E19">
        <w:rPr>
          <w:szCs w:val="22"/>
        </w:rPr>
        <w:t>mluvní s</w:t>
      </w:r>
      <w:r w:rsidRPr="00F81E19">
        <w:rPr>
          <w:szCs w:val="22"/>
        </w:rPr>
        <w:t xml:space="preserve">tranou nebo, pokud daná </w:t>
      </w:r>
      <w:r w:rsidR="00BE43F9" w:rsidRPr="00F81E19">
        <w:rPr>
          <w:szCs w:val="22"/>
        </w:rPr>
        <w:t>S</w:t>
      </w:r>
      <w:r w:rsidR="00551C0C" w:rsidRPr="00F81E19">
        <w:rPr>
          <w:szCs w:val="22"/>
        </w:rPr>
        <w:t>mluvní s</w:t>
      </w:r>
      <w:r w:rsidRPr="00F81E19">
        <w:rPr>
          <w:szCs w:val="22"/>
        </w:rPr>
        <w:t>trana písemnost odmítne převzít, uplynutím druhého (2.) pracovního dne po</w:t>
      </w:r>
      <w:r w:rsidR="00551C0C" w:rsidRPr="00F81E19">
        <w:rPr>
          <w:szCs w:val="22"/>
        </w:rPr>
        <w:t> </w:t>
      </w:r>
      <w:r w:rsidRPr="00F81E19">
        <w:rPr>
          <w:szCs w:val="22"/>
        </w:rPr>
        <w:t>odevzdání oznámení nebo sdělení ke kurýrní přepravě.</w:t>
      </w:r>
    </w:p>
    <w:p w14:paraId="0661B257" w14:textId="52B3E5BA" w:rsidR="00523CF5" w:rsidRPr="00F81E19" w:rsidRDefault="00523CF5" w:rsidP="004E5A86">
      <w:pPr>
        <w:pStyle w:val="Clanek11"/>
        <w:widowControl/>
        <w:rPr>
          <w:rFonts w:cs="Times New Roman"/>
          <w:szCs w:val="22"/>
        </w:rPr>
      </w:pPr>
      <w:r w:rsidRPr="00F81E19">
        <w:rPr>
          <w:rFonts w:cs="Times New Roman"/>
          <w:szCs w:val="22"/>
        </w:rPr>
        <w:t>Oznámení druhé Smluvní straně je možné doru</w:t>
      </w:r>
      <w:r w:rsidR="001D36F1" w:rsidRPr="00F81E19">
        <w:rPr>
          <w:rFonts w:cs="Times New Roman"/>
          <w:szCs w:val="22"/>
        </w:rPr>
        <w:t>čit také prostřednictvím elektronické pošty</w:t>
      </w:r>
      <w:r w:rsidR="00B74164" w:rsidRPr="00F81E19">
        <w:rPr>
          <w:rFonts w:cs="Times New Roman"/>
          <w:szCs w:val="22"/>
        </w:rPr>
        <w:t xml:space="preserve"> na</w:t>
      </w:r>
      <w:r w:rsidR="00D175B3" w:rsidRPr="00F81E19">
        <w:rPr>
          <w:rFonts w:cs="Times New Roman"/>
          <w:szCs w:val="22"/>
        </w:rPr>
        <w:t> </w:t>
      </w:r>
      <w:r w:rsidR="00B74164" w:rsidRPr="00F81E19">
        <w:rPr>
          <w:rFonts w:cs="Times New Roman"/>
          <w:szCs w:val="22"/>
        </w:rPr>
        <w:t>e</w:t>
      </w:r>
      <w:r w:rsidR="00D175B3" w:rsidRPr="00F81E19">
        <w:rPr>
          <w:rFonts w:cs="Times New Roman"/>
          <w:szCs w:val="22"/>
        </w:rPr>
        <w:noBreakHyphen/>
      </w:r>
      <w:r w:rsidR="00B74164" w:rsidRPr="00F81E19">
        <w:rPr>
          <w:rFonts w:cs="Times New Roman"/>
          <w:szCs w:val="22"/>
        </w:rPr>
        <w:t xml:space="preserve">mailovou adresu </w:t>
      </w:r>
      <w:r w:rsidR="00613F90" w:rsidRPr="00F81E19">
        <w:rPr>
          <w:rFonts w:cs="Times New Roman"/>
          <w:szCs w:val="22"/>
        </w:rPr>
        <w:t>Poskytovatele</w:t>
      </w:r>
      <w:r w:rsidR="00B74164" w:rsidRPr="00F81E19">
        <w:rPr>
          <w:rFonts w:cs="Times New Roman"/>
          <w:szCs w:val="22"/>
        </w:rPr>
        <w:t xml:space="preserve">: </w:t>
      </w:r>
      <w:r w:rsidR="00D027CD" w:rsidRPr="00F81E19">
        <w:rPr>
          <w:rFonts w:cs="Times New Roman"/>
          <w:szCs w:val="22"/>
          <w:highlight w:val="yellow"/>
        </w:rPr>
        <w:t>[*]</w:t>
      </w:r>
      <w:r w:rsidR="00B74164" w:rsidRPr="00F81E19">
        <w:rPr>
          <w:rFonts w:cs="Times New Roman"/>
          <w:szCs w:val="22"/>
        </w:rPr>
        <w:t xml:space="preserve">, resp. e-mailovou adresu </w:t>
      </w:r>
      <w:r w:rsidR="00613F90" w:rsidRPr="00F81E19">
        <w:rPr>
          <w:rFonts w:cs="Times New Roman"/>
          <w:szCs w:val="22"/>
        </w:rPr>
        <w:t>Objednatele</w:t>
      </w:r>
      <w:r w:rsidR="004226E0">
        <w:rPr>
          <w:rFonts w:cs="Times New Roman"/>
          <w:szCs w:val="22"/>
        </w:rPr>
        <w:t>:</w:t>
      </w:r>
      <w:r w:rsidR="00B74164" w:rsidRPr="00F81E19">
        <w:rPr>
          <w:rFonts w:cs="Times New Roman"/>
          <w:szCs w:val="22"/>
        </w:rPr>
        <w:t xml:space="preserve"> </w:t>
      </w:r>
      <w:r w:rsidR="00D027CD" w:rsidRPr="00F81E19">
        <w:rPr>
          <w:rFonts w:cs="Times New Roman"/>
          <w:szCs w:val="22"/>
          <w:highlight w:val="yellow"/>
        </w:rPr>
        <w:t>[*]</w:t>
      </w:r>
      <w:r w:rsidR="00D175B3" w:rsidRPr="00F81E19">
        <w:rPr>
          <w:rFonts w:cs="Times New Roman"/>
          <w:szCs w:val="22"/>
        </w:rPr>
        <w:t>. V těchto případech je písemná forma oznámení zachována</w:t>
      </w:r>
      <w:r w:rsidR="000C7AF0" w:rsidRPr="00F81E19">
        <w:rPr>
          <w:rFonts w:cs="Times New Roman"/>
          <w:szCs w:val="22"/>
        </w:rPr>
        <w:t xml:space="preserve"> a</w:t>
      </w:r>
      <w:r w:rsidR="004E5D0D" w:rsidRPr="00F81E19">
        <w:rPr>
          <w:rFonts w:cs="Times New Roman"/>
          <w:szCs w:val="22"/>
        </w:rPr>
        <w:t> </w:t>
      </w:r>
      <w:r w:rsidR="000C7AF0" w:rsidRPr="00F81E19">
        <w:rPr>
          <w:rFonts w:cs="Times New Roman"/>
          <w:szCs w:val="22"/>
        </w:rPr>
        <w:t>oznámení je doručeno řádně</w:t>
      </w:r>
      <w:r w:rsidR="00D175B3" w:rsidRPr="00F81E19">
        <w:rPr>
          <w:rFonts w:cs="Times New Roman"/>
          <w:szCs w:val="22"/>
        </w:rPr>
        <w:t>.</w:t>
      </w:r>
      <w:r w:rsidR="00054377" w:rsidRPr="00F81E19">
        <w:rPr>
          <w:rFonts w:cs="Times New Roman"/>
          <w:szCs w:val="22"/>
        </w:rPr>
        <w:t xml:space="preserve"> Pro vyloučení pochybností, elektronická komunikace mezi Smluvními stranami bude probíhat </w:t>
      </w:r>
      <w:r w:rsidR="00B95C6C" w:rsidRPr="00F81E19">
        <w:rPr>
          <w:rFonts w:cs="Times New Roman"/>
          <w:szCs w:val="22"/>
        </w:rPr>
        <w:t xml:space="preserve">z e-mailových adres, které </w:t>
      </w:r>
      <w:r w:rsidR="000F7617" w:rsidRPr="00F81E19">
        <w:rPr>
          <w:rFonts w:cs="Times New Roman"/>
          <w:szCs w:val="22"/>
        </w:rPr>
        <w:t xml:space="preserve">Smluvní strany </w:t>
      </w:r>
      <w:r w:rsidR="004E5D0D" w:rsidRPr="00F81E19">
        <w:rPr>
          <w:rFonts w:cs="Times New Roman"/>
          <w:szCs w:val="22"/>
        </w:rPr>
        <w:t xml:space="preserve">předem </w:t>
      </w:r>
      <w:proofErr w:type="gramStart"/>
      <w:r w:rsidR="000F7617" w:rsidRPr="00F81E19">
        <w:rPr>
          <w:rFonts w:cs="Times New Roman"/>
          <w:szCs w:val="22"/>
        </w:rPr>
        <w:t>označí</w:t>
      </w:r>
      <w:proofErr w:type="gramEnd"/>
      <w:r w:rsidR="000F7617" w:rsidRPr="00F81E19">
        <w:rPr>
          <w:rFonts w:cs="Times New Roman"/>
          <w:szCs w:val="22"/>
        </w:rPr>
        <w:t xml:space="preserve"> </w:t>
      </w:r>
      <w:r w:rsidR="004E5D0D" w:rsidRPr="00F81E19">
        <w:rPr>
          <w:rFonts w:cs="Times New Roman"/>
          <w:szCs w:val="22"/>
        </w:rPr>
        <w:t>a</w:t>
      </w:r>
      <w:r w:rsidR="00D83B3F" w:rsidRPr="00F81E19">
        <w:rPr>
          <w:rFonts w:cs="Times New Roman"/>
          <w:szCs w:val="22"/>
        </w:rPr>
        <w:t> </w:t>
      </w:r>
      <w:r w:rsidR="004E5D0D" w:rsidRPr="00F81E19">
        <w:rPr>
          <w:rFonts w:cs="Times New Roman"/>
          <w:szCs w:val="22"/>
        </w:rPr>
        <w:t xml:space="preserve">uvedou druhé Smluvní straně </w:t>
      </w:r>
      <w:r w:rsidR="00D83B3F" w:rsidRPr="00F81E19">
        <w:rPr>
          <w:rFonts w:cs="Times New Roman"/>
          <w:szCs w:val="22"/>
        </w:rPr>
        <w:t>jako</w:t>
      </w:r>
      <w:r w:rsidR="004E5D0D" w:rsidRPr="00F81E19">
        <w:rPr>
          <w:rFonts w:cs="Times New Roman"/>
          <w:szCs w:val="22"/>
        </w:rPr>
        <w:t> </w:t>
      </w:r>
      <w:r w:rsidR="000F7617" w:rsidRPr="00F81E19">
        <w:rPr>
          <w:rFonts w:cs="Times New Roman"/>
          <w:szCs w:val="22"/>
        </w:rPr>
        <w:t xml:space="preserve">e-mailové adresy </w:t>
      </w:r>
      <w:r w:rsidR="000C7AF0" w:rsidRPr="00F81E19">
        <w:rPr>
          <w:rFonts w:cs="Times New Roman"/>
          <w:szCs w:val="22"/>
        </w:rPr>
        <w:t xml:space="preserve">pro </w:t>
      </w:r>
      <w:r w:rsidR="00D83B3F" w:rsidRPr="00F81E19">
        <w:rPr>
          <w:rFonts w:cs="Times New Roman"/>
          <w:szCs w:val="22"/>
        </w:rPr>
        <w:t xml:space="preserve">vzájemnou </w:t>
      </w:r>
      <w:r w:rsidR="000C7AF0" w:rsidRPr="00F81E19">
        <w:rPr>
          <w:rFonts w:cs="Times New Roman"/>
          <w:szCs w:val="22"/>
        </w:rPr>
        <w:t xml:space="preserve">komunikaci </w:t>
      </w:r>
      <w:r w:rsidR="00D83B3F" w:rsidRPr="00F81E19">
        <w:rPr>
          <w:rFonts w:cs="Times New Roman"/>
          <w:szCs w:val="22"/>
        </w:rPr>
        <w:t>po</w:t>
      </w:r>
      <w:r w:rsidR="000C7AF0" w:rsidRPr="00F81E19">
        <w:rPr>
          <w:rFonts w:cs="Times New Roman"/>
          <w:szCs w:val="22"/>
        </w:rPr>
        <w:t>dle této Smlouvy.</w:t>
      </w:r>
      <w:r w:rsidR="00543F02" w:rsidRPr="00F81E19">
        <w:rPr>
          <w:rFonts w:cs="Times New Roman"/>
          <w:szCs w:val="22"/>
        </w:rPr>
        <w:t xml:space="preserve"> </w:t>
      </w:r>
    </w:p>
    <w:p w14:paraId="3F387262" w14:textId="37C0C7FC" w:rsidR="00511E03" w:rsidRPr="00F81E19" w:rsidRDefault="00165555" w:rsidP="004E5A86">
      <w:pPr>
        <w:pStyle w:val="Clanek11"/>
        <w:widowControl/>
        <w:rPr>
          <w:rFonts w:cs="Times New Roman"/>
          <w:szCs w:val="22"/>
        </w:rPr>
      </w:pPr>
      <w:r w:rsidRPr="00F81E19">
        <w:rPr>
          <w:rFonts w:cs="Times New Roman"/>
          <w:szCs w:val="22"/>
        </w:rPr>
        <w:t>S</w:t>
      </w:r>
      <w:r w:rsidR="00551C0C" w:rsidRPr="00F81E19">
        <w:rPr>
          <w:rFonts w:cs="Times New Roman"/>
          <w:szCs w:val="22"/>
        </w:rPr>
        <w:t>mluvní s</w:t>
      </w:r>
      <w:r w:rsidR="00511E03" w:rsidRPr="00F81E19">
        <w:rPr>
          <w:rFonts w:cs="Times New Roman"/>
          <w:szCs w:val="22"/>
        </w:rPr>
        <w:t xml:space="preserve">trana </w:t>
      </w:r>
      <w:r w:rsidR="00523CF5" w:rsidRPr="00F81E19">
        <w:rPr>
          <w:rFonts w:cs="Times New Roman"/>
          <w:szCs w:val="22"/>
        </w:rPr>
        <w:t xml:space="preserve">písemně </w:t>
      </w:r>
      <w:r w:rsidR="00511E03" w:rsidRPr="00F81E19">
        <w:rPr>
          <w:rFonts w:cs="Times New Roman"/>
          <w:szCs w:val="22"/>
        </w:rPr>
        <w:t xml:space="preserve">oznámí bez zbytečného odkladu </w:t>
      </w:r>
      <w:r w:rsidR="00DD2B0C" w:rsidRPr="00F81E19">
        <w:rPr>
          <w:rFonts w:cs="Times New Roman"/>
          <w:szCs w:val="22"/>
        </w:rPr>
        <w:t>druhé S</w:t>
      </w:r>
      <w:r w:rsidR="00551C0C" w:rsidRPr="00F81E19">
        <w:rPr>
          <w:rFonts w:cs="Times New Roman"/>
          <w:szCs w:val="22"/>
        </w:rPr>
        <w:t>mluvní s</w:t>
      </w:r>
      <w:r w:rsidR="00DD2B0C" w:rsidRPr="00F81E19">
        <w:rPr>
          <w:rFonts w:cs="Times New Roman"/>
          <w:szCs w:val="22"/>
        </w:rPr>
        <w:t>traně</w:t>
      </w:r>
      <w:r w:rsidR="00511E03" w:rsidRPr="00F81E19">
        <w:rPr>
          <w:rFonts w:cs="Times New Roman"/>
          <w:szCs w:val="22"/>
        </w:rPr>
        <w:t xml:space="preserve"> jakékoliv změny údajů a</w:t>
      </w:r>
      <w:r w:rsidR="00551C0C" w:rsidRPr="00F81E19">
        <w:rPr>
          <w:rFonts w:cs="Times New Roman"/>
          <w:szCs w:val="22"/>
        </w:rPr>
        <w:t> </w:t>
      </w:r>
      <w:r w:rsidR="00511E03" w:rsidRPr="00F81E19">
        <w:rPr>
          <w:rFonts w:cs="Times New Roman"/>
          <w:szCs w:val="22"/>
        </w:rPr>
        <w:t xml:space="preserve">jakoukoliv jinou změnu své doručovací adresy. Řádným doručením tohoto oznámení dojde ke změně doručovací adresy </w:t>
      </w:r>
      <w:r w:rsidR="00C32415" w:rsidRPr="00F81E19">
        <w:rPr>
          <w:rFonts w:cs="Times New Roman"/>
          <w:szCs w:val="22"/>
        </w:rPr>
        <w:t xml:space="preserve">(včetně e-mailové adresy) </w:t>
      </w:r>
      <w:r w:rsidR="00511E03" w:rsidRPr="00F81E19">
        <w:rPr>
          <w:rFonts w:cs="Times New Roman"/>
          <w:szCs w:val="22"/>
        </w:rPr>
        <w:t xml:space="preserve">příslušné </w:t>
      </w:r>
      <w:r w:rsidR="007F52C2" w:rsidRPr="00F81E19">
        <w:rPr>
          <w:rFonts w:cs="Times New Roman"/>
          <w:szCs w:val="22"/>
        </w:rPr>
        <w:t>S</w:t>
      </w:r>
      <w:r w:rsidR="00551C0C" w:rsidRPr="00F81E19">
        <w:rPr>
          <w:rFonts w:cs="Times New Roman"/>
          <w:szCs w:val="22"/>
        </w:rPr>
        <w:t>mluvní s</w:t>
      </w:r>
      <w:r w:rsidR="00511E03" w:rsidRPr="00F81E19">
        <w:rPr>
          <w:rFonts w:cs="Times New Roman"/>
          <w:szCs w:val="22"/>
        </w:rPr>
        <w:t xml:space="preserve">trany bez nutnosti uzavření dodatku k této Smlouvě. </w:t>
      </w:r>
    </w:p>
    <w:p w14:paraId="7388EDF8" w14:textId="77777777" w:rsidR="00511E03" w:rsidRPr="00F81E19" w:rsidRDefault="007F52C2" w:rsidP="004E5A86">
      <w:pPr>
        <w:pStyle w:val="Nadpis1"/>
        <w:keepNext w:val="0"/>
        <w:spacing w:before="120" w:after="120"/>
        <w:rPr>
          <w:rFonts w:cs="Times New Roman"/>
          <w:szCs w:val="22"/>
        </w:rPr>
      </w:pPr>
      <w:r w:rsidRPr="00F81E19">
        <w:rPr>
          <w:rFonts w:cs="Times New Roman"/>
          <w:szCs w:val="22"/>
        </w:rPr>
        <w:t>oddělitelnost</w:t>
      </w:r>
    </w:p>
    <w:p w14:paraId="671E3129" w14:textId="77777777" w:rsidR="007F52C2" w:rsidRDefault="007F52C2" w:rsidP="004E5A86">
      <w:pPr>
        <w:pStyle w:val="Clanek11"/>
        <w:widowControl/>
        <w:rPr>
          <w:rFonts w:cs="Times New Roman"/>
          <w:szCs w:val="22"/>
        </w:rPr>
      </w:pPr>
      <w:r w:rsidRPr="00F81E19">
        <w:rPr>
          <w:rFonts w:cs="Times New Roman"/>
          <w:szCs w:val="22"/>
        </w:rPr>
        <w:t>Bude-li kterékoliv ustanovení této Smlouvy shledáno příslušným soudem nebo jiným orgánem neplatným, neúčinným nebo nevymahatelným, bude takové ustanovení považováno za</w:t>
      </w:r>
      <w:r w:rsidR="00551C0C" w:rsidRPr="00F81E19">
        <w:rPr>
          <w:rFonts w:cs="Times New Roman"/>
          <w:szCs w:val="22"/>
        </w:rPr>
        <w:t> </w:t>
      </w:r>
      <w:r w:rsidRPr="00F81E19">
        <w:rPr>
          <w:rFonts w:cs="Times New Roman"/>
          <w:szCs w:val="22"/>
        </w:rPr>
        <w:t>vypuštěné ze Smlouvy a ostatní ustanovení této Smlouvy zůstanou v plném rozsahu v</w:t>
      </w:r>
      <w:r w:rsidR="00551C0C" w:rsidRPr="00F81E19">
        <w:rPr>
          <w:rFonts w:cs="Times New Roman"/>
          <w:szCs w:val="22"/>
        </w:rPr>
        <w:t> </w:t>
      </w:r>
      <w:r w:rsidRPr="00F81E19">
        <w:rPr>
          <w:rFonts w:cs="Times New Roman"/>
          <w:szCs w:val="22"/>
        </w:rPr>
        <w:t>platnosti a účinnosti, pokud z povahy takového ustanovení nebo z jeho obsahu anebo z</w:t>
      </w:r>
      <w:r w:rsidR="00551C0C" w:rsidRPr="00F81E19">
        <w:rPr>
          <w:rFonts w:cs="Times New Roman"/>
          <w:szCs w:val="22"/>
        </w:rPr>
        <w:t> </w:t>
      </w:r>
      <w:r w:rsidRPr="00F81E19">
        <w:rPr>
          <w:rFonts w:cs="Times New Roman"/>
          <w:szCs w:val="22"/>
        </w:rPr>
        <w:t>okolností, za nichž bylo uzavřeno, nevyplývá, že je nelze oddělit od ostatního obsahu této Smlouvy. S</w:t>
      </w:r>
      <w:r w:rsidR="00551C0C" w:rsidRPr="00F81E19">
        <w:rPr>
          <w:rFonts w:cs="Times New Roman"/>
          <w:szCs w:val="22"/>
        </w:rPr>
        <w:t>mluvní s</w:t>
      </w:r>
      <w:r w:rsidRPr="00F81E19">
        <w:rPr>
          <w:rFonts w:cs="Times New Roman"/>
          <w:szCs w:val="22"/>
        </w:rPr>
        <w:t>trany v takovém případě uzavřou takové dodatky k této Smlouvě, které budou nezbytné k dosažení výsledku stejného, a pokud to není možné, pak co nejbližšího tomu, jakého mělo být dosaženo neplatným nebo nevymahatelným ustanovením.</w:t>
      </w:r>
    </w:p>
    <w:p w14:paraId="0B0A909A" w14:textId="77777777" w:rsidR="002E2BBB" w:rsidRPr="00F81E19" w:rsidRDefault="002E2BBB" w:rsidP="002E2BBB">
      <w:pPr>
        <w:pStyle w:val="Clanek11"/>
        <w:widowControl/>
        <w:numPr>
          <w:ilvl w:val="0"/>
          <w:numId w:val="0"/>
        </w:numPr>
        <w:ind w:left="1135"/>
        <w:rPr>
          <w:rFonts w:cs="Times New Roman"/>
          <w:szCs w:val="22"/>
        </w:rPr>
      </w:pPr>
    </w:p>
    <w:p w14:paraId="0C50EBA8" w14:textId="77777777" w:rsidR="00F628F4" w:rsidRPr="00F81E19" w:rsidRDefault="00F628F4" w:rsidP="004E5A86">
      <w:pPr>
        <w:pStyle w:val="Nadpis1"/>
        <w:keepNext w:val="0"/>
        <w:spacing w:before="120" w:after="120"/>
        <w:rPr>
          <w:rFonts w:cs="Times New Roman"/>
          <w:szCs w:val="22"/>
        </w:rPr>
      </w:pPr>
      <w:r w:rsidRPr="00F81E19">
        <w:rPr>
          <w:rFonts w:cs="Times New Roman"/>
          <w:szCs w:val="22"/>
        </w:rPr>
        <w:lastRenderedPageBreak/>
        <w:t>vzdání se práva</w:t>
      </w:r>
    </w:p>
    <w:p w14:paraId="176D45E1" w14:textId="40450C97" w:rsidR="00F628F4" w:rsidRPr="00F81E19" w:rsidRDefault="00F628F4" w:rsidP="004E5A86">
      <w:pPr>
        <w:pStyle w:val="Clanek11"/>
        <w:widowControl/>
        <w:rPr>
          <w:rFonts w:cs="Times New Roman"/>
          <w:szCs w:val="22"/>
        </w:rPr>
      </w:pPr>
      <w:r w:rsidRPr="00F81E19">
        <w:rPr>
          <w:rFonts w:cs="Times New Roman"/>
          <w:szCs w:val="22"/>
        </w:rPr>
        <w:t>Žádné nevyužití nebo opominutí nároku nebo práva vyplývajícího z této Smlouvy nebude vykládáno jako vzdání se nároku nebo práva, pokud</w:t>
      </w:r>
      <w:r w:rsidR="00197749" w:rsidRPr="00F81E19">
        <w:rPr>
          <w:rFonts w:cs="Times New Roman"/>
          <w:szCs w:val="22"/>
        </w:rPr>
        <w:t xml:space="preserve"> ve Smlouvě není sjednáno jinak a/nebo</w:t>
      </w:r>
      <w:r w:rsidRPr="00F81E19">
        <w:rPr>
          <w:rFonts w:cs="Times New Roman"/>
          <w:szCs w:val="22"/>
        </w:rPr>
        <w:t xml:space="preserve"> tak nebude učiněno písemně oprávněnou osobou jednající za příslušnou S</w:t>
      </w:r>
      <w:r w:rsidR="00551C0C" w:rsidRPr="00F81E19">
        <w:rPr>
          <w:rFonts w:cs="Times New Roman"/>
          <w:szCs w:val="22"/>
        </w:rPr>
        <w:t>mluvní s</w:t>
      </w:r>
      <w:r w:rsidRPr="00F81E19">
        <w:rPr>
          <w:rFonts w:cs="Times New Roman"/>
          <w:szCs w:val="22"/>
        </w:rPr>
        <w:t>tranu nebo jejím jménem. Vzdání se některého nároku nebo práva vyplývajícího z této Smlouvy nebude vykládáno jako vzdání se jakéhokoliv jiného nároku nebo práva. Žádné prodloužení lhůty ke splnění povinnosti nebo jiného úkonu předpokládaného touto Smlouvou nebude vykládáno jako prodloužení lhůty ke splnění jakékoliv jiné povinnosti nebo jiného úkonu předpokládaného touto Smlouvou.</w:t>
      </w:r>
    </w:p>
    <w:p w14:paraId="561E84E8" w14:textId="77777777" w:rsidR="003D0930" w:rsidRPr="00F81E19" w:rsidRDefault="003D0930" w:rsidP="004E5A86">
      <w:pPr>
        <w:pStyle w:val="Nadpis1"/>
        <w:keepNext w:val="0"/>
        <w:spacing w:before="120" w:after="120"/>
        <w:rPr>
          <w:rFonts w:cs="Times New Roman"/>
          <w:szCs w:val="22"/>
        </w:rPr>
      </w:pPr>
      <w:r w:rsidRPr="00F81E19">
        <w:rPr>
          <w:rFonts w:cs="Times New Roman"/>
          <w:szCs w:val="22"/>
        </w:rPr>
        <w:t>důvěrnost informací a veřejná prohlášení</w:t>
      </w:r>
    </w:p>
    <w:p w14:paraId="6BDD8CA6" w14:textId="476757E4" w:rsidR="003D0930" w:rsidRPr="00F81E19" w:rsidRDefault="003D0930" w:rsidP="004E5A86">
      <w:pPr>
        <w:pStyle w:val="Clanek11"/>
        <w:widowControl/>
        <w:rPr>
          <w:rFonts w:cs="Times New Roman"/>
          <w:szCs w:val="22"/>
        </w:rPr>
      </w:pPr>
      <w:bookmarkStart w:id="31" w:name="_Ref130287732"/>
      <w:r w:rsidRPr="00F81E19">
        <w:rPr>
          <w:rFonts w:cs="Times New Roman"/>
          <w:szCs w:val="22"/>
        </w:rPr>
        <w:t>Žádná ze S</w:t>
      </w:r>
      <w:r w:rsidR="00551C0C" w:rsidRPr="00F81E19">
        <w:rPr>
          <w:rFonts w:cs="Times New Roman"/>
          <w:szCs w:val="22"/>
        </w:rPr>
        <w:t>mluvních s</w:t>
      </w:r>
      <w:r w:rsidRPr="00F81E19">
        <w:rPr>
          <w:rFonts w:cs="Times New Roman"/>
          <w:szCs w:val="22"/>
        </w:rPr>
        <w:t>tran nesmí poskytnout jakékoli třetí straně jakékoliv informace o</w:t>
      </w:r>
      <w:r w:rsidR="00551C0C" w:rsidRPr="00F81E19">
        <w:rPr>
          <w:rFonts w:cs="Times New Roman"/>
          <w:szCs w:val="22"/>
        </w:rPr>
        <w:t> </w:t>
      </w:r>
      <w:r w:rsidRPr="00F81E19">
        <w:rPr>
          <w:rFonts w:cs="Times New Roman"/>
          <w:szCs w:val="22"/>
        </w:rPr>
        <w:t>podmínkách této Smlouvy a jednáních s ní spojených („</w:t>
      </w:r>
      <w:r w:rsidRPr="00F81E19">
        <w:rPr>
          <w:rFonts w:cs="Times New Roman"/>
          <w:b/>
          <w:szCs w:val="22"/>
        </w:rPr>
        <w:t>Důvěrné informace</w:t>
      </w:r>
      <w:r w:rsidRPr="00F81E19">
        <w:rPr>
          <w:rFonts w:cs="Times New Roman"/>
          <w:szCs w:val="22"/>
        </w:rPr>
        <w:t xml:space="preserve">“), které se týkají druhé </w:t>
      </w:r>
      <w:r w:rsidR="00551C0C" w:rsidRPr="00F81E19">
        <w:rPr>
          <w:rFonts w:cs="Times New Roman"/>
          <w:szCs w:val="22"/>
        </w:rPr>
        <w:t>Smluvní s</w:t>
      </w:r>
      <w:r w:rsidRPr="00F81E19">
        <w:rPr>
          <w:rFonts w:cs="Times New Roman"/>
          <w:szCs w:val="22"/>
        </w:rPr>
        <w:t>trany, bez předchozího písemného souhlasu této S</w:t>
      </w:r>
      <w:r w:rsidR="00551C0C" w:rsidRPr="00F81E19">
        <w:rPr>
          <w:rFonts w:cs="Times New Roman"/>
          <w:szCs w:val="22"/>
        </w:rPr>
        <w:t>mluvní s</w:t>
      </w:r>
      <w:r w:rsidRPr="00F81E19">
        <w:rPr>
          <w:rFonts w:cs="Times New Roman"/>
          <w:szCs w:val="22"/>
        </w:rPr>
        <w:t>trany, s výjimkou (i)</w:t>
      </w:r>
      <w:r w:rsidR="00C60F50" w:rsidRPr="00F81E19">
        <w:rPr>
          <w:rFonts w:cs="Times New Roman"/>
          <w:szCs w:val="22"/>
        </w:rPr>
        <w:t> </w:t>
      </w:r>
      <w:r w:rsidRPr="00F81E19">
        <w:rPr>
          <w:rFonts w:cs="Times New Roman"/>
          <w:szCs w:val="22"/>
        </w:rPr>
        <w:t>svých poradců vázaných povinností mlčenlivosti ve stejném rozsahu jako S</w:t>
      </w:r>
      <w:r w:rsidR="00551C0C" w:rsidRPr="00F81E19">
        <w:rPr>
          <w:rFonts w:cs="Times New Roman"/>
          <w:szCs w:val="22"/>
        </w:rPr>
        <w:t>mluvní s</w:t>
      </w:r>
      <w:r w:rsidRPr="00F81E19">
        <w:rPr>
          <w:rFonts w:cs="Times New Roman"/>
          <w:szCs w:val="22"/>
        </w:rPr>
        <w:t>trany, (</w:t>
      </w:r>
      <w:proofErr w:type="spellStart"/>
      <w:r w:rsidRPr="00F81E19">
        <w:rPr>
          <w:rFonts w:cs="Times New Roman"/>
          <w:szCs w:val="22"/>
        </w:rPr>
        <w:t>ii</w:t>
      </w:r>
      <w:proofErr w:type="spellEnd"/>
      <w:r w:rsidRPr="00F81E19">
        <w:rPr>
          <w:rFonts w:cs="Times New Roman"/>
          <w:szCs w:val="22"/>
        </w:rPr>
        <w:t>)</w:t>
      </w:r>
      <w:r w:rsidR="00C60F50" w:rsidRPr="00F81E19">
        <w:rPr>
          <w:rFonts w:cs="Times New Roman"/>
          <w:szCs w:val="22"/>
        </w:rPr>
        <w:t> </w:t>
      </w:r>
      <w:r w:rsidRPr="00F81E19">
        <w:rPr>
          <w:rFonts w:cs="Times New Roman"/>
          <w:szCs w:val="22"/>
        </w:rPr>
        <w:t>příslušných státních a jiných správních úřadů a soudů, pokud jsou S</w:t>
      </w:r>
      <w:r w:rsidR="00551C0C" w:rsidRPr="00F81E19">
        <w:rPr>
          <w:rFonts w:cs="Times New Roman"/>
          <w:szCs w:val="22"/>
        </w:rPr>
        <w:t>mluvní s</w:t>
      </w:r>
      <w:r w:rsidRPr="00F81E19">
        <w:rPr>
          <w:rFonts w:cs="Times New Roman"/>
          <w:szCs w:val="22"/>
        </w:rPr>
        <w:t>trany povinny podle obecně závazných předpisů jim tyto informace poskytnout, (</w:t>
      </w:r>
      <w:proofErr w:type="spellStart"/>
      <w:r w:rsidRPr="00F81E19">
        <w:rPr>
          <w:rFonts w:cs="Times New Roman"/>
          <w:szCs w:val="22"/>
        </w:rPr>
        <w:t>iii</w:t>
      </w:r>
      <w:proofErr w:type="spellEnd"/>
      <w:r w:rsidRPr="00F81E19">
        <w:rPr>
          <w:rFonts w:cs="Times New Roman"/>
          <w:szCs w:val="22"/>
        </w:rPr>
        <w:t>) informací, které jsou nebo se stanou veřejně dostupnými jinak než porušením této Smlouvy.</w:t>
      </w:r>
      <w:bookmarkEnd w:id="31"/>
    </w:p>
    <w:p w14:paraId="2D69AA60" w14:textId="77777777" w:rsidR="003D0930" w:rsidRPr="00F81E19" w:rsidRDefault="003D0930" w:rsidP="004E5A86">
      <w:pPr>
        <w:pStyle w:val="Clanek11"/>
        <w:widowControl/>
        <w:rPr>
          <w:rFonts w:cs="Times New Roman"/>
          <w:szCs w:val="22"/>
        </w:rPr>
      </w:pPr>
      <w:r w:rsidRPr="00F81E19">
        <w:rPr>
          <w:rFonts w:cs="Times New Roman"/>
          <w:szCs w:val="22"/>
        </w:rPr>
        <w:t>Žádná ze S</w:t>
      </w:r>
      <w:r w:rsidR="00551C0C" w:rsidRPr="00F81E19">
        <w:rPr>
          <w:rFonts w:cs="Times New Roman"/>
          <w:szCs w:val="22"/>
        </w:rPr>
        <w:t>mluvních s</w:t>
      </w:r>
      <w:r w:rsidRPr="00F81E19">
        <w:rPr>
          <w:rFonts w:cs="Times New Roman"/>
          <w:szCs w:val="22"/>
        </w:rPr>
        <w:t>tran neučiní veřejné prohlášení nebo veřejnosti neposkytne informace o</w:t>
      </w:r>
      <w:r w:rsidR="009D1AD8" w:rsidRPr="00F81E19">
        <w:rPr>
          <w:rFonts w:cs="Times New Roman"/>
          <w:szCs w:val="22"/>
        </w:rPr>
        <w:t> </w:t>
      </w:r>
      <w:r w:rsidRPr="00F81E19">
        <w:rPr>
          <w:rFonts w:cs="Times New Roman"/>
          <w:szCs w:val="22"/>
        </w:rPr>
        <w:t>existenci nebo předmětu této Smlouvy bez předchozího písemného souhlasu druhé S</w:t>
      </w:r>
      <w:r w:rsidR="009D1AD8" w:rsidRPr="00F81E19">
        <w:rPr>
          <w:rFonts w:cs="Times New Roman"/>
          <w:szCs w:val="22"/>
        </w:rPr>
        <w:t>mluvní s</w:t>
      </w:r>
      <w:r w:rsidRPr="00F81E19">
        <w:rPr>
          <w:rFonts w:cs="Times New Roman"/>
          <w:szCs w:val="22"/>
        </w:rPr>
        <w:t>trany. Ustanovení předchozí věty se nevztahuje na veřejná prohlášení učiněná nebo informace poskytnuté podle příslušných právních předpisů nebo na základě zákonného požadavku jakéhokoli státního orgánu, soudu nebo správního orgánů</w:t>
      </w:r>
      <w:r w:rsidR="00FC55A0" w:rsidRPr="00F81E19">
        <w:rPr>
          <w:rFonts w:cs="Times New Roman"/>
          <w:szCs w:val="22"/>
        </w:rPr>
        <w:t>,</w:t>
      </w:r>
      <w:r w:rsidRPr="00F81E19">
        <w:rPr>
          <w:rFonts w:cs="Times New Roman"/>
          <w:szCs w:val="22"/>
        </w:rPr>
        <w:t xml:space="preserve"> pokud S</w:t>
      </w:r>
      <w:r w:rsidR="009D1AD8" w:rsidRPr="00F81E19">
        <w:rPr>
          <w:rFonts w:cs="Times New Roman"/>
          <w:szCs w:val="22"/>
        </w:rPr>
        <w:t>mluvní s</w:t>
      </w:r>
      <w:r w:rsidRPr="00F81E19">
        <w:rPr>
          <w:rFonts w:cs="Times New Roman"/>
          <w:szCs w:val="22"/>
        </w:rPr>
        <w:t>trana, která je povinna toto veřejné prohlášení učinit nebo informace poskytnout, v tomto smyslu informuje druhou S</w:t>
      </w:r>
      <w:r w:rsidR="009D1AD8" w:rsidRPr="00F81E19">
        <w:rPr>
          <w:rFonts w:cs="Times New Roman"/>
          <w:szCs w:val="22"/>
        </w:rPr>
        <w:t>mluvní s</w:t>
      </w:r>
      <w:r w:rsidRPr="00F81E19">
        <w:rPr>
          <w:rFonts w:cs="Times New Roman"/>
          <w:szCs w:val="22"/>
        </w:rPr>
        <w:t>tranu co nejdříve před splněním této povinnosti.</w:t>
      </w:r>
    </w:p>
    <w:p w14:paraId="49B9F845" w14:textId="77777777" w:rsidR="007F52C2" w:rsidRPr="00F81E19" w:rsidRDefault="007F52C2" w:rsidP="004E5A86">
      <w:pPr>
        <w:pStyle w:val="Nadpis1"/>
        <w:keepNext w:val="0"/>
        <w:spacing w:before="120" w:after="120"/>
        <w:rPr>
          <w:rFonts w:cs="Times New Roman"/>
          <w:szCs w:val="22"/>
        </w:rPr>
      </w:pPr>
      <w:r w:rsidRPr="00F81E19">
        <w:rPr>
          <w:rFonts w:cs="Times New Roman"/>
          <w:szCs w:val="22"/>
        </w:rPr>
        <w:t>závěrečná ustanovení</w:t>
      </w:r>
    </w:p>
    <w:p w14:paraId="49FABE6E" w14:textId="2541EA79" w:rsidR="00076EC3" w:rsidRPr="00F81E19" w:rsidRDefault="00613F90" w:rsidP="00076EC3">
      <w:pPr>
        <w:pStyle w:val="Clanek11"/>
        <w:widowControl/>
        <w:rPr>
          <w:rFonts w:cs="Times New Roman"/>
          <w:szCs w:val="22"/>
        </w:rPr>
      </w:pPr>
      <w:r w:rsidRPr="00F81E19">
        <w:rPr>
          <w:rFonts w:cs="Times New Roman"/>
          <w:szCs w:val="22"/>
        </w:rPr>
        <w:t>Ž</w:t>
      </w:r>
      <w:r w:rsidR="00FE5FCE" w:rsidRPr="00F81E19">
        <w:rPr>
          <w:rFonts w:cs="Times New Roman"/>
          <w:szCs w:val="22"/>
        </w:rPr>
        <w:t>ádná ze Smluvních stran n</w:t>
      </w:r>
      <w:r w:rsidR="00076EC3" w:rsidRPr="00F81E19">
        <w:rPr>
          <w:rFonts w:cs="Times New Roman"/>
          <w:szCs w:val="22"/>
        </w:rPr>
        <w:t>ení oprávněn</w:t>
      </w:r>
      <w:r w:rsidR="00FE5FCE" w:rsidRPr="00F81E19">
        <w:rPr>
          <w:rFonts w:cs="Times New Roman"/>
          <w:szCs w:val="22"/>
        </w:rPr>
        <w:t>a</w:t>
      </w:r>
      <w:r w:rsidR="00076EC3" w:rsidRPr="00F81E19">
        <w:rPr>
          <w:rFonts w:cs="Times New Roman"/>
          <w:szCs w:val="22"/>
        </w:rPr>
        <w:t xml:space="preserve"> tuto Smlouvu jako celek, ani jednotlivá práva, povinnosti či případné nároky vyplývající z této Smlouvy postoupit na třetí osobu bez předchozího písemného souhlasu </w:t>
      </w:r>
      <w:r w:rsidR="00FE5FCE" w:rsidRPr="00F81E19">
        <w:rPr>
          <w:rFonts w:cs="Times New Roman"/>
          <w:szCs w:val="22"/>
        </w:rPr>
        <w:t>druhé Smluvní strany</w:t>
      </w:r>
      <w:r w:rsidR="00076EC3" w:rsidRPr="00F81E19">
        <w:rPr>
          <w:rFonts w:cs="Times New Roman"/>
          <w:szCs w:val="22"/>
        </w:rPr>
        <w:t xml:space="preserve">. </w:t>
      </w:r>
      <w:r w:rsidRPr="00F81E19">
        <w:rPr>
          <w:rFonts w:cs="Times New Roman"/>
          <w:szCs w:val="22"/>
        </w:rPr>
        <w:t xml:space="preserve">Tímto není dotčena možnost Poskytovatele zajišťovat </w:t>
      </w:r>
      <w:r w:rsidR="008E4FC2" w:rsidRPr="00F81E19">
        <w:rPr>
          <w:rFonts w:cs="Times New Roman"/>
          <w:szCs w:val="22"/>
        </w:rPr>
        <w:t>S</w:t>
      </w:r>
      <w:r w:rsidRPr="00F81E19">
        <w:rPr>
          <w:rFonts w:cs="Times New Roman"/>
          <w:szCs w:val="22"/>
        </w:rPr>
        <w:t>lužby prostřednictvím třetí osoby dle článku</w:t>
      </w:r>
      <w:r w:rsidR="00C31189" w:rsidRPr="00F81E19">
        <w:rPr>
          <w:rFonts w:cs="Times New Roman"/>
          <w:szCs w:val="22"/>
        </w:rPr>
        <w:t xml:space="preserve"> </w:t>
      </w:r>
      <w:r w:rsidR="00C31189" w:rsidRPr="00F81E19">
        <w:rPr>
          <w:rFonts w:cs="Times New Roman"/>
          <w:szCs w:val="22"/>
        </w:rPr>
        <w:fldChar w:fldCharType="begin"/>
      </w:r>
      <w:r w:rsidR="00C31189" w:rsidRPr="00F81E19">
        <w:rPr>
          <w:rFonts w:cs="Times New Roman"/>
          <w:szCs w:val="22"/>
        </w:rPr>
        <w:instrText xml:space="preserve"> REF _Ref134019175 \r \h </w:instrText>
      </w:r>
      <w:r w:rsidR="00F81E19" w:rsidRPr="00F81E19">
        <w:rPr>
          <w:rFonts w:cs="Times New Roman"/>
          <w:szCs w:val="22"/>
        </w:rPr>
        <w:instrText xml:space="preserve"> \* MERGEFORMAT </w:instrText>
      </w:r>
      <w:r w:rsidR="00C31189" w:rsidRPr="00F81E19">
        <w:rPr>
          <w:rFonts w:cs="Times New Roman"/>
          <w:szCs w:val="22"/>
        </w:rPr>
      </w:r>
      <w:r w:rsidR="00C31189" w:rsidRPr="00F81E19">
        <w:rPr>
          <w:rFonts w:cs="Times New Roman"/>
          <w:szCs w:val="22"/>
        </w:rPr>
        <w:fldChar w:fldCharType="separate"/>
      </w:r>
      <w:r w:rsidR="007F550A">
        <w:rPr>
          <w:rFonts w:cs="Times New Roman"/>
          <w:szCs w:val="22"/>
        </w:rPr>
        <w:t>3.11</w:t>
      </w:r>
      <w:r w:rsidR="00C31189" w:rsidRPr="00F81E19">
        <w:rPr>
          <w:rFonts w:cs="Times New Roman"/>
          <w:szCs w:val="22"/>
        </w:rPr>
        <w:fldChar w:fldCharType="end"/>
      </w:r>
      <w:r w:rsidR="001177B7">
        <w:rPr>
          <w:rFonts w:cs="Times New Roman"/>
          <w:szCs w:val="22"/>
        </w:rPr>
        <w:t>.</w:t>
      </w:r>
    </w:p>
    <w:p w14:paraId="06B5F2EE" w14:textId="27A74499" w:rsidR="00EF0B76" w:rsidRPr="00EF0B76" w:rsidRDefault="007F52C2" w:rsidP="000C6E62">
      <w:pPr>
        <w:pStyle w:val="Clanek11"/>
      </w:pPr>
      <w:r w:rsidRPr="00EF0B76">
        <w:rPr>
          <w:rFonts w:cs="Times New Roman"/>
          <w:szCs w:val="22"/>
        </w:rPr>
        <w:t xml:space="preserve">Tato Smlouva a veškeré dodatky k ní se řídí právními předpisy České republiky a budou vykládány v souladu s nimi. </w:t>
      </w:r>
      <w:bookmarkStart w:id="32" w:name="_Ref130287763"/>
      <w:r w:rsidR="00EF0B76">
        <w:rPr>
          <w:rFonts w:cs="Times New Roman"/>
          <w:szCs w:val="22"/>
        </w:rPr>
        <w:t xml:space="preserve"> </w:t>
      </w:r>
      <w:r w:rsidRPr="00EF0B76">
        <w:rPr>
          <w:rFonts w:cs="Times New Roman"/>
          <w:szCs w:val="22"/>
        </w:rPr>
        <w:t>S</w:t>
      </w:r>
      <w:r w:rsidR="009D1AD8" w:rsidRPr="00EF0B76">
        <w:rPr>
          <w:rFonts w:cs="Times New Roman"/>
          <w:szCs w:val="22"/>
        </w:rPr>
        <w:t>mluvní s</w:t>
      </w:r>
      <w:r w:rsidRPr="00EF0B76">
        <w:rPr>
          <w:rFonts w:cs="Times New Roman"/>
          <w:szCs w:val="22"/>
        </w:rPr>
        <w:t xml:space="preserve">trany se tímto zavazují, že </w:t>
      </w:r>
      <w:proofErr w:type="gramStart"/>
      <w:r w:rsidRPr="00EF0B76">
        <w:rPr>
          <w:rFonts w:cs="Times New Roman"/>
          <w:szCs w:val="22"/>
        </w:rPr>
        <w:t>vynaloží</w:t>
      </w:r>
      <w:proofErr w:type="gramEnd"/>
      <w:r w:rsidRPr="00EF0B76">
        <w:rPr>
          <w:rFonts w:cs="Times New Roman"/>
          <w:szCs w:val="22"/>
        </w:rPr>
        <w:t xml:space="preserve"> veškeré úsilí k urovnání všech sporů vzniklých z</w:t>
      </w:r>
      <w:r w:rsidR="009D1AD8" w:rsidRPr="00EF0B76">
        <w:rPr>
          <w:rFonts w:cs="Times New Roman"/>
          <w:szCs w:val="22"/>
        </w:rPr>
        <w:t> </w:t>
      </w:r>
      <w:r w:rsidRPr="00EF0B76">
        <w:rPr>
          <w:rFonts w:cs="Times New Roman"/>
          <w:szCs w:val="22"/>
        </w:rPr>
        <w:t xml:space="preserve">této Smlouvy a/nebo v souvislosti s </w:t>
      </w:r>
      <w:r w:rsidR="00430613" w:rsidRPr="00EF0B76">
        <w:rPr>
          <w:rFonts w:cs="Times New Roman"/>
          <w:szCs w:val="22"/>
        </w:rPr>
        <w:t xml:space="preserve">ní </w:t>
      </w:r>
      <w:r w:rsidRPr="00EF0B76">
        <w:rPr>
          <w:rFonts w:cs="Times New Roman"/>
          <w:szCs w:val="22"/>
        </w:rPr>
        <w:t>(„</w:t>
      </w:r>
      <w:r w:rsidRPr="00EF0B76">
        <w:rPr>
          <w:rFonts w:cs="Times New Roman"/>
          <w:b/>
          <w:bCs w:val="0"/>
          <w:szCs w:val="22"/>
        </w:rPr>
        <w:t>Spor</w:t>
      </w:r>
      <w:r w:rsidRPr="00EF0B76">
        <w:rPr>
          <w:rFonts w:cs="Times New Roman"/>
          <w:szCs w:val="22"/>
        </w:rPr>
        <w:t>“) smírnou cestou. Pokud S</w:t>
      </w:r>
      <w:r w:rsidR="009D1AD8" w:rsidRPr="00EF0B76">
        <w:rPr>
          <w:rFonts w:cs="Times New Roman"/>
          <w:szCs w:val="22"/>
        </w:rPr>
        <w:t>mluvní s</w:t>
      </w:r>
      <w:r w:rsidRPr="00EF0B76">
        <w:rPr>
          <w:rFonts w:cs="Times New Roman"/>
          <w:szCs w:val="22"/>
        </w:rPr>
        <w:t xml:space="preserve">trany </w:t>
      </w:r>
      <w:proofErr w:type="gramStart"/>
      <w:r w:rsidRPr="00EF0B76">
        <w:rPr>
          <w:rFonts w:cs="Times New Roman"/>
          <w:szCs w:val="22"/>
        </w:rPr>
        <w:t>nevyřeší</w:t>
      </w:r>
      <w:proofErr w:type="gramEnd"/>
      <w:r w:rsidRPr="00EF0B76">
        <w:rPr>
          <w:rFonts w:cs="Times New Roman"/>
          <w:szCs w:val="22"/>
        </w:rPr>
        <w:t xml:space="preserve"> jakýkoliv Spor smírnou cestou, bude takový Spor </w:t>
      </w:r>
      <w:r w:rsidR="00EF0B76" w:rsidRPr="00EF0B76">
        <w:t>s konečnou platností vyřešen příslušnými soudy České republiky, pokud se Strany nedohodnou jinak. V souladu s § 89a zákona č. 99/1963 Sb., občanský soudní řád, v platném znění, se Strany dohodly, že místně příslušný k projednání sporů ze Smlouvy jsou v závislosti na věcné příslušnosti Okresní soud v Jablonci nad Nisou, nebo Krajský soud v stí nad Labem.</w:t>
      </w:r>
    </w:p>
    <w:bookmarkEnd w:id="32"/>
    <w:p w14:paraId="0578A211" w14:textId="72429858" w:rsidR="00EF0B76" w:rsidRPr="00EF0B76" w:rsidRDefault="00EF0B76" w:rsidP="000C6E62">
      <w:pPr>
        <w:pStyle w:val="Clanek11"/>
        <w:widowControl/>
        <w:rPr>
          <w:rFonts w:cs="Times New Roman"/>
          <w:szCs w:val="22"/>
        </w:rPr>
      </w:pPr>
      <w:r w:rsidRPr="00EF0B76">
        <w:rPr>
          <w:rFonts w:cs="Times New Roman"/>
          <w:szCs w:val="22"/>
        </w:rPr>
        <w:t>Tato Smlouva nabývá účinnosti uveřejněním v registru smluv podle zákona č. 340/2015 Sb., o zvláštních podmínkách účinnosti některých smluv, uveřejňování těchto smluv a o registru smluv (zákon o registru smluv), v platném znění</w:t>
      </w:r>
      <w:r w:rsidR="0009376A">
        <w:rPr>
          <w:rFonts w:cs="Times New Roman"/>
          <w:szCs w:val="22"/>
        </w:rPr>
        <w:t>, nebo Dnem zahájení provozu FVE, podle toho, který okamžik nastane později</w:t>
      </w:r>
      <w:r w:rsidRPr="00EF0B76">
        <w:rPr>
          <w:rFonts w:cs="Times New Roman"/>
          <w:szCs w:val="22"/>
        </w:rPr>
        <w:t>; uveřejnění zajistí Objednatel, a to nejpozději do třiceti (30) dnů od její platnosti a plně v souladu s požadavky dotčeného zákona o registru smluv.</w:t>
      </w:r>
    </w:p>
    <w:p w14:paraId="5F8DEBBE" w14:textId="7E3BFB1E" w:rsidR="00D424DF" w:rsidRPr="00EF0B76" w:rsidRDefault="007F52C2" w:rsidP="00EF0B76">
      <w:pPr>
        <w:pStyle w:val="Clanek11"/>
        <w:widowControl/>
        <w:rPr>
          <w:rFonts w:cs="Times New Roman"/>
          <w:szCs w:val="22"/>
        </w:rPr>
      </w:pPr>
      <w:r w:rsidRPr="00EF0B76">
        <w:rPr>
          <w:rFonts w:cs="Times New Roman"/>
          <w:szCs w:val="22"/>
        </w:rPr>
        <w:t xml:space="preserve">Tato Smlouva je vyhotovena ve </w:t>
      </w:r>
      <w:r w:rsidR="00BB1A72" w:rsidRPr="00EF0B76">
        <w:rPr>
          <w:rFonts w:cs="Times New Roman"/>
          <w:szCs w:val="22"/>
        </w:rPr>
        <w:t>dvou</w:t>
      </w:r>
      <w:r w:rsidRPr="00EF0B76">
        <w:rPr>
          <w:rFonts w:cs="Times New Roman"/>
          <w:szCs w:val="22"/>
        </w:rPr>
        <w:t xml:space="preserve"> (</w:t>
      </w:r>
      <w:r w:rsidR="00BB1A72" w:rsidRPr="00EF0B76">
        <w:rPr>
          <w:rFonts w:cs="Times New Roman"/>
          <w:szCs w:val="22"/>
        </w:rPr>
        <w:t>2</w:t>
      </w:r>
      <w:r w:rsidRPr="00EF0B76">
        <w:rPr>
          <w:rFonts w:cs="Times New Roman"/>
          <w:szCs w:val="22"/>
        </w:rPr>
        <w:t xml:space="preserve">) </w:t>
      </w:r>
      <w:r w:rsidR="00AA1A25" w:rsidRPr="00EF0B76">
        <w:rPr>
          <w:rFonts w:cs="Times New Roman"/>
          <w:szCs w:val="22"/>
        </w:rPr>
        <w:t>stejnopisech</w:t>
      </w:r>
      <w:r w:rsidRPr="00EF0B76">
        <w:rPr>
          <w:rFonts w:cs="Times New Roman"/>
          <w:szCs w:val="22"/>
        </w:rPr>
        <w:t xml:space="preserve">, </w:t>
      </w:r>
      <w:r w:rsidR="00AA1A25" w:rsidRPr="00EF0B76">
        <w:rPr>
          <w:rFonts w:cs="Times New Roman"/>
          <w:szCs w:val="22"/>
        </w:rPr>
        <w:t>z nichž</w:t>
      </w:r>
      <w:r w:rsidRPr="00EF0B76">
        <w:rPr>
          <w:rFonts w:cs="Times New Roman"/>
          <w:szCs w:val="22"/>
        </w:rPr>
        <w:t xml:space="preserve"> každá </w:t>
      </w:r>
      <w:r w:rsidR="00AA1A25" w:rsidRPr="00EF0B76">
        <w:rPr>
          <w:rFonts w:cs="Times New Roman"/>
          <w:szCs w:val="22"/>
        </w:rPr>
        <w:t xml:space="preserve">ze </w:t>
      </w:r>
      <w:r w:rsidRPr="00EF0B76">
        <w:rPr>
          <w:rFonts w:cs="Times New Roman"/>
          <w:szCs w:val="22"/>
        </w:rPr>
        <w:t>S</w:t>
      </w:r>
      <w:r w:rsidR="00AA1A25" w:rsidRPr="00EF0B76">
        <w:rPr>
          <w:rFonts w:cs="Times New Roman"/>
          <w:szCs w:val="22"/>
        </w:rPr>
        <w:t>mluvních s</w:t>
      </w:r>
      <w:r w:rsidRPr="00EF0B76">
        <w:rPr>
          <w:rFonts w:cs="Times New Roman"/>
          <w:szCs w:val="22"/>
        </w:rPr>
        <w:t xml:space="preserve">tran </w:t>
      </w:r>
      <w:proofErr w:type="gramStart"/>
      <w:r w:rsidRPr="00EF0B76">
        <w:rPr>
          <w:rFonts w:cs="Times New Roman"/>
          <w:szCs w:val="22"/>
        </w:rPr>
        <w:t>obdrží</w:t>
      </w:r>
      <w:proofErr w:type="gramEnd"/>
      <w:r w:rsidRPr="00EF0B76">
        <w:rPr>
          <w:rFonts w:cs="Times New Roman"/>
          <w:szCs w:val="22"/>
        </w:rPr>
        <w:t xml:space="preserve"> </w:t>
      </w:r>
      <w:r w:rsidR="00AA1A25" w:rsidRPr="00EF0B76">
        <w:rPr>
          <w:rFonts w:cs="Times New Roman"/>
          <w:szCs w:val="22"/>
        </w:rPr>
        <w:t>po </w:t>
      </w:r>
      <w:r w:rsidRPr="00EF0B76">
        <w:rPr>
          <w:rFonts w:cs="Times New Roman"/>
          <w:szCs w:val="22"/>
        </w:rPr>
        <w:t>jedno</w:t>
      </w:r>
      <w:r w:rsidR="00AA1A25" w:rsidRPr="00EF0B76">
        <w:rPr>
          <w:rFonts w:cs="Times New Roman"/>
          <w:szCs w:val="22"/>
        </w:rPr>
        <w:t>m</w:t>
      </w:r>
      <w:r w:rsidR="005A2A7E" w:rsidRPr="00EF0B76">
        <w:rPr>
          <w:rFonts w:cs="Times New Roman"/>
          <w:szCs w:val="22"/>
        </w:rPr>
        <w:t> </w:t>
      </w:r>
      <w:r w:rsidRPr="00EF0B76">
        <w:rPr>
          <w:rFonts w:cs="Times New Roman"/>
          <w:szCs w:val="22"/>
        </w:rPr>
        <w:t>(1)</w:t>
      </w:r>
      <w:r w:rsidR="005A2A7E" w:rsidRPr="00EF0B76">
        <w:rPr>
          <w:rFonts w:cs="Times New Roman"/>
          <w:szCs w:val="22"/>
        </w:rPr>
        <w:t> </w:t>
      </w:r>
      <w:r w:rsidRPr="00EF0B76">
        <w:rPr>
          <w:rFonts w:cs="Times New Roman"/>
          <w:szCs w:val="22"/>
        </w:rPr>
        <w:t xml:space="preserve">vyhotovení. </w:t>
      </w:r>
    </w:p>
    <w:p w14:paraId="0694614A" w14:textId="2912F04C" w:rsidR="00D424DF" w:rsidRPr="00F81E19" w:rsidRDefault="00D424DF" w:rsidP="00D424DF">
      <w:pPr>
        <w:pStyle w:val="Clanek11"/>
        <w:widowControl/>
        <w:rPr>
          <w:rFonts w:cs="Times New Roman"/>
          <w:szCs w:val="22"/>
        </w:rPr>
      </w:pPr>
      <w:r w:rsidRPr="00F81E19">
        <w:rPr>
          <w:rFonts w:cs="Times New Roman"/>
          <w:szCs w:val="22"/>
        </w:rPr>
        <w:t xml:space="preserve">Nedílnou součástí této Smlouvy </w:t>
      </w:r>
      <w:r w:rsidR="00BC17CB" w:rsidRPr="00F81E19">
        <w:rPr>
          <w:rFonts w:cs="Times New Roman"/>
          <w:szCs w:val="22"/>
        </w:rPr>
        <w:t xml:space="preserve">je </w:t>
      </w:r>
      <w:r w:rsidRPr="00F81E19">
        <w:rPr>
          <w:rFonts w:cs="Times New Roman"/>
          <w:szCs w:val="22"/>
        </w:rPr>
        <w:t>Příloha č. 1 – Rozsah Základních služeb.</w:t>
      </w:r>
    </w:p>
    <w:p w14:paraId="515E1AC7" w14:textId="77777777" w:rsidR="007F52C2" w:rsidRDefault="007F52C2" w:rsidP="004E5A86">
      <w:pPr>
        <w:pStyle w:val="Clanek11"/>
        <w:widowControl/>
        <w:rPr>
          <w:rFonts w:cs="Times New Roman"/>
          <w:szCs w:val="22"/>
        </w:rPr>
      </w:pPr>
      <w:r w:rsidRPr="00F81E19">
        <w:rPr>
          <w:rFonts w:cs="Times New Roman"/>
          <w:szCs w:val="22"/>
        </w:rPr>
        <w:lastRenderedPageBreak/>
        <w:t>Jakékoliv doplňky či změny této Smlouvy musí být učiněny písemně formou číslovaných dodatků.</w:t>
      </w:r>
    </w:p>
    <w:p w14:paraId="40FF9593" w14:textId="77777777" w:rsidR="005A3EDC" w:rsidRPr="00F81E19" w:rsidRDefault="005A3EDC" w:rsidP="005A3EDC">
      <w:pPr>
        <w:pStyle w:val="Clanek11"/>
        <w:widowControl/>
        <w:numPr>
          <w:ilvl w:val="0"/>
          <w:numId w:val="0"/>
        </w:numPr>
        <w:ind w:left="1135"/>
        <w:rPr>
          <w:rFonts w:cs="Times New Roman"/>
          <w:szCs w:val="22"/>
        </w:rPr>
      </w:pPr>
    </w:p>
    <w:p w14:paraId="55A8F4ED" w14:textId="77777777" w:rsidR="00C31189" w:rsidRPr="00F81E19" w:rsidRDefault="00C31189" w:rsidP="00C31189">
      <w:pPr>
        <w:pStyle w:val="Nadpis1"/>
        <w:numPr>
          <w:ilvl w:val="0"/>
          <w:numId w:val="0"/>
        </w:numPr>
        <w:rPr>
          <w:rFonts w:cs="Times New Roman"/>
          <w:szCs w:val="22"/>
        </w:rPr>
      </w:pPr>
      <w:r w:rsidRPr="00F81E19">
        <w:rPr>
          <w:rFonts w:cs="Times New Roman"/>
          <w:szCs w:val="22"/>
        </w:rPr>
        <w:t>SMLUVNÍ STRANY VÝSLOVNĚ PROHLAŠUJÍ, ŽE TATO SMLOUVA VYJADŘUJE JEJICH PRAVOU, VÁŽNOU A SVOBODNOU VŮLI, NA DŮKAZ ČEHOŽ PŘIPOJUJÍ SVÉ PODPISY NÍŽE:</w:t>
      </w:r>
    </w:p>
    <w:tbl>
      <w:tblPr>
        <w:tblW w:w="9072" w:type="dxa"/>
        <w:tblInd w:w="108" w:type="dxa"/>
        <w:tblLayout w:type="fixed"/>
        <w:tblLook w:val="0000" w:firstRow="0" w:lastRow="0" w:firstColumn="0" w:lastColumn="0" w:noHBand="0" w:noVBand="0"/>
      </w:tblPr>
      <w:tblGrid>
        <w:gridCol w:w="4536"/>
        <w:gridCol w:w="4536"/>
      </w:tblGrid>
      <w:tr w:rsidR="00C31189" w:rsidRPr="00F81E19" w14:paraId="1C7DCB0C" w14:textId="77777777">
        <w:trPr>
          <w:trHeight w:val="549"/>
        </w:trPr>
        <w:tc>
          <w:tcPr>
            <w:tcW w:w="4536" w:type="dxa"/>
          </w:tcPr>
          <w:p w14:paraId="3589CCC5" w14:textId="77777777" w:rsidR="00C31189" w:rsidRPr="00F81E19" w:rsidRDefault="00C31189">
            <w:pPr>
              <w:rPr>
                <w:szCs w:val="22"/>
              </w:rPr>
            </w:pPr>
            <w:r w:rsidRPr="00F81E19">
              <w:rPr>
                <w:szCs w:val="22"/>
              </w:rPr>
              <w:t xml:space="preserve">Místo: </w:t>
            </w:r>
          </w:p>
          <w:p w14:paraId="0281811B" w14:textId="77777777" w:rsidR="00C31189" w:rsidRPr="00F81E19" w:rsidRDefault="00C31189">
            <w:pPr>
              <w:rPr>
                <w:szCs w:val="22"/>
              </w:rPr>
            </w:pPr>
            <w:r w:rsidRPr="00F81E19">
              <w:rPr>
                <w:szCs w:val="22"/>
              </w:rPr>
              <w:t xml:space="preserve">Datum: </w:t>
            </w:r>
          </w:p>
        </w:tc>
        <w:tc>
          <w:tcPr>
            <w:tcW w:w="4536" w:type="dxa"/>
          </w:tcPr>
          <w:p w14:paraId="3D428CA0" w14:textId="77777777" w:rsidR="00C31189" w:rsidRPr="00F81E19" w:rsidRDefault="00C31189">
            <w:pPr>
              <w:rPr>
                <w:szCs w:val="22"/>
              </w:rPr>
            </w:pPr>
            <w:r w:rsidRPr="00F81E19">
              <w:rPr>
                <w:szCs w:val="22"/>
              </w:rPr>
              <w:t xml:space="preserve">Místo: </w:t>
            </w:r>
          </w:p>
          <w:p w14:paraId="3D19A939" w14:textId="77777777" w:rsidR="00C31189" w:rsidRPr="00F81E19" w:rsidRDefault="00C31189">
            <w:pPr>
              <w:rPr>
                <w:szCs w:val="22"/>
              </w:rPr>
            </w:pPr>
            <w:r w:rsidRPr="00F81E19">
              <w:rPr>
                <w:szCs w:val="22"/>
              </w:rPr>
              <w:t xml:space="preserve">Datum: </w:t>
            </w:r>
          </w:p>
        </w:tc>
      </w:tr>
      <w:tr w:rsidR="00C31189" w:rsidRPr="00F81E19" w14:paraId="1A71CF64" w14:textId="77777777">
        <w:trPr>
          <w:trHeight w:val="549"/>
        </w:trPr>
        <w:tc>
          <w:tcPr>
            <w:tcW w:w="4536" w:type="dxa"/>
          </w:tcPr>
          <w:p w14:paraId="20E34EF2" w14:textId="5EF2A6DD" w:rsidR="00C31189" w:rsidRPr="00F81E19" w:rsidRDefault="00C31189">
            <w:pPr>
              <w:ind w:right="-4927"/>
              <w:rPr>
                <w:b/>
                <w:szCs w:val="22"/>
              </w:rPr>
            </w:pPr>
            <w:r w:rsidRPr="00F81E19">
              <w:rPr>
                <w:szCs w:val="22"/>
              </w:rPr>
              <w:t xml:space="preserve">Za </w:t>
            </w:r>
            <w:r w:rsidR="00EF0B76">
              <w:rPr>
                <w:b/>
                <w:bCs/>
                <w:szCs w:val="22"/>
              </w:rPr>
              <w:t>Jablonecká energetická, a.s.</w:t>
            </w:r>
          </w:p>
        </w:tc>
        <w:tc>
          <w:tcPr>
            <w:tcW w:w="4536" w:type="dxa"/>
          </w:tcPr>
          <w:p w14:paraId="4B586D9C" w14:textId="030FA23E" w:rsidR="00C31189" w:rsidRPr="00F81E19" w:rsidRDefault="00C31189">
            <w:pPr>
              <w:rPr>
                <w:szCs w:val="22"/>
              </w:rPr>
            </w:pPr>
            <w:r w:rsidRPr="00F81E19">
              <w:rPr>
                <w:szCs w:val="22"/>
              </w:rPr>
              <w:t xml:space="preserve">Za </w:t>
            </w:r>
            <w:r w:rsidRPr="00F81E19">
              <w:rPr>
                <w:szCs w:val="22"/>
                <w:highlight w:val="yellow"/>
              </w:rPr>
              <w:t>[</w:t>
            </w:r>
            <w:r w:rsidR="002E2BBB" w:rsidRPr="002E2BBB">
              <w:rPr>
                <w:b/>
                <w:bCs/>
                <w:szCs w:val="22"/>
                <w:highlight w:val="yellow"/>
              </w:rPr>
              <w:t>DOPLNÍ DODAVATEL</w:t>
            </w:r>
            <w:r w:rsidRPr="00F81E19">
              <w:rPr>
                <w:szCs w:val="22"/>
                <w:highlight w:val="yellow"/>
              </w:rPr>
              <w:t>]</w:t>
            </w:r>
            <w:r w:rsidR="004226E0">
              <w:rPr>
                <w:szCs w:val="22"/>
              </w:rPr>
              <w:t>:</w:t>
            </w:r>
          </w:p>
        </w:tc>
      </w:tr>
      <w:tr w:rsidR="00C31189" w:rsidRPr="00F81E19" w14:paraId="41ADCD62" w14:textId="77777777">
        <w:trPr>
          <w:trHeight w:val="529"/>
        </w:trPr>
        <w:tc>
          <w:tcPr>
            <w:tcW w:w="4536" w:type="dxa"/>
          </w:tcPr>
          <w:p w14:paraId="1B2E0161" w14:textId="77777777" w:rsidR="00C31189" w:rsidRPr="00F81E19" w:rsidRDefault="00C31189">
            <w:pPr>
              <w:rPr>
                <w:szCs w:val="22"/>
              </w:rPr>
            </w:pPr>
          </w:p>
          <w:p w14:paraId="4EF795BE" w14:textId="77777777" w:rsidR="00C31189" w:rsidRPr="00F81E19" w:rsidRDefault="00C31189">
            <w:pPr>
              <w:rPr>
                <w:szCs w:val="22"/>
              </w:rPr>
            </w:pPr>
          </w:p>
          <w:p w14:paraId="0B387A03" w14:textId="77777777" w:rsidR="00C31189" w:rsidRPr="00F81E19" w:rsidRDefault="00C31189">
            <w:pPr>
              <w:rPr>
                <w:szCs w:val="22"/>
              </w:rPr>
            </w:pPr>
            <w:r w:rsidRPr="00F81E19">
              <w:rPr>
                <w:szCs w:val="22"/>
              </w:rPr>
              <w:t>_______________________________________</w:t>
            </w:r>
          </w:p>
        </w:tc>
        <w:tc>
          <w:tcPr>
            <w:tcW w:w="4536" w:type="dxa"/>
          </w:tcPr>
          <w:p w14:paraId="10AD6C5B" w14:textId="77777777" w:rsidR="00C31189" w:rsidRPr="00F81E19" w:rsidRDefault="00C31189">
            <w:pPr>
              <w:rPr>
                <w:szCs w:val="22"/>
              </w:rPr>
            </w:pPr>
          </w:p>
          <w:p w14:paraId="6822996D" w14:textId="77777777" w:rsidR="00C31189" w:rsidRPr="00F81E19" w:rsidRDefault="00C31189">
            <w:pPr>
              <w:rPr>
                <w:szCs w:val="22"/>
              </w:rPr>
            </w:pPr>
          </w:p>
          <w:p w14:paraId="1264D78C" w14:textId="77777777" w:rsidR="00C31189" w:rsidRPr="00F81E19" w:rsidRDefault="00C31189">
            <w:pPr>
              <w:rPr>
                <w:szCs w:val="22"/>
              </w:rPr>
            </w:pPr>
            <w:r w:rsidRPr="00F81E19">
              <w:rPr>
                <w:szCs w:val="22"/>
              </w:rPr>
              <w:t>_______________________________________</w:t>
            </w:r>
          </w:p>
        </w:tc>
      </w:tr>
      <w:tr w:rsidR="00C31189" w:rsidRPr="00F81E19" w14:paraId="3F209E92" w14:textId="77777777">
        <w:trPr>
          <w:trHeight w:val="543"/>
        </w:trPr>
        <w:tc>
          <w:tcPr>
            <w:tcW w:w="4536" w:type="dxa"/>
          </w:tcPr>
          <w:p w14:paraId="43ACF2EE" w14:textId="3351C06D" w:rsidR="00C31189" w:rsidRPr="00F81E19" w:rsidRDefault="00C31189">
            <w:pPr>
              <w:spacing w:after="0"/>
              <w:rPr>
                <w:b/>
                <w:bCs/>
                <w:szCs w:val="22"/>
              </w:rPr>
            </w:pPr>
            <w:r w:rsidRPr="00F81E19">
              <w:rPr>
                <w:szCs w:val="22"/>
              </w:rPr>
              <w:t xml:space="preserve">Jméno: </w:t>
            </w:r>
            <w:bookmarkStart w:id="33" w:name="_Hlk130316298"/>
            <w:r w:rsidRPr="00F81E19">
              <w:rPr>
                <w:szCs w:val="22"/>
                <w:highlight w:val="yellow"/>
              </w:rPr>
              <w:t>[</w:t>
            </w:r>
            <w:r w:rsidR="002E2BBB">
              <w:rPr>
                <w:szCs w:val="22"/>
                <w:highlight w:val="yellow"/>
              </w:rPr>
              <w:t>DOPLNÍ OBJEDNATEL</w:t>
            </w:r>
            <w:r w:rsidRPr="00F81E19">
              <w:rPr>
                <w:szCs w:val="22"/>
                <w:highlight w:val="yellow"/>
              </w:rPr>
              <w:t>]</w:t>
            </w:r>
            <w:bookmarkEnd w:id="33"/>
          </w:p>
          <w:p w14:paraId="5CF0757E" w14:textId="1D29E78F" w:rsidR="00C31189" w:rsidRPr="00F81E19" w:rsidRDefault="00C31189">
            <w:pPr>
              <w:rPr>
                <w:szCs w:val="22"/>
              </w:rPr>
            </w:pPr>
            <w:r w:rsidRPr="00F81E19">
              <w:rPr>
                <w:bCs/>
                <w:szCs w:val="22"/>
              </w:rPr>
              <w:t xml:space="preserve">Funkce: </w:t>
            </w:r>
            <w:r w:rsidRPr="00F81E19">
              <w:rPr>
                <w:szCs w:val="22"/>
                <w:highlight w:val="yellow"/>
              </w:rPr>
              <w:t>[</w:t>
            </w:r>
            <w:r w:rsidR="002E2BBB">
              <w:rPr>
                <w:szCs w:val="22"/>
                <w:highlight w:val="yellow"/>
              </w:rPr>
              <w:t>DOPLNÍ OBJEDNATEL</w:t>
            </w:r>
            <w:r w:rsidRPr="00F81E19">
              <w:rPr>
                <w:szCs w:val="22"/>
                <w:highlight w:val="yellow"/>
              </w:rPr>
              <w:t>]</w:t>
            </w:r>
          </w:p>
        </w:tc>
        <w:tc>
          <w:tcPr>
            <w:tcW w:w="4536" w:type="dxa"/>
          </w:tcPr>
          <w:p w14:paraId="0FD8453C" w14:textId="2117E536" w:rsidR="00C31189" w:rsidRPr="00F81E19" w:rsidRDefault="00C31189">
            <w:pPr>
              <w:spacing w:after="0"/>
              <w:rPr>
                <w:b/>
                <w:bCs/>
                <w:szCs w:val="22"/>
              </w:rPr>
            </w:pPr>
            <w:r w:rsidRPr="00F81E19">
              <w:rPr>
                <w:szCs w:val="22"/>
              </w:rPr>
              <w:t xml:space="preserve">Jméno: </w:t>
            </w:r>
            <w:r w:rsidRPr="00F81E19">
              <w:rPr>
                <w:szCs w:val="22"/>
                <w:highlight w:val="yellow"/>
              </w:rPr>
              <w:t>[</w:t>
            </w:r>
            <w:r w:rsidR="002E2BBB">
              <w:rPr>
                <w:szCs w:val="22"/>
                <w:highlight w:val="yellow"/>
              </w:rPr>
              <w:t>DOPLNÍ DODATEL</w:t>
            </w:r>
            <w:r w:rsidRPr="00F81E19">
              <w:rPr>
                <w:szCs w:val="22"/>
                <w:highlight w:val="yellow"/>
              </w:rPr>
              <w:t>]</w:t>
            </w:r>
          </w:p>
          <w:p w14:paraId="76E4B5D5" w14:textId="195A9709" w:rsidR="00C31189" w:rsidRPr="00F81E19" w:rsidRDefault="00C31189">
            <w:pPr>
              <w:tabs>
                <w:tab w:val="left" w:pos="142"/>
              </w:tabs>
              <w:rPr>
                <w:bCs/>
                <w:szCs w:val="22"/>
              </w:rPr>
            </w:pPr>
            <w:r w:rsidRPr="00F81E19">
              <w:rPr>
                <w:bCs/>
                <w:szCs w:val="22"/>
              </w:rPr>
              <w:t xml:space="preserve">Funkce: </w:t>
            </w:r>
            <w:r w:rsidRPr="00F81E19">
              <w:rPr>
                <w:szCs w:val="22"/>
                <w:highlight w:val="yellow"/>
              </w:rPr>
              <w:t>[</w:t>
            </w:r>
            <w:r w:rsidR="002E2BBB">
              <w:rPr>
                <w:szCs w:val="22"/>
                <w:highlight w:val="yellow"/>
              </w:rPr>
              <w:t>DOPLNÍ DODAVATEL</w:t>
            </w:r>
            <w:r w:rsidRPr="00F81E19">
              <w:rPr>
                <w:szCs w:val="22"/>
                <w:highlight w:val="yellow"/>
              </w:rPr>
              <w:t>]</w:t>
            </w:r>
          </w:p>
        </w:tc>
      </w:tr>
    </w:tbl>
    <w:p w14:paraId="5A4A2460" w14:textId="1587D114" w:rsidR="00A13048" w:rsidRPr="00F81E19" w:rsidRDefault="00A13048" w:rsidP="004E5A86">
      <w:pPr>
        <w:spacing w:before="0" w:after="0"/>
        <w:jc w:val="left"/>
        <w:rPr>
          <w:szCs w:val="22"/>
        </w:rPr>
      </w:pPr>
      <w:r w:rsidRPr="00F81E19">
        <w:rPr>
          <w:szCs w:val="22"/>
        </w:rPr>
        <w:br w:type="page"/>
      </w:r>
    </w:p>
    <w:p w14:paraId="057C3ADC" w14:textId="77777777" w:rsidR="00A13048" w:rsidRPr="00F81E19" w:rsidRDefault="00A13048" w:rsidP="00A13048">
      <w:pPr>
        <w:pStyle w:val="Clanek11"/>
        <w:numPr>
          <w:ilvl w:val="0"/>
          <w:numId w:val="0"/>
        </w:numPr>
        <w:jc w:val="center"/>
        <w:rPr>
          <w:rFonts w:cs="Times New Roman"/>
          <w:b/>
          <w:bCs w:val="0"/>
          <w:caps/>
          <w:szCs w:val="22"/>
        </w:rPr>
      </w:pPr>
      <w:r w:rsidRPr="00F81E19">
        <w:rPr>
          <w:rFonts w:cs="Times New Roman"/>
          <w:b/>
          <w:caps/>
          <w:szCs w:val="22"/>
        </w:rPr>
        <w:lastRenderedPageBreak/>
        <w:t>Příloha č.1</w:t>
      </w:r>
    </w:p>
    <w:p w14:paraId="166CA883" w14:textId="4F6C2ABD" w:rsidR="006D5334" w:rsidRPr="00F81E19" w:rsidRDefault="00A13048" w:rsidP="0089036B">
      <w:pPr>
        <w:spacing w:before="0" w:after="0"/>
        <w:jc w:val="center"/>
        <w:rPr>
          <w:b/>
          <w:bCs/>
          <w:szCs w:val="22"/>
        </w:rPr>
      </w:pPr>
      <w:r w:rsidRPr="00165BA7">
        <w:rPr>
          <w:b/>
          <w:bCs/>
          <w:szCs w:val="22"/>
        </w:rPr>
        <w:t xml:space="preserve">ROZSAH </w:t>
      </w:r>
      <w:r w:rsidR="000351C5" w:rsidRPr="00F81E19">
        <w:rPr>
          <w:b/>
          <w:bCs/>
          <w:szCs w:val="22"/>
        </w:rPr>
        <w:t xml:space="preserve">ZÁKLADNÍCH </w:t>
      </w:r>
      <w:r w:rsidRPr="00165BA7">
        <w:rPr>
          <w:b/>
          <w:bCs/>
          <w:szCs w:val="22"/>
        </w:rPr>
        <w:t>SLUŽEB</w:t>
      </w:r>
    </w:p>
    <w:p w14:paraId="1BF146CA" w14:textId="6EBE4E8B" w:rsidR="000351C5" w:rsidRPr="00F81E19" w:rsidRDefault="000351C5" w:rsidP="0089036B">
      <w:pPr>
        <w:spacing w:before="0" w:after="0"/>
        <w:jc w:val="center"/>
        <w:rPr>
          <w:b/>
          <w:bCs/>
          <w:szCs w:val="22"/>
        </w:rPr>
      </w:pPr>
    </w:p>
    <w:p w14:paraId="0CEF6444" w14:textId="77777777" w:rsidR="003369A9" w:rsidRPr="00E0515B" w:rsidRDefault="003369A9" w:rsidP="003369A9">
      <w:pPr>
        <w:pStyle w:val="Claneka"/>
        <w:keepLines w:val="0"/>
        <w:widowControl/>
        <w:numPr>
          <w:ilvl w:val="0"/>
          <w:numId w:val="0"/>
        </w:numPr>
        <w:rPr>
          <w:szCs w:val="22"/>
        </w:rPr>
      </w:pPr>
      <w:r w:rsidRPr="00E0515B">
        <w:rPr>
          <w:szCs w:val="22"/>
        </w:rPr>
        <w:t xml:space="preserve">Poskytovatel se zavazuje poskytovat Objednateli v souvislosti s provozem a údržbou FVE následující Základní služby rozdělené do činností prováděných </w:t>
      </w:r>
    </w:p>
    <w:p w14:paraId="56E63960" w14:textId="77777777" w:rsidR="003369A9" w:rsidRPr="00E0515B" w:rsidRDefault="003369A9" w:rsidP="003369A9">
      <w:pPr>
        <w:pStyle w:val="Claneka"/>
        <w:keepLines w:val="0"/>
        <w:widowControl/>
        <w:numPr>
          <w:ilvl w:val="0"/>
          <w:numId w:val="39"/>
        </w:numPr>
        <w:rPr>
          <w:szCs w:val="22"/>
        </w:rPr>
      </w:pPr>
      <w:r w:rsidRPr="00E0515B">
        <w:rPr>
          <w:szCs w:val="22"/>
        </w:rPr>
        <w:t>průběžně</w:t>
      </w:r>
    </w:p>
    <w:p w14:paraId="59340C50" w14:textId="77777777" w:rsidR="003369A9" w:rsidRPr="00E0515B" w:rsidRDefault="003369A9" w:rsidP="003369A9">
      <w:pPr>
        <w:pStyle w:val="Claneka"/>
        <w:keepLines w:val="0"/>
        <w:widowControl/>
        <w:numPr>
          <w:ilvl w:val="0"/>
          <w:numId w:val="39"/>
        </w:numPr>
        <w:rPr>
          <w:szCs w:val="22"/>
        </w:rPr>
      </w:pPr>
      <w:r w:rsidRPr="00E0515B">
        <w:rPr>
          <w:szCs w:val="22"/>
        </w:rPr>
        <w:t>min.4 x do roka (čtvrtletní intervaly)</w:t>
      </w:r>
    </w:p>
    <w:p w14:paraId="3CC93D3E" w14:textId="77777777" w:rsidR="003369A9" w:rsidRPr="00E0515B" w:rsidRDefault="003369A9" w:rsidP="003369A9">
      <w:pPr>
        <w:pStyle w:val="Claneka"/>
        <w:keepLines w:val="0"/>
        <w:widowControl/>
        <w:numPr>
          <w:ilvl w:val="0"/>
          <w:numId w:val="39"/>
        </w:numPr>
        <w:rPr>
          <w:szCs w:val="22"/>
        </w:rPr>
      </w:pPr>
      <w:r w:rsidRPr="00E0515B">
        <w:rPr>
          <w:szCs w:val="22"/>
        </w:rPr>
        <w:t>min. 2 x ročně (jaro a podzim).</w:t>
      </w:r>
    </w:p>
    <w:p w14:paraId="0F3F47BF" w14:textId="77777777" w:rsidR="003369A9" w:rsidRPr="003344AA" w:rsidRDefault="003369A9" w:rsidP="003369A9">
      <w:pPr>
        <w:pStyle w:val="Nadpis2"/>
        <w:rPr>
          <w:rFonts w:ascii="Times New Roman" w:hAnsi="Times New Roman" w:cs="Times New Roman"/>
          <w:i w:val="0"/>
          <w:iCs w:val="0"/>
          <w:sz w:val="22"/>
          <w:szCs w:val="22"/>
        </w:rPr>
      </w:pPr>
      <w:r w:rsidRPr="003344AA">
        <w:rPr>
          <w:rFonts w:ascii="Times New Roman" w:hAnsi="Times New Roman" w:cs="Times New Roman"/>
          <w:i w:val="0"/>
          <w:iCs w:val="0"/>
          <w:sz w:val="22"/>
          <w:szCs w:val="22"/>
        </w:rPr>
        <w:t xml:space="preserve">Průběžně prováděný servis a údržba </w:t>
      </w:r>
    </w:p>
    <w:p w14:paraId="09B02429" w14:textId="77777777" w:rsidR="003369A9" w:rsidRPr="00E0515B" w:rsidRDefault="003369A9" w:rsidP="001F5D02">
      <w:pPr>
        <w:pStyle w:val="Bezmezer"/>
        <w:numPr>
          <w:ilvl w:val="0"/>
          <w:numId w:val="40"/>
        </w:numPr>
        <w:spacing w:line="276" w:lineRule="auto"/>
        <w:ind w:left="1134" w:hanging="567"/>
        <w:rPr>
          <w:szCs w:val="22"/>
        </w:rPr>
      </w:pPr>
      <w:r w:rsidRPr="00E0515B">
        <w:rPr>
          <w:szCs w:val="22"/>
        </w:rPr>
        <w:t>Sledování funkčnosti střídačů on-line</w:t>
      </w:r>
    </w:p>
    <w:p w14:paraId="4567EE18" w14:textId="77777777" w:rsidR="003369A9" w:rsidRPr="00E0515B" w:rsidRDefault="003369A9" w:rsidP="001F5D02">
      <w:pPr>
        <w:pStyle w:val="Bezmezer"/>
        <w:spacing w:line="276" w:lineRule="auto"/>
        <w:ind w:left="1134"/>
        <w:rPr>
          <w:szCs w:val="22"/>
        </w:rPr>
      </w:pPr>
      <w:r w:rsidRPr="00E0515B">
        <w:rPr>
          <w:szCs w:val="22"/>
        </w:rPr>
        <w:t>Nepřetržitý sběr dat od střídačů, směrem do dohledového centra.</w:t>
      </w:r>
    </w:p>
    <w:p w14:paraId="3F25E736" w14:textId="77777777" w:rsidR="003369A9" w:rsidRPr="00E0515B" w:rsidRDefault="003369A9" w:rsidP="001F5D02">
      <w:pPr>
        <w:pStyle w:val="Bezmezer"/>
        <w:numPr>
          <w:ilvl w:val="0"/>
          <w:numId w:val="40"/>
        </w:numPr>
        <w:spacing w:line="276" w:lineRule="auto"/>
        <w:ind w:left="1134" w:hanging="567"/>
        <w:rPr>
          <w:szCs w:val="22"/>
        </w:rPr>
      </w:pPr>
      <w:r w:rsidRPr="00E0515B">
        <w:rPr>
          <w:szCs w:val="22"/>
        </w:rPr>
        <w:t>Sledování funkčnosti internetového připojení</w:t>
      </w:r>
    </w:p>
    <w:p w14:paraId="2C23C9F3" w14:textId="77777777" w:rsidR="003369A9" w:rsidRPr="00E0515B" w:rsidRDefault="003369A9" w:rsidP="001F5D02">
      <w:pPr>
        <w:pStyle w:val="Bezmezer"/>
        <w:spacing w:line="276" w:lineRule="auto"/>
        <w:ind w:left="1134"/>
        <w:rPr>
          <w:szCs w:val="22"/>
        </w:rPr>
      </w:pPr>
      <w:r w:rsidRPr="00E0515B">
        <w:rPr>
          <w:szCs w:val="22"/>
        </w:rPr>
        <w:t>Nepřetržitý sběr informací o dostupnosti primárního a sekundárního datového připojení.</w:t>
      </w:r>
    </w:p>
    <w:p w14:paraId="7407461E" w14:textId="77777777" w:rsidR="003369A9" w:rsidRPr="00E0515B" w:rsidRDefault="003369A9" w:rsidP="001F5D02">
      <w:pPr>
        <w:pStyle w:val="Bezmezer"/>
        <w:numPr>
          <w:ilvl w:val="0"/>
          <w:numId w:val="40"/>
        </w:numPr>
        <w:spacing w:line="276" w:lineRule="auto"/>
        <w:ind w:left="1134" w:hanging="567"/>
        <w:rPr>
          <w:szCs w:val="22"/>
        </w:rPr>
      </w:pPr>
      <w:r w:rsidRPr="00E0515B">
        <w:rPr>
          <w:szCs w:val="22"/>
        </w:rPr>
        <w:t>Sledování funkčnosti monitoringu výroby elektrické energie</w:t>
      </w:r>
    </w:p>
    <w:p w14:paraId="5619DABE" w14:textId="77777777" w:rsidR="003369A9" w:rsidRPr="00E0515B" w:rsidRDefault="003369A9" w:rsidP="001F5D02">
      <w:pPr>
        <w:pStyle w:val="Bezmezer"/>
        <w:spacing w:line="276" w:lineRule="auto"/>
        <w:ind w:left="1134"/>
        <w:rPr>
          <w:szCs w:val="22"/>
        </w:rPr>
      </w:pPr>
      <w:r w:rsidRPr="00E0515B">
        <w:rPr>
          <w:szCs w:val="22"/>
        </w:rPr>
        <w:t>Nepřetržitý sběr dat o výrobě FVE, aplikovaných regulačních stupňů směrem do dohledového centra.</w:t>
      </w:r>
    </w:p>
    <w:p w14:paraId="38E98FF4" w14:textId="77777777" w:rsidR="003369A9" w:rsidRPr="00E0515B" w:rsidRDefault="003369A9" w:rsidP="001F5D02">
      <w:pPr>
        <w:pStyle w:val="Bezmezer"/>
        <w:numPr>
          <w:ilvl w:val="0"/>
          <w:numId w:val="40"/>
        </w:numPr>
        <w:spacing w:line="276" w:lineRule="auto"/>
        <w:ind w:left="1134" w:hanging="567"/>
        <w:rPr>
          <w:szCs w:val="22"/>
        </w:rPr>
      </w:pPr>
      <w:r w:rsidRPr="00E0515B">
        <w:rPr>
          <w:szCs w:val="22"/>
        </w:rPr>
        <w:t>Dohledové centrum</w:t>
      </w:r>
    </w:p>
    <w:p w14:paraId="734450D0" w14:textId="0C76008B" w:rsidR="003369A9" w:rsidRPr="00E0515B" w:rsidRDefault="003369A9" w:rsidP="001F5D02">
      <w:pPr>
        <w:pStyle w:val="Bezmezer"/>
        <w:spacing w:line="276" w:lineRule="auto"/>
        <w:ind w:left="1134"/>
        <w:rPr>
          <w:szCs w:val="22"/>
        </w:rPr>
      </w:pPr>
      <w:r w:rsidRPr="00E0515B">
        <w:rPr>
          <w:szCs w:val="22"/>
        </w:rPr>
        <w:t xml:space="preserve">Třídění, ukládání, vyhodnocování a prezentace přenesených dat ze střídačů, slaboproudých technologií, dostupnosti datového připojení a monitoringu výroby. Komunikace s investorem FVE o vzniklých událostech, odchylek apod. Vedení evidence všech servisních zásahů. Dohledové centrum je dostupné </w:t>
      </w:r>
      <w:r w:rsidR="001F5D02">
        <w:rPr>
          <w:szCs w:val="22"/>
        </w:rPr>
        <w:t>24/7</w:t>
      </w:r>
      <w:r w:rsidR="00EB4E4B">
        <w:rPr>
          <w:szCs w:val="22"/>
        </w:rPr>
        <w:t>.</w:t>
      </w:r>
    </w:p>
    <w:p w14:paraId="1EDD3F37" w14:textId="77777777" w:rsidR="003369A9" w:rsidRPr="00E0515B" w:rsidRDefault="003369A9" w:rsidP="001F5D02">
      <w:pPr>
        <w:pStyle w:val="Bezmezer"/>
        <w:numPr>
          <w:ilvl w:val="0"/>
          <w:numId w:val="40"/>
        </w:numPr>
        <w:spacing w:line="276" w:lineRule="auto"/>
        <w:ind w:left="1134" w:hanging="567"/>
        <w:rPr>
          <w:szCs w:val="22"/>
        </w:rPr>
      </w:pPr>
      <w:r w:rsidRPr="00E0515B">
        <w:rPr>
          <w:szCs w:val="22"/>
        </w:rPr>
        <w:t>Vytvoření a předání měsíčního reportu o výrobě elektrické energie, opravách a údržbě FVE za uplynulý měsíc, výkaznictví</w:t>
      </w:r>
    </w:p>
    <w:p w14:paraId="28CEDA01" w14:textId="37D0D4DE" w:rsidR="003369A9" w:rsidRPr="00E0515B" w:rsidRDefault="003369A9" w:rsidP="001F5D02">
      <w:pPr>
        <w:pStyle w:val="Bezmezer"/>
        <w:spacing w:line="276" w:lineRule="auto"/>
        <w:ind w:left="1134"/>
        <w:rPr>
          <w:szCs w:val="22"/>
        </w:rPr>
      </w:pPr>
      <w:r w:rsidRPr="00E0515B">
        <w:rPr>
          <w:szCs w:val="22"/>
        </w:rPr>
        <w:t>Tvorba a předání měsíčního reportu zaznamenávajícího údaje o výrobě, porovnání výroby s energetickým posudkem, vyjádření ekonomické bilance FVE, záznamy o závadách, opravách a údržbě FV</w:t>
      </w:r>
      <w:r w:rsidR="00C7549D">
        <w:rPr>
          <w:szCs w:val="22"/>
        </w:rPr>
        <w:t>E</w:t>
      </w:r>
      <w:r w:rsidRPr="00C7549D">
        <w:rPr>
          <w:szCs w:val="22"/>
        </w:rPr>
        <w:t>. Tvorba podkladů pro fakturaci odběrateli elektrické energie a výkaznictví vůči OTE a energetickým společnostem</w:t>
      </w:r>
      <w:r w:rsidR="00C7549D" w:rsidRPr="00C7549D">
        <w:rPr>
          <w:szCs w:val="22"/>
        </w:rPr>
        <w:t xml:space="preserve"> a v době udržitelnosti dotace taktéž vůči Státnímu fondu životního prostředí</w:t>
      </w:r>
      <w:r w:rsidRPr="00C7549D">
        <w:rPr>
          <w:szCs w:val="22"/>
        </w:rPr>
        <w:t>.</w:t>
      </w:r>
    </w:p>
    <w:p w14:paraId="228E149C" w14:textId="77777777" w:rsidR="003369A9" w:rsidRPr="003344AA" w:rsidRDefault="003369A9" w:rsidP="003369A9">
      <w:pPr>
        <w:pStyle w:val="Nadpis2"/>
        <w:rPr>
          <w:rFonts w:ascii="Times New Roman" w:hAnsi="Times New Roman" w:cs="Times New Roman"/>
          <w:i w:val="0"/>
          <w:iCs w:val="0"/>
          <w:sz w:val="22"/>
          <w:szCs w:val="22"/>
        </w:rPr>
      </w:pPr>
      <w:r w:rsidRPr="003344AA">
        <w:rPr>
          <w:rFonts w:ascii="Times New Roman" w:hAnsi="Times New Roman" w:cs="Times New Roman"/>
          <w:i w:val="0"/>
          <w:iCs w:val="0"/>
          <w:sz w:val="22"/>
          <w:szCs w:val="22"/>
        </w:rPr>
        <w:t>Čtvrtletní kontrola</w:t>
      </w:r>
    </w:p>
    <w:p w14:paraId="3FB959A6" w14:textId="77777777" w:rsidR="003369A9" w:rsidRPr="00E0515B" w:rsidRDefault="003369A9" w:rsidP="001F5D02">
      <w:pPr>
        <w:pStyle w:val="Bezmezer"/>
        <w:numPr>
          <w:ilvl w:val="0"/>
          <w:numId w:val="41"/>
        </w:numPr>
        <w:spacing w:line="276" w:lineRule="auto"/>
        <w:ind w:left="567" w:firstLine="0"/>
        <w:rPr>
          <w:szCs w:val="22"/>
        </w:rPr>
      </w:pPr>
      <w:r w:rsidRPr="00E0515B">
        <w:rPr>
          <w:szCs w:val="22"/>
        </w:rPr>
        <w:t>Základní činnosti</w:t>
      </w:r>
    </w:p>
    <w:p w14:paraId="44B0F8E4" w14:textId="77777777" w:rsidR="003369A9" w:rsidRPr="00E0515B" w:rsidRDefault="003369A9" w:rsidP="001F5D02">
      <w:pPr>
        <w:pStyle w:val="Bezmezer"/>
        <w:spacing w:line="276" w:lineRule="auto"/>
        <w:ind w:left="567"/>
        <w:rPr>
          <w:szCs w:val="22"/>
        </w:rPr>
      </w:pPr>
      <w:r w:rsidRPr="00E0515B">
        <w:rPr>
          <w:szCs w:val="22"/>
        </w:rPr>
        <w:t>Náhodná vizuální kontrola modulů</w:t>
      </w:r>
    </w:p>
    <w:p w14:paraId="54491686" w14:textId="77777777" w:rsidR="003369A9" w:rsidRPr="00E0515B" w:rsidRDefault="003369A9" w:rsidP="001F5D02">
      <w:pPr>
        <w:pStyle w:val="Bezmezer"/>
        <w:spacing w:line="276" w:lineRule="auto"/>
        <w:ind w:left="567"/>
        <w:rPr>
          <w:szCs w:val="22"/>
        </w:rPr>
      </w:pPr>
      <w:r w:rsidRPr="00E0515B">
        <w:rPr>
          <w:szCs w:val="22"/>
        </w:rPr>
        <w:t xml:space="preserve">Vizuální kontrola spojů ve vybraných sektorech (u FVE nad 100 </w:t>
      </w:r>
      <w:proofErr w:type="spellStart"/>
      <w:r w:rsidRPr="00E0515B">
        <w:rPr>
          <w:szCs w:val="22"/>
        </w:rPr>
        <w:t>kW</w:t>
      </w:r>
      <w:r w:rsidRPr="00E0515B">
        <w:rPr>
          <w:szCs w:val="22"/>
          <w:vertAlign w:val="subscript"/>
        </w:rPr>
        <w:t>p</w:t>
      </w:r>
      <w:proofErr w:type="spellEnd"/>
      <w:r w:rsidRPr="00E0515B">
        <w:rPr>
          <w:szCs w:val="22"/>
        </w:rPr>
        <w:t>)</w:t>
      </w:r>
    </w:p>
    <w:p w14:paraId="12F1E867" w14:textId="77777777" w:rsidR="003369A9" w:rsidRPr="00E0515B" w:rsidRDefault="003369A9" w:rsidP="001F5D02">
      <w:pPr>
        <w:pStyle w:val="Bezmezer"/>
        <w:spacing w:line="276" w:lineRule="auto"/>
        <w:ind w:left="567"/>
        <w:rPr>
          <w:szCs w:val="22"/>
        </w:rPr>
      </w:pPr>
      <w:r w:rsidRPr="00E0515B">
        <w:rPr>
          <w:szCs w:val="22"/>
        </w:rPr>
        <w:t>Kontrola monitoringu</w:t>
      </w:r>
    </w:p>
    <w:p w14:paraId="656D6319" w14:textId="77777777" w:rsidR="003369A9" w:rsidRPr="00E0515B" w:rsidRDefault="003369A9" w:rsidP="001F5D02">
      <w:pPr>
        <w:pStyle w:val="Bezmezer"/>
        <w:spacing w:line="276" w:lineRule="auto"/>
        <w:ind w:left="567"/>
        <w:rPr>
          <w:szCs w:val="22"/>
        </w:rPr>
      </w:pPr>
      <w:r w:rsidRPr="00E0515B">
        <w:rPr>
          <w:szCs w:val="22"/>
        </w:rPr>
        <w:t>Pravidelná údržba budov FVE, úklid areálu FVE, úklid prostor kiosku a skladování transformátoru</w:t>
      </w:r>
    </w:p>
    <w:p w14:paraId="307FB250" w14:textId="77777777" w:rsidR="003369A9" w:rsidRPr="00E0515B" w:rsidRDefault="003369A9" w:rsidP="001F5D02">
      <w:pPr>
        <w:pStyle w:val="Bezmezer"/>
        <w:spacing w:line="276" w:lineRule="auto"/>
        <w:ind w:left="567"/>
        <w:rPr>
          <w:szCs w:val="22"/>
        </w:rPr>
      </w:pPr>
      <w:r w:rsidRPr="00E0515B">
        <w:rPr>
          <w:szCs w:val="22"/>
        </w:rPr>
        <w:t xml:space="preserve">Pravidelná vizuální kontrola všech zařízení </w:t>
      </w:r>
      <w:proofErr w:type="gramStart"/>
      <w:r w:rsidRPr="00E0515B">
        <w:rPr>
          <w:szCs w:val="22"/>
        </w:rPr>
        <w:t>FVE - pravidelná</w:t>
      </w:r>
      <w:proofErr w:type="gramEnd"/>
      <w:r w:rsidRPr="00E0515B">
        <w:rPr>
          <w:szCs w:val="22"/>
        </w:rPr>
        <w:t xml:space="preserve"> namátková kontrola jednotlivých zařízení FVE (konstrukce, kabeláž, moduly, střídače, rozvodné skříně, skříně pro přenos dat) na mechanické poškození, povětrnostní vlivy a povětrnostní podmínky, jejich funkčnost splňuje provozní a bezpečnostní kritéria</w:t>
      </w:r>
    </w:p>
    <w:p w14:paraId="2DE8870C" w14:textId="77777777" w:rsidR="003369A9" w:rsidRPr="00E0515B" w:rsidRDefault="003369A9" w:rsidP="001F5D02">
      <w:pPr>
        <w:pStyle w:val="Bezmezer"/>
        <w:numPr>
          <w:ilvl w:val="0"/>
          <w:numId w:val="41"/>
        </w:numPr>
        <w:spacing w:line="276" w:lineRule="auto"/>
        <w:ind w:left="567" w:firstLine="0"/>
        <w:rPr>
          <w:szCs w:val="22"/>
        </w:rPr>
      </w:pPr>
      <w:r w:rsidRPr="00E0515B">
        <w:rPr>
          <w:szCs w:val="22"/>
        </w:rPr>
        <w:t>Zdraví a bezpečnost</w:t>
      </w:r>
    </w:p>
    <w:p w14:paraId="4C91A4FC" w14:textId="77777777" w:rsidR="003369A9" w:rsidRPr="00E0515B" w:rsidRDefault="003369A9" w:rsidP="001F5D02">
      <w:pPr>
        <w:pStyle w:val="Bezmezer"/>
        <w:spacing w:line="276" w:lineRule="auto"/>
        <w:ind w:left="567"/>
        <w:rPr>
          <w:szCs w:val="22"/>
        </w:rPr>
      </w:pPr>
      <w:r w:rsidRPr="00E0515B">
        <w:rPr>
          <w:szCs w:val="22"/>
        </w:rPr>
        <w:t>Požární prevence a pohotovost (první pomoc, hasicí přístroje, nouzová tlačítka)</w:t>
      </w:r>
    </w:p>
    <w:p w14:paraId="0A733848" w14:textId="77777777" w:rsidR="003369A9" w:rsidRPr="00E0515B" w:rsidRDefault="003369A9" w:rsidP="001F5D02">
      <w:pPr>
        <w:pStyle w:val="Bezmezer"/>
        <w:spacing w:line="276" w:lineRule="auto"/>
        <w:ind w:left="567"/>
        <w:rPr>
          <w:szCs w:val="22"/>
        </w:rPr>
      </w:pPr>
      <w:r w:rsidRPr="00E0515B">
        <w:rPr>
          <w:szCs w:val="22"/>
        </w:rPr>
        <w:t>Skladování materiálů (včetně nebezpečných)</w:t>
      </w:r>
    </w:p>
    <w:p w14:paraId="0142E8BE" w14:textId="77777777" w:rsidR="003369A9" w:rsidRPr="00E0515B" w:rsidRDefault="003369A9" w:rsidP="001F5D02">
      <w:pPr>
        <w:pStyle w:val="Bezmezer"/>
        <w:spacing w:line="276" w:lineRule="auto"/>
        <w:ind w:left="567"/>
        <w:rPr>
          <w:szCs w:val="22"/>
        </w:rPr>
      </w:pPr>
      <w:r w:rsidRPr="00E0515B">
        <w:rPr>
          <w:szCs w:val="22"/>
        </w:rPr>
        <w:t>Odpadové hospodářství (kontrola místního skladu, chemikálie, správné skladování)</w:t>
      </w:r>
    </w:p>
    <w:p w14:paraId="7EE7788B" w14:textId="77777777" w:rsidR="003369A9" w:rsidRPr="00E0515B" w:rsidRDefault="003369A9" w:rsidP="001F5D02">
      <w:pPr>
        <w:pStyle w:val="Bezmezer"/>
        <w:spacing w:line="276" w:lineRule="auto"/>
        <w:ind w:left="567"/>
        <w:rPr>
          <w:szCs w:val="22"/>
        </w:rPr>
      </w:pPr>
      <w:r w:rsidRPr="00E0515B">
        <w:rPr>
          <w:szCs w:val="22"/>
        </w:rPr>
        <w:t xml:space="preserve">Úklid (čištění tras, výpustí na </w:t>
      </w:r>
      <w:proofErr w:type="gramStart"/>
      <w:r w:rsidRPr="00E0515B">
        <w:rPr>
          <w:szCs w:val="22"/>
        </w:rPr>
        <w:t>vodu,…</w:t>
      </w:r>
      <w:proofErr w:type="gramEnd"/>
      <w:r w:rsidRPr="00E0515B">
        <w:rPr>
          <w:szCs w:val="22"/>
        </w:rPr>
        <w:t>)</w:t>
      </w:r>
    </w:p>
    <w:p w14:paraId="11085D31" w14:textId="77777777" w:rsidR="003369A9" w:rsidRPr="00E0515B" w:rsidRDefault="003369A9" w:rsidP="001F5D02">
      <w:pPr>
        <w:pStyle w:val="Bezmezer"/>
        <w:spacing w:line="276" w:lineRule="auto"/>
        <w:ind w:left="567"/>
        <w:rPr>
          <w:szCs w:val="22"/>
        </w:rPr>
      </w:pPr>
      <w:r w:rsidRPr="00E0515B">
        <w:rPr>
          <w:szCs w:val="22"/>
        </w:rPr>
        <w:t>Osobní ochranné prostředky (OOP)</w:t>
      </w:r>
    </w:p>
    <w:p w14:paraId="08EBE703" w14:textId="77777777" w:rsidR="003369A9" w:rsidRPr="00E0515B" w:rsidRDefault="003369A9" w:rsidP="001F5D02">
      <w:pPr>
        <w:pStyle w:val="Bezmezer"/>
        <w:spacing w:line="276" w:lineRule="auto"/>
        <w:ind w:left="567"/>
        <w:rPr>
          <w:szCs w:val="22"/>
        </w:rPr>
      </w:pPr>
      <w:r w:rsidRPr="00E0515B">
        <w:rPr>
          <w:szCs w:val="22"/>
        </w:rPr>
        <w:lastRenderedPageBreak/>
        <w:t>Vybavení pro práci ve výškách (žebříky, schody, postroje atd.)</w:t>
      </w:r>
    </w:p>
    <w:p w14:paraId="5D0A1922" w14:textId="77777777" w:rsidR="003369A9" w:rsidRPr="00E0515B" w:rsidRDefault="003369A9" w:rsidP="001F5D02">
      <w:pPr>
        <w:pStyle w:val="Bezmezer"/>
        <w:spacing w:line="276" w:lineRule="auto"/>
        <w:ind w:left="567"/>
        <w:rPr>
          <w:szCs w:val="22"/>
        </w:rPr>
      </w:pPr>
      <w:r w:rsidRPr="00E0515B">
        <w:rPr>
          <w:szCs w:val="22"/>
        </w:rPr>
        <w:t>Elektrické nářadí a zařízení</w:t>
      </w:r>
    </w:p>
    <w:p w14:paraId="67730C49" w14:textId="77777777" w:rsidR="003369A9" w:rsidRPr="00E0515B" w:rsidRDefault="003369A9" w:rsidP="001F5D02">
      <w:pPr>
        <w:pStyle w:val="Bezmezer"/>
        <w:spacing w:line="276" w:lineRule="auto"/>
        <w:ind w:left="567"/>
        <w:rPr>
          <w:szCs w:val="22"/>
        </w:rPr>
      </w:pPr>
      <w:r w:rsidRPr="00E0515B">
        <w:rPr>
          <w:szCs w:val="22"/>
        </w:rPr>
        <w:t>Ostatní vybavení, stroje a zařízení</w:t>
      </w:r>
    </w:p>
    <w:p w14:paraId="43AB2BAE" w14:textId="77777777" w:rsidR="003369A9" w:rsidRPr="00E0515B" w:rsidRDefault="003369A9" w:rsidP="001F5D02">
      <w:pPr>
        <w:pStyle w:val="Bezmezer"/>
        <w:spacing w:line="276" w:lineRule="auto"/>
        <w:ind w:left="567"/>
        <w:rPr>
          <w:szCs w:val="22"/>
        </w:rPr>
      </w:pPr>
      <w:r w:rsidRPr="00E0515B">
        <w:rPr>
          <w:szCs w:val="22"/>
        </w:rPr>
        <w:t>Návody, dokumentace (dostupnost a soulad)</w:t>
      </w:r>
    </w:p>
    <w:p w14:paraId="18B77FEA" w14:textId="77777777" w:rsidR="003369A9" w:rsidRPr="003344AA" w:rsidRDefault="003369A9" w:rsidP="003369A9">
      <w:pPr>
        <w:pStyle w:val="Nadpis2"/>
        <w:rPr>
          <w:rFonts w:ascii="Times New Roman" w:hAnsi="Times New Roman" w:cs="Times New Roman"/>
          <w:i w:val="0"/>
          <w:iCs w:val="0"/>
          <w:sz w:val="22"/>
          <w:szCs w:val="22"/>
        </w:rPr>
      </w:pPr>
      <w:r w:rsidRPr="003344AA">
        <w:rPr>
          <w:rFonts w:ascii="Times New Roman" w:hAnsi="Times New Roman" w:cs="Times New Roman"/>
          <w:i w:val="0"/>
          <w:iCs w:val="0"/>
          <w:sz w:val="22"/>
          <w:szCs w:val="22"/>
        </w:rPr>
        <w:t>Pololetní kontrola – jaro</w:t>
      </w:r>
    </w:p>
    <w:p w14:paraId="52B2F558" w14:textId="77777777" w:rsidR="003369A9" w:rsidRPr="00E0515B" w:rsidRDefault="003369A9" w:rsidP="005A3EDC">
      <w:pPr>
        <w:pStyle w:val="Bezmezer"/>
        <w:numPr>
          <w:ilvl w:val="0"/>
          <w:numId w:val="42"/>
        </w:numPr>
        <w:spacing w:line="276" w:lineRule="auto"/>
        <w:ind w:left="1134" w:hanging="567"/>
        <w:rPr>
          <w:szCs w:val="22"/>
        </w:rPr>
      </w:pPr>
      <w:r w:rsidRPr="00E0515B">
        <w:rPr>
          <w:szCs w:val="22"/>
        </w:rPr>
        <w:t>Monitoring, data, komunikace, měření a regulace</w:t>
      </w:r>
    </w:p>
    <w:p w14:paraId="367B19CB" w14:textId="77777777" w:rsidR="003369A9" w:rsidRPr="00E0515B" w:rsidRDefault="003369A9" w:rsidP="001F5D02">
      <w:pPr>
        <w:pStyle w:val="Bezmezer"/>
        <w:spacing w:line="276" w:lineRule="auto"/>
        <w:ind w:left="567"/>
        <w:rPr>
          <w:szCs w:val="22"/>
        </w:rPr>
      </w:pPr>
      <w:r w:rsidRPr="00E0515B">
        <w:rPr>
          <w:szCs w:val="22"/>
        </w:rPr>
        <w:t>Kontrola funkčnosti monitoringu, měřicích a ovládacích prvků a elektronického zabezpečovacího systému</w:t>
      </w:r>
    </w:p>
    <w:p w14:paraId="2B995F02" w14:textId="77777777" w:rsidR="003369A9" w:rsidRPr="00E0515B" w:rsidRDefault="003369A9" w:rsidP="005A3EDC">
      <w:pPr>
        <w:pStyle w:val="Bezmezer"/>
        <w:spacing w:line="276" w:lineRule="auto"/>
        <w:ind w:left="1134" w:hanging="567"/>
        <w:rPr>
          <w:szCs w:val="22"/>
        </w:rPr>
      </w:pPr>
      <w:r w:rsidRPr="00E0515B">
        <w:rPr>
          <w:szCs w:val="22"/>
        </w:rPr>
        <w:t>Čištění senzoru ozářenosti (osvitové čidlo)</w:t>
      </w:r>
    </w:p>
    <w:p w14:paraId="35DE9689" w14:textId="77777777" w:rsidR="003369A9" w:rsidRPr="00E0515B" w:rsidRDefault="003369A9" w:rsidP="001F5D02">
      <w:pPr>
        <w:pStyle w:val="Bezmezer"/>
        <w:spacing w:line="276" w:lineRule="auto"/>
        <w:ind w:left="567"/>
        <w:rPr>
          <w:szCs w:val="22"/>
        </w:rPr>
      </w:pPr>
      <w:r w:rsidRPr="00E0515B">
        <w:rPr>
          <w:szCs w:val="22"/>
        </w:rPr>
        <w:t>Kontrola spojení a komunikace se všemi komponenty systému (komunikaci a správnost nastavení všech komponent v systému datové komunikace je nutné zkontrolovat pomocí PC a SW)</w:t>
      </w:r>
    </w:p>
    <w:p w14:paraId="3741D232" w14:textId="77777777" w:rsidR="003369A9" w:rsidRPr="00E0515B" w:rsidRDefault="003369A9" w:rsidP="005A3EDC">
      <w:pPr>
        <w:pStyle w:val="Bezmezer"/>
        <w:spacing w:line="276" w:lineRule="auto"/>
        <w:ind w:left="1134" w:hanging="567"/>
        <w:rPr>
          <w:szCs w:val="22"/>
        </w:rPr>
      </w:pPr>
      <w:r w:rsidRPr="00E0515B">
        <w:rPr>
          <w:szCs w:val="22"/>
        </w:rPr>
        <w:t>Kontrola zastínění vegetací</w:t>
      </w:r>
    </w:p>
    <w:p w14:paraId="7329AC7E" w14:textId="77777777" w:rsidR="003369A9" w:rsidRPr="00E0515B" w:rsidRDefault="003369A9" w:rsidP="005A3EDC">
      <w:pPr>
        <w:pStyle w:val="Bezmezer"/>
        <w:spacing w:line="276" w:lineRule="auto"/>
        <w:ind w:left="1134" w:hanging="567"/>
        <w:rPr>
          <w:szCs w:val="22"/>
        </w:rPr>
      </w:pPr>
      <w:r w:rsidRPr="00E0515B">
        <w:rPr>
          <w:szCs w:val="22"/>
        </w:rPr>
        <w:t>Mazání zámků (přístupy na střechu)</w:t>
      </w:r>
    </w:p>
    <w:p w14:paraId="20CB3FEF" w14:textId="77777777" w:rsidR="003369A9" w:rsidRPr="00E0515B" w:rsidRDefault="003369A9" w:rsidP="005A3EDC">
      <w:pPr>
        <w:pStyle w:val="Bezmezer"/>
        <w:spacing w:line="276" w:lineRule="auto"/>
        <w:ind w:left="1134" w:hanging="567"/>
        <w:rPr>
          <w:szCs w:val="22"/>
        </w:rPr>
      </w:pPr>
      <w:r w:rsidRPr="00E0515B">
        <w:rPr>
          <w:szCs w:val="22"/>
        </w:rPr>
        <w:t>Kontrola všech napájecích zdrojů datové komunikace a měření napájecího napětí datové sběrnice</w:t>
      </w:r>
    </w:p>
    <w:p w14:paraId="30606581" w14:textId="77777777" w:rsidR="003369A9" w:rsidRPr="00E0515B" w:rsidRDefault="003369A9" w:rsidP="005A3EDC">
      <w:pPr>
        <w:pStyle w:val="Bezmezer"/>
        <w:spacing w:line="276" w:lineRule="auto"/>
        <w:ind w:left="1134" w:hanging="567"/>
        <w:rPr>
          <w:szCs w:val="22"/>
        </w:rPr>
      </w:pPr>
      <w:r w:rsidRPr="00E0515B">
        <w:rPr>
          <w:szCs w:val="22"/>
        </w:rPr>
        <w:t>Záložní napájení</w:t>
      </w:r>
    </w:p>
    <w:p w14:paraId="7D22C9BF" w14:textId="77777777" w:rsidR="003369A9" w:rsidRPr="00E0515B" w:rsidRDefault="003369A9" w:rsidP="005A3EDC">
      <w:pPr>
        <w:pStyle w:val="Bezmezer"/>
        <w:spacing w:line="276" w:lineRule="auto"/>
        <w:ind w:left="1134" w:hanging="567"/>
        <w:rPr>
          <w:szCs w:val="22"/>
        </w:rPr>
      </w:pPr>
      <w:r w:rsidRPr="00E0515B">
        <w:rPr>
          <w:szCs w:val="22"/>
        </w:rPr>
        <w:t>Kontrola kapacity baterií, diagnostika, údržba</w:t>
      </w:r>
    </w:p>
    <w:p w14:paraId="3AA293F5" w14:textId="77777777" w:rsidR="003369A9" w:rsidRPr="00E0515B" w:rsidRDefault="003369A9" w:rsidP="005A3EDC">
      <w:pPr>
        <w:pStyle w:val="Bezmezer"/>
        <w:numPr>
          <w:ilvl w:val="0"/>
          <w:numId w:val="42"/>
        </w:numPr>
        <w:spacing w:line="276" w:lineRule="auto"/>
        <w:ind w:left="1134" w:hanging="567"/>
        <w:rPr>
          <w:szCs w:val="22"/>
        </w:rPr>
      </w:pPr>
      <w:r w:rsidRPr="00E0515B">
        <w:rPr>
          <w:szCs w:val="22"/>
        </w:rPr>
        <w:t>Střídače</w:t>
      </w:r>
    </w:p>
    <w:p w14:paraId="0A12E351" w14:textId="77777777" w:rsidR="003369A9" w:rsidRPr="00E0515B" w:rsidRDefault="003369A9" w:rsidP="005A3EDC">
      <w:pPr>
        <w:pStyle w:val="Bezmezer"/>
        <w:spacing w:line="276" w:lineRule="auto"/>
        <w:ind w:left="1134" w:hanging="567"/>
        <w:rPr>
          <w:szCs w:val="22"/>
        </w:rPr>
      </w:pPr>
      <w:r w:rsidRPr="00E0515B">
        <w:rPr>
          <w:szCs w:val="22"/>
        </w:rPr>
        <w:t>Utahování šroubových spojů (s použitím správného utahovacího momentu)</w:t>
      </w:r>
    </w:p>
    <w:p w14:paraId="11A74E94" w14:textId="77777777" w:rsidR="003369A9" w:rsidRPr="00E0515B" w:rsidRDefault="003369A9" w:rsidP="001F5D02">
      <w:pPr>
        <w:pStyle w:val="Bezmezer"/>
        <w:spacing w:line="276" w:lineRule="auto"/>
        <w:ind w:left="567"/>
        <w:rPr>
          <w:szCs w:val="22"/>
        </w:rPr>
      </w:pPr>
      <w:r w:rsidRPr="00E0515B">
        <w:rPr>
          <w:szCs w:val="22"/>
        </w:rPr>
        <w:t>Pravidelná kontrola obsahu prostředků požární ochrany, zajištění výměny nebo doplnění tam, kde je to požadováno (např. pravidelná revize hasicích přístrojů)</w:t>
      </w:r>
    </w:p>
    <w:p w14:paraId="5A7E476D" w14:textId="77777777" w:rsidR="003369A9" w:rsidRPr="00E0515B" w:rsidRDefault="003369A9" w:rsidP="005A3EDC">
      <w:pPr>
        <w:pStyle w:val="Bezmezer"/>
        <w:spacing w:line="276" w:lineRule="auto"/>
        <w:ind w:left="1134" w:hanging="567"/>
        <w:rPr>
          <w:szCs w:val="22"/>
        </w:rPr>
      </w:pPr>
      <w:r w:rsidRPr="00E0515B">
        <w:rPr>
          <w:szCs w:val="22"/>
        </w:rPr>
        <w:t>Kontrola funkčnosti snímače teploty</w:t>
      </w:r>
    </w:p>
    <w:p w14:paraId="3986FB43" w14:textId="77777777" w:rsidR="003369A9" w:rsidRPr="00E0515B" w:rsidRDefault="003369A9" w:rsidP="005A3EDC">
      <w:pPr>
        <w:pStyle w:val="Bezmezer"/>
        <w:spacing w:line="276" w:lineRule="auto"/>
        <w:ind w:left="1134" w:hanging="567"/>
        <w:rPr>
          <w:szCs w:val="22"/>
        </w:rPr>
      </w:pPr>
      <w:r w:rsidRPr="00E0515B">
        <w:rPr>
          <w:szCs w:val="22"/>
        </w:rPr>
        <w:t>Čištění vzduchového filtru (pokud je nainstalován)</w:t>
      </w:r>
    </w:p>
    <w:p w14:paraId="0A620AF1" w14:textId="77777777" w:rsidR="003369A9" w:rsidRPr="00E0515B" w:rsidRDefault="003369A9" w:rsidP="005A3EDC">
      <w:pPr>
        <w:pStyle w:val="Bezmezer"/>
        <w:spacing w:line="276" w:lineRule="auto"/>
        <w:ind w:left="1134" w:hanging="567"/>
        <w:rPr>
          <w:szCs w:val="22"/>
        </w:rPr>
      </w:pPr>
      <w:r w:rsidRPr="00E0515B">
        <w:rPr>
          <w:szCs w:val="22"/>
        </w:rPr>
        <w:t>Kontrola ventilátorů a termostatů v racku/kiosku/technické místnosti (jsou-li instalovány)</w:t>
      </w:r>
    </w:p>
    <w:p w14:paraId="6E4A6B9B" w14:textId="77777777" w:rsidR="003369A9" w:rsidRPr="00E0515B" w:rsidRDefault="003369A9" w:rsidP="005A3EDC">
      <w:pPr>
        <w:pStyle w:val="Bezmezer"/>
        <w:spacing w:line="276" w:lineRule="auto"/>
        <w:ind w:left="1134" w:hanging="567"/>
        <w:rPr>
          <w:szCs w:val="22"/>
        </w:rPr>
      </w:pPr>
      <w:r w:rsidRPr="00E0515B">
        <w:rPr>
          <w:szCs w:val="22"/>
        </w:rPr>
        <w:t>Kontrola dokumentace (jednopólové schéma, dokumentace požární ochrany, MPP)</w:t>
      </w:r>
    </w:p>
    <w:p w14:paraId="380F1205" w14:textId="77777777" w:rsidR="003369A9" w:rsidRPr="003344AA" w:rsidRDefault="003369A9" w:rsidP="003369A9">
      <w:pPr>
        <w:pStyle w:val="Nadpis2"/>
        <w:rPr>
          <w:rFonts w:ascii="Times New Roman" w:hAnsi="Times New Roman" w:cs="Times New Roman"/>
          <w:i w:val="0"/>
          <w:iCs w:val="0"/>
          <w:sz w:val="22"/>
          <w:szCs w:val="22"/>
        </w:rPr>
      </w:pPr>
      <w:r w:rsidRPr="003344AA">
        <w:rPr>
          <w:rFonts w:ascii="Times New Roman" w:hAnsi="Times New Roman" w:cs="Times New Roman"/>
          <w:i w:val="0"/>
          <w:iCs w:val="0"/>
          <w:sz w:val="22"/>
          <w:szCs w:val="22"/>
        </w:rPr>
        <w:t>Pololetní kontrola – podzim</w:t>
      </w:r>
    </w:p>
    <w:p w14:paraId="35331545" w14:textId="77777777" w:rsidR="003369A9" w:rsidRPr="00E0515B" w:rsidRDefault="003369A9" w:rsidP="005A3EDC">
      <w:pPr>
        <w:pStyle w:val="Bezmezer"/>
        <w:numPr>
          <w:ilvl w:val="0"/>
          <w:numId w:val="43"/>
        </w:numPr>
        <w:spacing w:line="276" w:lineRule="auto"/>
        <w:ind w:left="1134" w:hanging="567"/>
        <w:rPr>
          <w:szCs w:val="22"/>
        </w:rPr>
      </w:pPr>
      <w:r w:rsidRPr="00E0515B">
        <w:rPr>
          <w:szCs w:val="22"/>
        </w:rPr>
        <w:t>AC NN včetně ochran</w:t>
      </w:r>
    </w:p>
    <w:p w14:paraId="03C3CE8A" w14:textId="77777777" w:rsidR="003369A9" w:rsidRPr="00E0515B" w:rsidRDefault="003369A9" w:rsidP="005A3EDC">
      <w:pPr>
        <w:pStyle w:val="Bezmezer"/>
        <w:spacing w:line="276" w:lineRule="auto"/>
        <w:ind w:left="1134" w:hanging="567"/>
        <w:rPr>
          <w:szCs w:val="22"/>
        </w:rPr>
      </w:pPr>
      <w:r w:rsidRPr="00E0515B">
        <w:rPr>
          <w:szCs w:val="22"/>
        </w:rPr>
        <w:t>Vizuální kontrola a kontrola nastavení</w:t>
      </w:r>
    </w:p>
    <w:p w14:paraId="09D728C7" w14:textId="77777777" w:rsidR="003369A9" w:rsidRPr="00E0515B" w:rsidRDefault="003369A9" w:rsidP="005A3EDC">
      <w:pPr>
        <w:pStyle w:val="Bezmezer"/>
        <w:spacing w:line="276" w:lineRule="auto"/>
        <w:ind w:left="1134" w:hanging="567"/>
        <w:rPr>
          <w:szCs w:val="22"/>
        </w:rPr>
      </w:pPr>
      <w:r w:rsidRPr="00E0515B">
        <w:rPr>
          <w:szCs w:val="22"/>
        </w:rPr>
        <w:t>Kontrola funkčnosti přepěťové ochrany</w:t>
      </w:r>
    </w:p>
    <w:p w14:paraId="1E4406F4" w14:textId="77777777" w:rsidR="003369A9" w:rsidRPr="00E0515B" w:rsidRDefault="003369A9" w:rsidP="005A3EDC">
      <w:pPr>
        <w:pStyle w:val="Bezmezer"/>
        <w:spacing w:line="276" w:lineRule="auto"/>
        <w:ind w:left="1134" w:hanging="567"/>
        <w:rPr>
          <w:szCs w:val="22"/>
        </w:rPr>
      </w:pPr>
      <w:r w:rsidRPr="00E0515B">
        <w:rPr>
          <w:szCs w:val="22"/>
        </w:rPr>
        <w:t>Údržba, kontrola těsnosti kontaktů</w:t>
      </w:r>
    </w:p>
    <w:p w14:paraId="32CB7C02" w14:textId="77777777" w:rsidR="003369A9" w:rsidRPr="00E0515B" w:rsidRDefault="003369A9" w:rsidP="005A3EDC">
      <w:pPr>
        <w:pStyle w:val="Bezmezer"/>
        <w:numPr>
          <w:ilvl w:val="0"/>
          <w:numId w:val="43"/>
        </w:numPr>
        <w:spacing w:line="276" w:lineRule="auto"/>
        <w:ind w:left="1134" w:hanging="567"/>
        <w:rPr>
          <w:szCs w:val="22"/>
        </w:rPr>
      </w:pPr>
      <w:r w:rsidRPr="00E0515B">
        <w:rPr>
          <w:szCs w:val="22"/>
        </w:rPr>
        <w:t>DC NN včetně ochran</w:t>
      </w:r>
    </w:p>
    <w:p w14:paraId="43612980" w14:textId="77777777" w:rsidR="003369A9" w:rsidRPr="00E0515B" w:rsidRDefault="003369A9" w:rsidP="005A3EDC">
      <w:pPr>
        <w:pStyle w:val="Bezmezer"/>
        <w:spacing w:line="276" w:lineRule="auto"/>
        <w:ind w:left="1134" w:hanging="567"/>
        <w:rPr>
          <w:szCs w:val="22"/>
        </w:rPr>
      </w:pPr>
      <w:r w:rsidRPr="00E0515B">
        <w:rPr>
          <w:szCs w:val="22"/>
        </w:rPr>
        <w:t>Kontrola spojení a dotažení všech kontaktů v rozváděči</w:t>
      </w:r>
    </w:p>
    <w:p w14:paraId="0181E600" w14:textId="77777777" w:rsidR="003369A9" w:rsidRPr="00E0515B" w:rsidRDefault="003369A9" w:rsidP="005A3EDC">
      <w:pPr>
        <w:pStyle w:val="Bezmezer"/>
        <w:spacing w:line="276" w:lineRule="auto"/>
        <w:ind w:left="1134" w:hanging="567"/>
        <w:rPr>
          <w:szCs w:val="22"/>
        </w:rPr>
      </w:pPr>
      <w:r w:rsidRPr="00E0515B">
        <w:rPr>
          <w:szCs w:val="22"/>
        </w:rPr>
        <w:t>Vizuální kontrola rozváděčů a venkovních kabelových rozvodů, silové DC kabely</w:t>
      </w:r>
    </w:p>
    <w:p w14:paraId="6F6140F3" w14:textId="77777777" w:rsidR="003369A9" w:rsidRPr="00E0515B" w:rsidRDefault="003369A9" w:rsidP="005A3EDC">
      <w:pPr>
        <w:pStyle w:val="Bezmezer"/>
        <w:numPr>
          <w:ilvl w:val="0"/>
          <w:numId w:val="43"/>
        </w:numPr>
        <w:spacing w:line="276" w:lineRule="auto"/>
        <w:ind w:left="1134" w:hanging="567"/>
        <w:rPr>
          <w:szCs w:val="22"/>
        </w:rPr>
      </w:pPr>
      <w:proofErr w:type="gramStart"/>
      <w:r w:rsidRPr="00E0515B">
        <w:rPr>
          <w:szCs w:val="22"/>
        </w:rPr>
        <w:t>NN -AC</w:t>
      </w:r>
      <w:proofErr w:type="gramEnd"/>
      <w:r w:rsidRPr="00E0515B">
        <w:rPr>
          <w:szCs w:val="22"/>
        </w:rPr>
        <w:t xml:space="preserve"> kabeláž</w:t>
      </w:r>
    </w:p>
    <w:p w14:paraId="010597E7" w14:textId="77777777" w:rsidR="003369A9" w:rsidRPr="00E0515B" w:rsidRDefault="003369A9" w:rsidP="005A3EDC">
      <w:pPr>
        <w:pStyle w:val="Bezmezer"/>
        <w:spacing w:line="276" w:lineRule="auto"/>
        <w:ind w:left="1134" w:hanging="567"/>
        <w:rPr>
          <w:szCs w:val="22"/>
        </w:rPr>
      </w:pPr>
      <w:r w:rsidRPr="00E0515B">
        <w:rPr>
          <w:szCs w:val="22"/>
        </w:rPr>
        <w:t>Diagnostika (stav izolace)</w:t>
      </w:r>
    </w:p>
    <w:p w14:paraId="4EA12E0B" w14:textId="77777777" w:rsidR="003369A9" w:rsidRPr="00E0515B" w:rsidRDefault="003369A9" w:rsidP="005A3EDC">
      <w:pPr>
        <w:pStyle w:val="Bezmezer"/>
        <w:spacing w:line="276" w:lineRule="auto"/>
        <w:ind w:left="1134" w:hanging="567"/>
        <w:rPr>
          <w:szCs w:val="22"/>
        </w:rPr>
      </w:pPr>
      <w:r w:rsidRPr="00E0515B">
        <w:rPr>
          <w:szCs w:val="22"/>
        </w:rPr>
        <w:t>Vizuální kontrola kabelů, jejich upevnění a případné vedení přes ostré hrany.</w:t>
      </w:r>
    </w:p>
    <w:p w14:paraId="18702D86" w14:textId="77777777" w:rsidR="003369A9" w:rsidRPr="00E0515B" w:rsidRDefault="003369A9" w:rsidP="005A3EDC">
      <w:pPr>
        <w:pStyle w:val="Bezmezer"/>
        <w:numPr>
          <w:ilvl w:val="0"/>
          <w:numId w:val="43"/>
        </w:numPr>
        <w:spacing w:line="276" w:lineRule="auto"/>
        <w:ind w:left="1134" w:hanging="567"/>
        <w:rPr>
          <w:szCs w:val="22"/>
        </w:rPr>
      </w:pPr>
      <w:r w:rsidRPr="00E0515B">
        <w:rPr>
          <w:szCs w:val="22"/>
        </w:rPr>
        <w:t>Ostatní</w:t>
      </w:r>
    </w:p>
    <w:p w14:paraId="228F1E3C" w14:textId="77777777" w:rsidR="003369A9" w:rsidRPr="00E0515B" w:rsidRDefault="003369A9" w:rsidP="001F5D02">
      <w:pPr>
        <w:pStyle w:val="Bezmezer"/>
        <w:spacing w:line="276" w:lineRule="auto"/>
        <w:ind w:left="567"/>
        <w:rPr>
          <w:szCs w:val="22"/>
        </w:rPr>
      </w:pPr>
      <w:r w:rsidRPr="00E0515B">
        <w:rPr>
          <w:szCs w:val="22"/>
        </w:rPr>
        <w:t xml:space="preserve">Kontrola a údržba upevnění </w:t>
      </w:r>
      <w:proofErr w:type="gramStart"/>
      <w:r w:rsidRPr="00E0515B">
        <w:rPr>
          <w:szCs w:val="22"/>
        </w:rPr>
        <w:t>modulů - u</w:t>
      </w:r>
      <w:proofErr w:type="gramEnd"/>
      <w:r w:rsidRPr="00E0515B">
        <w:rPr>
          <w:szCs w:val="22"/>
        </w:rPr>
        <w:t xml:space="preserve"> všech typů konstrukcí je nutné zkontrolovat a dotáhnout všechny šroubové spoje, které moduly připevňují ke konstrukcím</w:t>
      </w:r>
    </w:p>
    <w:p w14:paraId="6787B23F" w14:textId="77777777" w:rsidR="003369A9" w:rsidRPr="00E0515B" w:rsidRDefault="003369A9" w:rsidP="001F5D02">
      <w:pPr>
        <w:pStyle w:val="Bezmezer"/>
        <w:spacing w:line="276" w:lineRule="auto"/>
        <w:ind w:left="567"/>
        <w:rPr>
          <w:szCs w:val="22"/>
        </w:rPr>
      </w:pPr>
      <w:r w:rsidRPr="00E0515B">
        <w:rPr>
          <w:szCs w:val="22"/>
        </w:rPr>
        <w:t>Pravidelná aktualizace všech platných předpisů, včetně aktualizace místních provozních předpisů pro každou FVE</w:t>
      </w:r>
    </w:p>
    <w:p w14:paraId="5BCDFB8B" w14:textId="77777777" w:rsidR="003369A9" w:rsidRPr="00E0515B" w:rsidRDefault="003369A9" w:rsidP="001F5D02">
      <w:pPr>
        <w:pStyle w:val="Bezmezer"/>
        <w:spacing w:line="276" w:lineRule="auto"/>
        <w:ind w:left="567"/>
        <w:rPr>
          <w:szCs w:val="22"/>
        </w:rPr>
      </w:pPr>
      <w:r w:rsidRPr="00E0515B">
        <w:rPr>
          <w:szCs w:val="22"/>
        </w:rPr>
        <w:t>Kontrola ventilátorů a termostatů v racku/kiosku/technické místnosti (jsou-li instalovány)</w:t>
      </w:r>
    </w:p>
    <w:p w14:paraId="0837E97A" w14:textId="77777777" w:rsidR="003369A9" w:rsidRPr="003344AA" w:rsidRDefault="003369A9" w:rsidP="003369A9">
      <w:pPr>
        <w:pStyle w:val="Nadpis2"/>
        <w:rPr>
          <w:rFonts w:ascii="Times New Roman" w:hAnsi="Times New Roman" w:cs="Times New Roman"/>
          <w:i w:val="0"/>
          <w:iCs w:val="0"/>
          <w:sz w:val="22"/>
          <w:szCs w:val="22"/>
        </w:rPr>
      </w:pPr>
      <w:r w:rsidRPr="003344AA">
        <w:rPr>
          <w:rFonts w:ascii="Times New Roman" w:hAnsi="Times New Roman" w:cs="Times New Roman"/>
          <w:i w:val="0"/>
          <w:iCs w:val="0"/>
          <w:sz w:val="22"/>
          <w:szCs w:val="22"/>
        </w:rPr>
        <w:t>Roční kontrola</w:t>
      </w:r>
    </w:p>
    <w:p w14:paraId="6404A8F6" w14:textId="77777777" w:rsidR="003369A9" w:rsidRPr="00E0515B" w:rsidRDefault="003369A9" w:rsidP="001F5D02">
      <w:pPr>
        <w:pStyle w:val="Bezmezer"/>
        <w:numPr>
          <w:ilvl w:val="0"/>
          <w:numId w:val="44"/>
        </w:numPr>
        <w:spacing w:line="276" w:lineRule="auto"/>
        <w:ind w:left="1134" w:hanging="567"/>
        <w:rPr>
          <w:szCs w:val="22"/>
        </w:rPr>
      </w:pPr>
      <w:r w:rsidRPr="00E0515B">
        <w:rPr>
          <w:szCs w:val="22"/>
        </w:rPr>
        <w:t>Zpráva o údržbě a provozu FVE vyplývající z provedených úkonů (souhrnná)</w:t>
      </w:r>
    </w:p>
    <w:p w14:paraId="21D2D5B0" w14:textId="77777777" w:rsidR="003369A9" w:rsidRPr="00E0515B" w:rsidRDefault="003369A9" w:rsidP="001F5D02">
      <w:pPr>
        <w:pStyle w:val="Bezmezer"/>
        <w:numPr>
          <w:ilvl w:val="0"/>
          <w:numId w:val="44"/>
        </w:numPr>
        <w:spacing w:line="276" w:lineRule="auto"/>
        <w:ind w:left="1134" w:hanging="567"/>
        <w:rPr>
          <w:szCs w:val="22"/>
        </w:rPr>
      </w:pPr>
      <w:r w:rsidRPr="00E0515B">
        <w:rPr>
          <w:szCs w:val="22"/>
        </w:rPr>
        <w:t>Měnič</w:t>
      </w:r>
    </w:p>
    <w:p w14:paraId="305C7F21" w14:textId="77777777" w:rsidR="003369A9" w:rsidRPr="00E0515B" w:rsidRDefault="003369A9" w:rsidP="001F5D02">
      <w:pPr>
        <w:pStyle w:val="Bezmezer"/>
        <w:spacing w:line="276" w:lineRule="auto"/>
        <w:ind w:left="567"/>
        <w:rPr>
          <w:szCs w:val="22"/>
        </w:rPr>
      </w:pPr>
      <w:r w:rsidRPr="00E0515B">
        <w:rPr>
          <w:szCs w:val="22"/>
        </w:rPr>
        <w:t>Kontrola funkčnosti a nastavení zařízení</w:t>
      </w:r>
    </w:p>
    <w:p w14:paraId="6785E5AF" w14:textId="77777777" w:rsidR="003369A9" w:rsidRPr="00E0515B" w:rsidRDefault="003369A9" w:rsidP="001F5D02">
      <w:pPr>
        <w:pStyle w:val="Bezmezer"/>
        <w:spacing w:line="276" w:lineRule="auto"/>
        <w:ind w:left="567"/>
        <w:rPr>
          <w:szCs w:val="22"/>
        </w:rPr>
      </w:pPr>
      <w:r w:rsidRPr="00E0515B">
        <w:rPr>
          <w:szCs w:val="22"/>
        </w:rPr>
        <w:lastRenderedPageBreak/>
        <w:t>Inicializace parametrů (pokud je to nutné)</w:t>
      </w:r>
    </w:p>
    <w:p w14:paraId="16C95C78" w14:textId="77777777" w:rsidR="003369A9" w:rsidRPr="00E0515B" w:rsidRDefault="003369A9" w:rsidP="001F5D02">
      <w:pPr>
        <w:pStyle w:val="Bezmezer"/>
        <w:spacing w:line="276" w:lineRule="auto"/>
        <w:ind w:left="567"/>
        <w:rPr>
          <w:szCs w:val="22"/>
        </w:rPr>
      </w:pPr>
      <w:r w:rsidRPr="00E0515B">
        <w:rPr>
          <w:szCs w:val="22"/>
        </w:rPr>
        <w:t>Kontrola systému nuceného chlazení (pokud je instalován)</w:t>
      </w:r>
    </w:p>
    <w:p w14:paraId="45ED1EAA" w14:textId="77777777" w:rsidR="003369A9" w:rsidRPr="00E0515B" w:rsidRDefault="003369A9" w:rsidP="001F5D02">
      <w:pPr>
        <w:pStyle w:val="Bezmezer"/>
        <w:spacing w:line="276" w:lineRule="auto"/>
        <w:ind w:left="567"/>
        <w:rPr>
          <w:szCs w:val="22"/>
        </w:rPr>
      </w:pPr>
      <w:r w:rsidRPr="00E0515B">
        <w:rPr>
          <w:szCs w:val="22"/>
        </w:rPr>
        <w:t>Kontrola těsnosti skříně a případné koroze zařízení</w:t>
      </w:r>
    </w:p>
    <w:p w14:paraId="34BE4D01" w14:textId="77777777" w:rsidR="003369A9" w:rsidRPr="00E0515B" w:rsidRDefault="003369A9" w:rsidP="001F5D02">
      <w:pPr>
        <w:pStyle w:val="Bezmezer"/>
        <w:spacing w:line="276" w:lineRule="auto"/>
        <w:ind w:left="567"/>
        <w:rPr>
          <w:szCs w:val="22"/>
        </w:rPr>
      </w:pPr>
      <w:r w:rsidRPr="00E0515B">
        <w:rPr>
          <w:szCs w:val="22"/>
        </w:rPr>
        <w:t>Kontrola elektrických spojů</w:t>
      </w:r>
    </w:p>
    <w:p w14:paraId="039CF2C3" w14:textId="77777777" w:rsidR="003369A9" w:rsidRPr="00E0515B" w:rsidRDefault="003369A9" w:rsidP="001F5D02">
      <w:pPr>
        <w:pStyle w:val="Bezmezer"/>
        <w:spacing w:line="276" w:lineRule="auto"/>
        <w:ind w:left="567"/>
        <w:rPr>
          <w:szCs w:val="22"/>
        </w:rPr>
      </w:pPr>
      <w:r w:rsidRPr="00E0515B">
        <w:rPr>
          <w:szCs w:val="22"/>
        </w:rPr>
        <w:t>Ověření chybových zpráv zařízení</w:t>
      </w:r>
    </w:p>
    <w:p w14:paraId="3719DCAF" w14:textId="77777777" w:rsidR="003369A9" w:rsidRPr="00E0515B" w:rsidRDefault="003369A9" w:rsidP="001F5D02">
      <w:pPr>
        <w:pStyle w:val="Bezmezer"/>
        <w:spacing w:line="276" w:lineRule="auto"/>
        <w:ind w:left="567"/>
        <w:rPr>
          <w:szCs w:val="22"/>
        </w:rPr>
      </w:pPr>
      <w:r w:rsidRPr="00E0515B">
        <w:rPr>
          <w:szCs w:val="22"/>
        </w:rPr>
        <w:t xml:space="preserve">Základní úklid (očištění měniče, </w:t>
      </w:r>
      <w:proofErr w:type="gramStart"/>
      <w:r w:rsidRPr="00E0515B">
        <w:rPr>
          <w:szCs w:val="22"/>
        </w:rPr>
        <w:t>konektorů,</w:t>
      </w:r>
      <w:proofErr w:type="gramEnd"/>
      <w:r w:rsidRPr="00E0515B">
        <w:rPr>
          <w:szCs w:val="22"/>
        </w:rPr>
        <w:t xml:space="preserve"> apod., odstranění prachu)</w:t>
      </w:r>
    </w:p>
    <w:p w14:paraId="7634081A" w14:textId="77777777" w:rsidR="003369A9" w:rsidRPr="00E0515B" w:rsidRDefault="003369A9" w:rsidP="001F5D02">
      <w:pPr>
        <w:pStyle w:val="Bezmezer"/>
        <w:spacing w:line="276" w:lineRule="auto"/>
        <w:ind w:left="567"/>
        <w:rPr>
          <w:szCs w:val="22"/>
        </w:rPr>
      </w:pPr>
      <w:r w:rsidRPr="00E0515B">
        <w:rPr>
          <w:szCs w:val="22"/>
        </w:rPr>
        <w:t>Aktualizace firmware</w:t>
      </w:r>
    </w:p>
    <w:p w14:paraId="4527C82E" w14:textId="77777777" w:rsidR="003369A9" w:rsidRPr="00E0515B" w:rsidRDefault="003369A9" w:rsidP="001F5D02">
      <w:pPr>
        <w:pStyle w:val="Bezmezer"/>
        <w:numPr>
          <w:ilvl w:val="0"/>
          <w:numId w:val="44"/>
        </w:numPr>
        <w:spacing w:line="276" w:lineRule="auto"/>
        <w:ind w:left="567" w:firstLine="0"/>
        <w:rPr>
          <w:szCs w:val="22"/>
        </w:rPr>
      </w:pPr>
      <w:r w:rsidRPr="00E0515B">
        <w:rPr>
          <w:szCs w:val="22"/>
        </w:rPr>
        <w:t>Prohlídka a údržba VN části</w:t>
      </w:r>
    </w:p>
    <w:p w14:paraId="22375492" w14:textId="77777777" w:rsidR="003369A9" w:rsidRPr="00E0515B" w:rsidRDefault="003369A9" w:rsidP="001F5D02">
      <w:pPr>
        <w:pStyle w:val="Bezmezer"/>
        <w:spacing w:line="276" w:lineRule="auto"/>
        <w:ind w:left="567"/>
        <w:rPr>
          <w:szCs w:val="22"/>
        </w:rPr>
      </w:pPr>
      <w:r w:rsidRPr="00E0515B">
        <w:rPr>
          <w:szCs w:val="22"/>
        </w:rPr>
        <w:t>Vizuální kontrola transformátoru a skříně</w:t>
      </w:r>
    </w:p>
    <w:p w14:paraId="3FB41FEF" w14:textId="77777777" w:rsidR="003369A9" w:rsidRPr="00E0515B" w:rsidRDefault="003369A9" w:rsidP="001F5D02">
      <w:pPr>
        <w:pStyle w:val="Bezmezer"/>
        <w:spacing w:line="276" w:lineRule="auto"/>
        <w:ind w:left="567"/>
        <w:rPr>
          <w:szCs w:val="22"/>
        </w:rPr>
      </w:pPr>
      <w:r w:rsidRPr="00E0515B">
        <w:rPr>
          <w:szCs w:val="22"/>
        </w:rPr>
        <w:t xml:space="preserve">Rozváděče </w:t>
      </w:r>
      <w:proofErr w:type="gramStart"/>
      <w:r w:rsidRPr="00E0515B">
        <w:rPr>
          <w:szCs w:val="22"/>
        </w:rPr>
        <w:t>VN - zkoušky</w:t>
      </w:r>
      <w:proofErr w:type="gramEnd"/>
      <w:r w:rsidRPr="00E0515B">
        <w:rPr>
          <w:szCs w:val="22"/>
        </w:rPr>
        <w:t xml:space="preserve"> funkčnosti, údržba</w:t>
      </w:r>
    </w:p>
    <w:p w14:paraId="7C39E4D1" w14:textId="77777777" w:rsidR="003369A9" w:rsidRPr="00E0515B" w:rsidRDefault="003369A9" w:rsidP="001F5D02">
      <w:pPr>
        <w:pStyle w:val="Bezmezer"/>
        <w:spacing w:line="276" w:lineRule="auto"/>
        <w:ind w:left="567"/>
        <w:rPr>
          <w:szCs w:val="22"/>
        </w:rPr>
      </w:pPr>
      <w:r w:rsidRPr="00E0515B">
        <w:rPr>
          <w:szCs w:val="22"/>
        </w:rPr>
        <w:t xml:space="preserve">Ochrana </w:t>
      </w:r>
      <w:proofErr w:type="gramStart"/>
      <w:r w:rsidRPr="00E0515B">
        <w:rPr>
          <w:szCs w:val="22"/>
        </w:rPr>
        <w:t>VN - kontrola</w:t>
      </w:r>
      <w:proofErr w:type="gramEnd"/>
      <w:r w:rsidRPr="00E0515B">
        <w:rPr>
          <w:szCs w:val="22"/>
        </w:rPr>
        <w:t xml:space="preserve"> nastavení, údržba</w:t>
      </w:r>
    </w:p>
    <w:p w14:paraId="540C33B0" w14:textId="77777777" w:rsidR="003369A9" w:rsidRPr="00E0515B" w:rsidRDefault="003369A9" w:rsidP="001F5D02">
      <w:pPr>
        <w:pStyle w:val="Bezmezer"/>
        <w:spacing w:line="276" w:lineRule="auto"/>
        <w:ind w:left="567"/>
        <w:rPr>
          <w:szCs w:val="22"/>
        </w:rPr>
      </w:pPr>
      <w:r w:rsidRPr="00E0515B">
        <w:rPr>
          <w:szCs w:val="22"/>
        </w:rPr>
        <w:t>VN tlumivky, údržba ostatních zařízení</w:t>
      </w:r>
    </w:p>
    <w:p w14:paraId="7327DA40" w14:textId="77777777" w:rsidR="003369A9" w:rsidRPr="00E0515B" w:rsidRDefault="003369A9" w:rsidP="001F5D02">
      <w:pPr>
        <w:pStyle w:val="Bezmezer"/>
        <w:spacing w:line="276" w:lineRule="auto"/>
        <w:ind w:left="567"/>
        <w:rPr>
          <w:szCs w:val="22"/>
        </w:rPr>
      </w:pPr>
      <w:r w:rsidRPr="00E0515B">
        <w:rPr>
          <w:szCs w:val="22"/>
        </w:rPr>
        <w:t xml:space="preserve">Vizuální kontrola ochrany </w:t>
      </w:r>
      <w:proofErr w:type="spellStart"/>
      <w:r w:rsidRPr="00E0515B">
        <w:rPr>
          <w:szCs w:val="22"/>
        </w:rPr>
        <w:t>Buchholzova</w:t>
      </w:r>
      <w:proofErr w:type="spellEnd"/>
      <w:r w:rsidRPr="00E0515B">
        <w:rPr>
          <w:szCs w:val="22"/>
        </w:rPr>
        <w:t xml:space="preserve"> relé (pokud je instalováno)</w:t>
      </w:r>
    </w:p>
    <w:p w14:paraId="5AECB7FE" w14:textId="77777777" w:rsidR="003369A9" w:rsidRPr="00E0515B" w:rsidRDefault="003369A9" w:rsidP="001F5D02">
      <w:pPr>
        <w:pStyle w:val="Bezmezer"/>
        <w:spacing w:line="276" w:lineRule="auto"/>
        <w:ind w:left="567"/>
        <w:rPr>
          <w:szCs w:val="22"/>
        </w:rPr>
      </w:pPr>
      <w:r w:rsidRPr="00E0515B">
        <w:rPr>
          <w:szCs w:val="22"/>
        </w:rPr>
        <w:t>Vizuální kontrola síťového připojení a kontrola uzemnění</w:t>
      </w:r>
    </w:p>
    <w:p w14:paraId="465B7718" w14:textId="77777777" w:rsidR="003369A9" w:rsidRPr="00E0515B" w:rsidRDefault="003369A9" w:rsidP="001F5D02">
      <w:pPr>
        <w:pStyle w:val="Bezmezer"/>
        <w:spacing w:line="276" w:lineRule="auto"/>
        <w:ind w:left="567"/>
        <w:rPr>
          <w:b/>
          <w:szCs w:val="22"/>
        </w:rPr>
      </w:pPr>
      <w:r w:rsidRPr="00E0515B">
        <w:rPr>
          <w:b/>
          <w:szCs w:val="22"/>
        </w:rPr>
        <w:t>VN kabeláž</w:t>
      </w:r>
    </w:p>
    <w:p w14:paraId="3DF4BC2B" w14:textId="77777777" w:rsidR="003369A9" w:rsidRPr="00E0515B" w:rsidRDefault="003369A9" w:rsidP="001F5D02">
      <w:pPr>
        <w:pStyle w:val="Bezmezer"/>
        <w:spacing w:line="276" w:lineRule="auto"/>
        <w:ind w:left="567"/>
        <w:rPr>
          <w:szCs w:val="22"/>
        </w:rPr>
      </w:pPr>
      <w:r w:rsidRPr="00E0515B">
        <w:rPr>
          <w:szCs w:val="22"/>
        </w:rPr>
        <w:t>Vizuální kontrola připojení k síti a kontrola uzemnění</w:t>
      </w:r>
    </w:p>
    <w:p w14:paraId="70E39F66" w14:textId="77777777" w:rsidR="003369A9" w:rsidRPr="00E0515B" w:rsidRDefault="003369A9" w:rsidP="001F5D02">
      <w:pPr>
        <w:pStyle w:val="Bezmezer"/>
        <w:spacing w:line="276" w:lineRule="auto"/>
        <w:ind w:left="567"/>
        <w:rPr>
          <w:szCs w:val="22"/>
        </w:rPr>
      </w:pPr>
      <w:r w:rsidRPr="00E0515B">
        <w:rPr>
          <w:szCs w:val="22"/>
        </w:rPr>
        <w:t xml:space="preserve">Pravidelná diagnostika, zejména měření izolačního odporu a dalších parametrů kabelů relevantních </w:t>
      </w:r>
      <w:proofErr w:type="gramStart"/>
      <w:r w:rsidRPr="00E0515B">
        <w:rPr>
          <w:szCs w:val="22"/>
        </w:rPr>
        <w:t>pro  pravidelnou</w:t>
      </w:r>
      <w:proofErr w:type="gramEnd"/>
      <w:r w:rsidRPr="00E0515B">
        <w:rPr>
          <w:szCs w:val="22"/>
        </w:rPr>
        <w:t xml:space="preserve"> elektro revizi</w:t>
      </w:r>
    </w:p>
    <w:p w14:paraId="67670DD4" w14:textId="77777777" w:rsidR="003369A9" w:rsidRPr="00E0515B" w:rsidRDefault="003369A9" w:rsidP="001F5D02">
      <w:pPr>
        <w:pStyle w:val="Bezmezer"/>
        <w:spacing w:line="276" w:lineRule="auto"/>
        <w:ind w:left="567"/>
        <w:rPr>
          <w:szCs w:val="22"/>
        </w:rPr>
      </w:pPr>
      <w:r w:rsidRPr="00E0515B">
        <w:rPr>
          <w:szCs w:val="22"/>
        </w:rPr>
        <w:t>Kontrola spojů, svorek</w:t>
      </w:r>
    </w:p>
    <w:p w14:paraId="778A6EEE" w14:textId="77777777" w:rsidR="003369A9" w:rsidRPr="00E0515B" w:rsidRDefault="003369A9" w:rsidP="001F5D02">
      <w:pPr>
        <w:pStyle w:val="Bezmezer"/>
        <w:spacing w:line="276" w:lineRule="auto"/>
        <w:ind w:left="567"/>
        <w:rPr>
          <w:szCs w:val="22"/>
        </w:rPr>
      </w:pPr>
      <w:r w:rsidRPr="00E0515B">
        <w:rPr>
          <w:szCs w:val="22"/>
        </w:rPr>
        <w:t>Kontrola plynu VN spínače (pokud je to možné), resp. kontrola stavu VN spínačů</w:t>
      </w:r>
    </w:p>
    <w:p w14:paraId="14CE9667" w14:textId="77777777" w:rsidR="003369A9" w:rsidRPr="00E0515B" w:rsidRDefault="003369A9" w:rsidP="001F5D02">
      <w:pPr>
        <w:pStyle w:val="Bezmezer"/>
        <w:spacing w:line="276" w:lineRule="auto"/>
        <w:ind w:left="567"/>
        <w:rPr>
          <w:szCs w:val="22"/>
        </w:rPr>
      </w:pPr>
      <w:r w:rsidRPr="00E0515B">
        <w:rPr>
          <w:szCs w:val="22"/>
        </w:rPr>
        <w:t>Kontrola funkčnosti místního/vzdáleného ovládání (pokud je nainstalováno)</w:t>
      </w:r>
    </w:p>
    <w:p w14:paraId="546C9D4C" w14:textId="77777777" w:rsidR="003369A9" w:rsidRPr="00E0515B" w:rsidRDefault="003369A9" w:rsidP="001F5D02">
      <w:pPr>
        <w:pStyle w:val="Bezmezer"/>
        <w:spacing w:line="276" w:lineRule="auto"/>
        <w:ind w:left="567"/>
        <w:rPr>
          <w:szCs w:val="22"/>
        </w:rPr>
      </w:pPr>
      <w:r w:rsidRPr="00E0515B">
        <w:rPr>
          <w:szCs w:val="22"/>
        </w:rPr>
        <w:t>Kontrola funkčnosti automatického zapnutí zařízení (pokud je nainstalováno)</w:t>
      </w:r>
    </w:p>
    <w:p w14:paraId="65DB4912" w14:textId="77777777" w:rsidR="003369A9" w:rsidRPr="00E0515B" w:rsidRDefault="003369A9" w:rsidP="001F5D02">
      <w:pPr>
        <w:pStyle w:val="Bezmezer"/>
        <w:numPr>
          <w:ilvl w:val="0"/>
          <w:numId w:val="44"/>
        </w:numPr>
        <w:spacing w:line="276" w:lineRule="auto"/>
        <w:ind w:left="567" w:firstLine="0"/>
        <w:rPr>
          <w:szCs w:val="22"/>
        </w:rPr>
      </w:pPr>
      <w:r w:rsidRPr="00E0515B">
        <w:rPr>
          <w:szCs w:val="22"/>
        </w:rPr>
        <w:t>Termografie</w:t>
      </w:r>
    </w:p>
    <w:p w14:paraId="288F16ED" w14:textId="77777777" w:rsidR="003369A9" w:rsidRPr="00E0515B" w:rsidRDefault="003369A9" w:rsidP="001F5D02">
      <w:pPr>
        <w:pStyle w:val="Bezmezer"/>
        <w:spacing w:line="276" w:lineRule="auto"/>
        <w:ind w:left="567"/>
        <w:rPr>
          <w:szCs w:val="22"/>
        </w:rPr>
      </w:pPr>
      <w:r w:rsidRPr="00E0515B">
        <w:rPr>
          <w:szCs w:val="22"/>
        </w:rPr>
        <w:t>Termografie elektrických rozvodů a modulů včetně vyhodnocení a vyhotovení protokolu</w:t>
      </w:r>
    </w:p>
    <w:p w14:paraId="146F3E58" w14:textId="77777777" w:rsidR="003369A9" w:rsidRPr="00E0515B" w:rsidRDefault="003369A9" w:rsidP="001F5D02">
      <w:pPr>
        <w:pStyle w:val="Bezmezer"/>
        <w:spacing w:line="276" w:lineRule="auto"/>
        <w:ind w:left="567"/>
        <w:rPr>
          <w:szCs w:val="22"/>
        </w:rPr>
      </w:pPr>
      <w:r w:rsidRPr="00E0515B">
        <w:rPr>
          <w:szCs w:val="22"/>
        </w:rPr>
        <w:t>Vizuální kontrola modulů</w:t>
      </w:r>
    </w:p>
    <w:p w14:paraId="0AB76AF2" w14:textId="77777777" w:rsidR="003369A9" w:rsidRPr="00E0515B" w:rsidRDefault="003369A9" w:rsidP="001F5D02">
      <w:pPr>
        <w:pStyle w:val="Bezmezer"/>
        <w:spacing w:line="276" w:lineRule="auto"/>
        <w:ind w:left="567"/>
        <w:rPr>
          <w:szCs w:val="22"/>
        </w:rPr>
      </w:pPr>
      <w:r w:rsidRPr="00E0515B">
        <w:rPr>
          <w:szCs w:val="22"/>
        </w:rPr>
        <w:t>Moduly</w:t>
      </w:r>
    </w:p>
    <w:p w14:paraId="398E8980" w14:textId="77777777" w:rsidR="003369A9" w:rsidRPr="00E0515B" w:rsidRDefault="003369A9" w:rsidP="001F5D02">
      <w:pPr>
        <w:pStyle w:val="Bezmezer"/>
        <w:spacing w:line="276" w:lineRule="auto"/>
        <w:ind w:left="567"/>
        <w:rPr>
          <w:szCs w:val="22"/>
        </w:rPr>
      </w:pPr>
      <w:r w:rsidRPr="00E0515B">
        <w:rPr>
          <w:szCs w:val="22"/>
        </w:rPr>
        <w:t>Sdružovací boxy</w:t>
      </w:r>
    </w:p>
    <w:p w14:paraId="2C3DC732" w14:textId="77777777" w:rsidR="003369A9" w:rsidRPr="00E0515B" w:rsidRDefault="003369A9" w:rsidP="001F5D02">
      <w:pPr>
        <w:pStyle w:val="Bezmezer"/>
        <w:spacing w:line="276" w:lineRule="auto"/>
        <w:ind w:left="567"/>
        <w:rPr>
          <w:szCs w:val="22"/>
        </w:rPr>
      </w:pPr>
      <w:r w:rsidRPr="00E0515B">
        <w:rPr>
          <w:szCs w:val="22"/>
        </w:rPr>
        <w:t>Transformátor</w:t>
      </w:r>
    </w:p>
    <w:p w14:paraId="590F9EE1" w14:textId="77777777" w:rsidR="003369A9" w:rsidRPr="00E0515B" w:rsidRDefault="003369A9" w:rsidP="001F5D02">
      <w:pPr>
        <w:pStyle w:val="Bezmezer"/>
        <w:spacing w:line="276" w:lineRule="auto"/>
        <w:ind w:left="567"/>
        <w:rPr>
          <w:szCs w:val="22"/>
        </w:rPr>
      </w:pPr>
      <w:r w:rsidRPr="00E0515B">
        <w:rPr>
          <w:szCs w:val="22"/>
        </w:rPr>
        <w:t>Měnič (pokud je to možné)</w:t>
      </w:r>
    </w:p>
    <w:p w14:paraId="15D82FFC" w14:textId="77777777" w:rsidR="000351C5" w:rsidRPr="00E0515B" w:rsidRDefault="000351C5" w:rsidP="001F5D02">
      <w:pPr>
        <w:spacing w:before="0" w:after="0"/>
        <w:ind w:left="567"/>
        <w:jc w:val="center"/>
        <w:rPr>
          <w:b/>
          <w:bCs/>
          <w:szCs w:val="22"/>
        </w:rPr>
      </w:pPr>
    </w:p>
    <w:sectPr w:rsidR="000351C5" w:rsidRPr="00E0515B" w:rsidSect="005A2A7E">
      <w:headerReference w:type="default" r:id="rId9"/>
      <w:footerReference w:type="default" r:id="rId10"/>
      <w:pgSz w:w="11907" w:h="16840"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4744" w14:textId="77777777" w:rsidR="00115C97" w:rsidRDefault="00115C97">
      <w:r>
        <w:separator/>
      </w:r>
    </w:p>
  </w:endnote>
  <w:endnote w:type="continuationSeparator" w:id="0">
    <w:p w14:paraId="52E54146" w14:textId="77777777" w:rsidR="00115C97" w:rsidRDefault="00115C97">
      <w:r>
        <w:continuationSeparator/>
      </w:r>
    </w:p>
  </w:endnote>
  <w:endnote w:type="continuationNotice" w:id="1">
    <w:p w14:paraId="426CCABA" w14:textId="77777777" w:rsidR="00115C97" w:rsidRDefault="00115C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25E8" w14:textId="77777777" w:rsidR="00802469" w:rsidRPr="000F1DF5" w:rsidRDefault="00802469"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5</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7</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4F72" w14:textId="77777777" w:rsidR="00115C97" w:rsidRDefault="00115C97">
      <w:r>
        <w:separator/>
      </w:r>
    </w:p>
  </w:footnote>
  <w:footnote w:type="continuationSeparator" w:id="0">
    <w:p w14:paraId="7F918D8D" w14:textId="77777777" w:rsidR="00115C97" w:rsidRDefault="00115C97">
      <w:r>
        <w:continuationSeparator/>
      </w:r>
    </w:p>
  </w:footnote>
  <w:footnote w:type="continuationNotice" w:id="1">
    <w:p w14:paraId="561AD82D" w14:textId="77777777" w:rsidR="00115C97" w:rsidRDefault="00115C97">
      <w:pPr>
        <w:spacing w:before="0" w:after="0"/>
      </w:pPr>
    </w:p>
  </w:footnote>
  <w:footnote w:id="2">
    <w:p w14:paraId="3D94A69B" w14:textId="2E1790F4" w:rsidR="002E2BBB" w:rsidRDefault="002E2BBB">
      <w:pPr>
        <w:pStyle w:val="Textpoznpodarou"/>
      </w:pPr>
      <w:r>
        <w:rPr>
          <w:rStyle w:val="Znakapoznpodarou"/>
        </w:rPr>
        <w:footnoteRef/>
      </w:r>
      <w:r>
        <w:t xml:space="preserve"> Doplní dodavatel dle své nabídky, v závorce jsou uvedeny minimální přípustné hodnoty.</w:t>
      </w:r>
    </w:p>
  </w:footnote>
  <w:footnote w:id="3">
    <w:p w14:paraId="5862498F" w14:textId="0EF618A2" w:rsidR="002E2BBB" w:rsidRDefault="002E2BBB">
      <w:pPr>
        <w:pStyle w:val="Textpoznpodarou"/>
      </w:pPr>
      <w:r>
        <w:rPr>
          <w:rStyle w:val="Znakapoznpodarou"/>
        </w:rPr>
        <w:footnoteRef/>
      </w:r>
      <w:r>
        <w:t xml:space="preserve"> Doplní dodavatel dle své nabídky, v závorce jsou uvedeny minimální přípustné hodnoty.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0BD4" w14:textId="6A0436CC" w:rsidR="00802469" w:rsidRPr="000F1DF5" w:rsidRDefault="00C47263" w:rsidP="00AF7F47">
    <w:pPr>
      <w:tabs>
        <w:tab w:val="right" w:pos="9072"/>
      </w:tabs>
      <w:spacing w:before="0" w:after="0"/>
      <w:rPr>
        <w:rFonts w:ascii="Arial" w:hAnsi="Arial" w:cs="Arial"/>
        <w:b/>
        <w:iCs/>
        <w:sz w:val="15"/>
        <w:szCs w:val="15"/>
      </w:rPr>
    </w:pPr>
    <w:r>
      <w:rPr>
        <w:b/>
        <w:bCs/>
        <w:i/>
        <w:iCs/>
      </w:rPr>
      <w:t>Příloha č. 6 Smlouvy o dílo</w:t>
    </w:r>
    <w:r w:rsidR="00802469" w:rsidRPr="000F1DF5">
      <w:rPr>
        <w:rFonts w:ascii="Arial" w:hAnsi="Arial"/>
        <w:iCs/>
        <w:sz w:val="15"/>
        <w:szCs w:val="15"/>
      </w:rPr>
      <w:tab/>
    </w:r>
  </w:p>
  <w:p w14:paraId="017789EE" w14:textId="77777777" w:rsidR="00802469" w:rsidRDefault="008024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hybridMultilevel"/>
    <w:tmpl w:val="3162E7D0"/>
    <w:lvl w:ilvl="0" w:tplc="227C563C">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C2778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AC05A5"/>
    <w:multiLevelType w:val="hybridMultilevel"/>
    <w:tmpl w:val="D0468F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3FF49E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5C555F"/>
    <w:multiLevelType w:val="hybridMultilevel"/>
    <w:tmpl w:val="D0468F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A22382"/>
    <w:multiLevelType w:val="hybridMultilevel"/>
    <w:tmpl w:val="D0468F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36FD4165"/>
    <w:multiLevelType w:val="hybridMultilevel"/>
    <w:tmpl w:val="DCFC45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E53567"/>
    <w:multiLevelType w:val="hybridMultilevel"/>
    <w:tmpl w:val="A5E26C06"/>
    <w:lvl w:ilvl="0" w:tplc="92622EB6">
      <w:start w:val="1"/>
      <w:numFmt w:val="upperLetter"/>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cs="Times New Roman" w:hint="default"/>
      </w:rPr>
    </w:lvl>
    <w:lvl w:ilvl="1" w:tplc="49C8F97C">
      <w:start w:val="1"/>
      <w:numFmt w:val="decimal"/>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3" w15:restartNumberingAfterBreak="0">
    <w:nsid w:val="4DA505EE"/>
    <w:multiLevelType w:val="multilevel"/>
    <w:tmpl w:val="86782A0E"/>
    <w:lvl w:ilvl="0">
      <w:start w:val="1"/>
      <w:numFmt w:val="decimal"/>
      <w:pStyle w:val="AOHead1"/>
      <w:lvlText w:val="%1."/>
      <w:lvlJc w:val="left"/>
      <w:pPr>
        <w:ind w:left="5104" w:firstLine="0"/>
      </w:pPr>
      <w:rPr>
        <w:rFonts w:ascii="Times New Roman" w:eastAsia="Times New Roman" w:hAnsi="Times New Roman" w:cs="Times New Roman" w:hint="default"/>
        <w:b/>
        <w:i w:val="0"/>
        <w:sz w:val="22"/>
        <w:u w:val="none"/>
      </w:rPr>
    </w:lvl>
    <w:lvl w:ilvl="1">
      <w:start w:val="1"/>
      <w:numFmt w:val="decimal"/>
      <w:pStyle w:val="AOHead2"/>
      <w:isLgl/>
      <w:lvlText w:val="%1.%2"/>
      <w:lvlJc w:val="left"/>
      <w:pPr>
        <w:tabs>
          <w:tab w:val="num" w:pos="709"/>
        </w:tabs>
        <w:ind w:left="709" w:hanging="709"/>
      </w:pPr>
      <w:rPr>
        <w:rFonts w:ascii="Times New Roman" w:hAnsi="Times New Roman" w:cs="Times New Roman" w:hint="default"/>
        <w:b/>
        <w:i w:val="0"/>
        <w:color w:val="auto"/>
        <w:sz w:val="22"/>
      </w:rPr>
    </w:lvl>
    <w:lvl w:ilvl="2">
      <w:start w:val="1"/>
      <w:numFmt w:val="decimal"/>
      <w:pStyle w:val="AOHead3"/>
      <w:isLgl/>
      <w:lvlText w:val="%1.%2.%3"/>
      <w:lvlJc w:val="left"/>
      <w:pPr>
        <w:tabs>
          <w:tab w:val="num" w:pos="1418"/>
        </w:tabs>
        <w:ind w:left="1418" w:hanging="709"/>
      </w:pPr>
      <w:rPr>
        <w:rFonts w:ascii="Times New Roman" w:hAnsi="Times New Roman" w:cs="Times New Roman" w:hint="default"/>
        <w:b w:val="0"/>
        <w:i w:val="0"/>
        <w:sz w:val="22"/>
      </w:rPr>
    </w:lvl>
    <w:lvl w:ilvl="3">
      <w:start w:val="1"/>
      <w:numFmt w:val="decimal"/>
      <w:pStyle w:val="AOHead4"/>
      <w:isLgl/>
      <w:lvlText w:val="%1.%2.%3.%4"/>
      <w:lvlJc w:val="left"/>
      <w:pPr>
        <w:tabs>
          <w:tab w:val="num" w:pos="2268"/>
        </w:tabs>
        <w:ind w:left="2268" w:hanging="850"/>
      </w:pPr>
      <w:rPr>
        <w:rFonts w:ascii="Times New Roman" w:hAnsi="Times New Roman" w:cs="Times New Roman" w:hint="default"/>
        <w:b w:val="0"/>
        <w:i w:val="0"/>
        <w:sz w:val="22"/>
      </w:rPr>
    </w:lvl>
    <w:lvl w:ilvl="4">
      <w:start w:val="1"/>
      <w:numFmt w:val="decimal"/>
      <w:pStyle w:val="AOHead5"/>
      <w:isLgl/>
      <w:lvlText w:val="%1.%2.%3.%4.%5"/>
      <w:lvlJc w:val="left"/>
      <w:pPr>
        <w:tabs>
          <w:tab w:val="num" w:pos="3260"/>
        </w:tabs>
        <w:ind w:left="3260" w:hanging="992"/>
      </w:pPr>
      <w:rPr>
        <w:rFonts w:ascii="Times New Roman" w:hAnsi="Times New Roman" w:cs="Times New Roman" w:hint="default"/>
        <w:b/>
        <w:i w:val="0"/>
        <w:sz w:val="22"/>
        <w:szCs w:val="22"/>
      </w:rPr>
    </w:lvl>
    <w:lvl w:ilvl="5">
      <w:start w:val="1"/>
      <w:numFmt w:val="decimal"/>
      <w:pStyle w:val="AOHead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57052189"/>
    <w:multiLevelType w:val="hybridMultilevel"/>
    <w:tmpl w:val="56929DA8"/>
    <w:styleLink w:val="Importovanstyl3"/>
    <w:lvl w:ilvl="0" w:tplc="E3D2AA3E">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B5C6DA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DB82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65C2E44">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5CE70F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28014F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3AAA7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06A1EA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CF05C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648F07ED"/>
    <w:multiLevelType w:val="hybridMultilevel"/>
    <w:tmpl w:val="D0468F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E732A6"/>
    <w:multiLevelType w:val="hybridMultilevel"/>
    <w:tmpl w:val="D0468F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4B5D6A"/>
    <w:multiLevelType w:val="multilevel"/>
    <w:tmpl w:val="86281C9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135"/>
        </w:tabs>
        <w:ind w:left="1135"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right"/>
      <w:pPr>
        <w:ind w:left="1352" w:hanging="360"/>
      </w:p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717C65E7"/>
    <w:multiLevelType w:val="multilevel"/>
    <w:tmpl w:val="8A02E8B0"/>
    <w:lvl w:ilvl="0">
      <w:start w:val="1"/>
      <w:numFmt w:val="decimal"/>
      <w:lvlText w:val="%1."/>
      <w:lvlJc w:val="left"/>
      <w:pPr>
        <w:tabs>
          <w:tab w:val="num" w:pos="0"/>
        </w:tabs>
        <w:ind w:left="0" w:firstLine="0"/>
      </w:pPr>
      <w:rPr>
        <w:rFonts w:hint="default"/>
        <w:b/>
        <w:i w:val="0"/>
        <w:sz w:val="22"/>
        <w:u w:val="none"/>
      </w:rPr>
    </w:lvl>
    <w:lvl w:ilvl="1">
      <w:start w:val="1"/>
      <w:numFmt w:val="decimal"/>
      <w:isLgl/>
      <w:lvlText w:val="%1.%2"/>
      <w:lvlJc w:val="left"/>
      <w:pPr>
        <w:tabs>
          <w:tab w:val="num" w:pos="993"/>
        </w:tabs>
        <w:ind w:left="851" w:hanging="709"/>
      </w:pPr>
      <w:rPr>
        <w:rFonts w:ascii="Times New Roman" w:hAnsi="Times New Roman" w:hint="default"/>
        <w:b/>
        <w:i w:val="0"/>
        <w:sz w:val="22"/>
      </w:rPr>
    </w:lvl>
    <w:lvl w:ilvl="2">
      <w:start w:val="1"/>
      <w:numFmt w:val="decimal"/>
      <w:isLgl/>
      <w:lvlText w:val="%1.%2.%3"/>
      <w:lvlJc w:val="left"/>
      <w:pPr>
        <w:tabs>
          <w:tab w:val="num" w:pos="1844"/>
        </w:tabs>
        <w:ind w:left="1844"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307390"/>
    <w:multiLevelType w:val="hybridMultilevel"/>
    <w:tmpl w:val="56929DA8"/>
    <w:numStyleLink w:val="Importovanstyl3"/>
  </w:abstractNum>
  <w:abstractNum w:abstractNumId="21"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598952">
    <w:abstractNumId w:val="9"/>
  </w:num>
  <w:num w:numId="2" w16cid:durableId="690958366">
    <w:abstractNumId w:val="21"/>
  </w:num>
  <w:num w:numId="3" w16cid:durableId="714547601">
    <w:abstractNumId w:val="18"/>
  </w:num>
  <w:num w:numId="4" w16cid:durableId="493691756">
    <w:abstractNumId w:val="4"/>
  </w:num>
  <w:num w:numId="5" w16cid:durableId="862011169">
    <w:abstractNumId w:val="1"/>
  </w:num>
  <w:num w:numId="6" w16cid:durableId="1082725966">
    <w:abstractNumId w:val="14"/>
  </w:num>
  <w:num w:numId="7" w16cid:durableId="1061638300">
    <w:abstractNumId w:val="5"/>
  </w:num>
  <w:num w:numId="8" w16cid:durableId="605161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1334501">
    <w:abstractNumId w:val="13"/>
  </w:num>
  <w:num w:numId="10" w16cid:durableId="1933467284">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16cid:durableId="2045515392">
    <w:abstractNumId w:val="21"/>
    <w:lvlOverride w:ilvl="0">
      <w:startOverride w:val="1"/>
    </w:lvlOverride>
  </w:num>
  <w:num w:numId="12" w16cid:durableId="1102410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7988097">
    <w:abstractNumId w:val="0"/>
  </w:num>
  <w:num w:numId="14" w16cid:durableId="1517579016">
    <w:abstractNumId w:val="19"/>
  </w:num>
  <w:num w:numId="15" w16cid:durableId="461272455">
    <w:abstractNumId w:val="21"/>
    <w:lvlOverride w:ilvl="0">
      <w:startOverride w:val="1"/>
    </w:lvlOverride>
  </w:num>
  <w:num w:numId="16" w16cid:durableId="1170950565">
    <w:abstractNumId w:val="2"/>
  </w:num>
  <w:num w:numId="17" w16cid:durableId="1133254763">
    <w:abstractNumId w:val="6"/>
  </w:num>
  <w:num w:numId="18" w16cid:durableId="1196234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9042854">
    <w:abstractNumId w:val="15"/>
  </w:num>
  <w:num w:numId="20" w16cid:durableId="577205029">
    <w:abstractNumId w:val="20"/>
    <w:lvlOverride w:ilvl="0">
      <w:lvl w:ilvl="0" w:tplc="BA3AB154">
        <w:start w:val="1"/>
        <w:numFmt w:val="decimal"/>
        <w:lvlText w:val="(%1)"/>
        <w:lvlJc w:val="left"/>
        <w:pPr>
          <w:ind w:left="567" w:hanging="567"/>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16cid:durableId="2025594647">
    <w:abstractNumId w:val="21"/>
  </w:num>
  <w:num w:numId="22" w16cid:durableId="2091078702">
    <w:abstractNumId w:val="18"/>
  </w:num>
  <w:num w:numId="23" w16cid:durableId="658651036">
    <w:abstractNumId w:val="18"/>
  </w:num>
  <w:num w:numId="24" w16cid:durableId="946810742">
    <w:abstractNumId w:val="18"/>
  </w:num>
  <w:num w:numId="25" w16cid:durableId="2056267554">
    <w:abstractNumId w:val="18"/>
  </w:num>
  <w:num w:numId="26" w16cid:durableId="1028457620">
    <w:abstractNumId w:val="18"/>
  </w:num>
  <w:num w:numId="27" w16cid:durableId="1966543289">
    <w:abstractNumId w:val="18"/>
  </w:num>
  <w:num w:numId="28" w16cid:durableId="1984190880">
    <w:abstractNumId w:val="18"/>
  </w:num>
  <w:num w:numId="29" w16cid:durableId="97025975">
    <w:abstractNumId w:val="18"/>
  </w:num>
  <w:num w:numId="30" w16cid:durableId="1689210830">
    <w:abstractNumId w:val="18"/>
  </w:num>
  <w:num w:numId="31" w16cid:durableId="870260653">
    <w:abstractNumId w:val="18"/>
  </w:num>
  <w:num w:numId="32" w16cid:durableId="1718233949">
    <w:abstractNumId w:val="18"/>
  </w:num>
  <w:num w:numId="33" w16cid:durableId="382682902">
    <w:abstractNumId w:val="18"/>
  </w:num>
  <w:num w:numId="34" w16cid:durableId="2004502118">
    <w:abstractNumId w:val="18"/>
  </w:num>
  <w:num w:numId="35" w16cid:durableId="424230285">
    <w:abstractNumId w:val="12"/>
  </w:num>
  <w:num w:numId="36" w16cid:durableId="2062047777">
    <w:abstractNumId w:val="18"/>
  </w:num>
  <w:num w:numId="37" w16cid:durableId="403262394">
    <w:abstractNumId w:val="18"/>
  </w:num>
  <w:num w:numId="38" w16cid:durableId="181095996">
    <w:abstractNumId w:val="18"/>
  </w:num>
  <w:num w:numId="39" w16cid:durableId="1004670573">
    <w:abstractNumId w:val="10"/>
  </w:num>
  <w:num w:numId="40" w16cid:durableId="1132166234">
    <w:abstractNumId w:val="17"/>
  </w:num>
  <w:num w:numId="41" w16cid:durableId="240068996">
    <w:abstractNumId w:val="7"/>
  </w:num>
  <w:num w:numId="42" w16cid:durableId="1055739065">
    <w:abstractNumId w:val="8"/>
  </w:num>
  <w:num w:numId="43" w16cid:durableId="1273786770">
    <w:abstractNumId w:val="16"/>
  </w:num>
  <w:num w:numId="44" w16cid:durableId="992443180">
    <w:abstractNumId w:val="3"/>
  </w:num>
  <w:num w:numId="45" w16cid:durableId="1044015404">
    <w:abstractNumId w:val="18"/>
  </w:num>
  <w:num w:numId="46" w16cid:durableId="18772185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446358-v8\PRADOCS"/>
  </w:docVars>
  <w:rsids>
    <w:rsidRoot w:val="00674635"/>
    <w:rsid w:val="000005BD"/>
    <w:rsid w:val="000006CF"/>
    <w:rsid w:val="00001984"/>
    <w:rsid w:val="00004A91"/>
    <w:rsid w:val="00005E16"/>
    <w:rsid w:val="00005EB5"/>
    <w:rsid w:val="0000714E"/>
    <w:rsid w:val="0000715D"/>
    <w:rsid w:val="000100EE"/>
    <w:rsid w:val="000131F1"/>
    <w:rsid w:val="00013621"/>
    <w:rsid w:val="0001501E"/>
    <w:rsid w:val="00015D07"/>
    <w:rsid w:val="0002212E"/>
    <w:rsid w:val="00022420"/>
    <w:rsid w:val="00025F81"/>
    <w:rsid w:val="000267AC"/>
    <w:rsid w:val="00027620"/>
    <w:rsid w:val="00031D2F"/>
    <w:rsid w:val="000351C5"/>
    <w:rsid w:val="00035FA0"/>
    <w:rsid w:val="00036BC6"/>
    <w:rsid w:val="00040360"/>
    <w:rsid w:val="00042503"/>
    <w:rsid w:val="000455E8"/>
    <w:rsid w:val="00045B0C"/>
    <w:rsid w:val="00047404"/>
    <w:rsid w:val="00051D3E"/>
    <w:rsid w:val="000527D4"/>
    <w:rsid w:val="00054377"/>
    <w:rsid w:val="00056AE4"/>
    <w:rsid w:val="00057043"/>
    <w:rsid w:val="00057CA8"/>
    <w:rsid w:val="00060D4F"/>
    <w:rsid w:val="00064091"/>
    <w:rsid w:val="000656C7"/>
    <w:rsid w:val="000731E4"/>
    <w:rsid w:val="00073ADF"/>
    <w:rsid w:val="000740C0"/>
    <w:rsid w:val="00074312"/>
    <w:rsid w:val="00076EC3"/>
    <w:rsid w:val="0008014D"/>
    <w:rsid w:val="000808A9"/>
    <w:rsid w:val="00080C37"/>
    <w:rsid w:val="0008142F"/>
    <w:rsid w:val="000824A6"/>
    <w:rsid w:val="00082AB1"/>
    <w:rsid w:val="0008300E"/>
    <w:rsid w:val="00084858"/>
    <w:rsid w:val="00090732"/>
    <w:rsid w:val="00091EF0"/>
    <w:rsid w:val="00092E1C"/>
    <w:rsid w:val="00093380"/>
    <w:rsid w:val="000933AC"/>
    <w:rsid w:val="0009376A"/>
    <w:rsid w:val="000938B5"/>
    <w:rsid w:val="00096EAA"/>
    <w:rsid w:val="000978CB"/>
    <w:rsid w:val="000A3A0D"/>
    <w:rsid w:val="000A3CEE"/>
    <w:rsid w:val="000A3F90"/>
    <w:rsid w:val="000A4FE4"/>
    <w:rsid w:val="000A7702"/>
    <w:rsid w:val="000A7DDC"/>
    <w:rsid w:val="000B03EF"/>
    <w:rsid w:val="000B1129"/>
    <w:rsid w:val="000B30DE"/>
    <w:rsid w:val="000B7855"/>
    <w:rsid w:val="000C2092"/>
    <w:rsid w:val="000C25A4"/>
    <w:rsid w:val="000C25F8"/>
    <w:rsid w:val="000C3325"/>
    <w:rsid w:val="000C3D1C"/>
    <w:rsid w:val="000C3DF7"/>
    <w:rsid w:val="000C52D4"/>
    <w:rsid w:val="000C6E62"/>
    <w:rsid w:val="000C7AF0"/>
    <w:rsid w:val="000D00C0"/>
    <w:rsid w:val="000D2DFE"/>
    <w:rsid w:val="000D3478"/>
    <w:rsid w:val="000D3DD4"/>
    <w:rsid w:val="000D5B36"/>
    <w:rsid w:val="000D6F14"/>
    <w:rsid w:val="000D7CC9"/>
    <w:rsid w:val="000E16AC"/>
    <w:rsid w:val="000E1A47"/>
    <w:rsid w:val="000E3579"/>
    <w:rsid w:val="000E7019"/>
    <w:rsid w:val="000F1347"/>
    <w:rsid w:val="000F1DF5"/>
    <w:rsid w:val="000F2075"/>
    <w:rsid w:val="000F53C2"/>
    <w:rsid w:val="000F7617"/>
    <w:rsid w:val="00103375"/>
    <w:rsid w:val="0010405B"/>
    <w:rsid w:val="0010452C"/>
    <w:rsid w:val="001067D9"/>
    <w:rsid w:val="00107D90"/>
    <w:rsid w:val="00110E85"/>
    <w:rsid w:val="0011241A"/>
    <w:rsid w:val="00114983"/>
    <w:rsid w:val="00115C64"/>
    <w:rsid w:val="00115C97"/>
    <w:rsid w:val="001177B7"/>
    <w:rsid w:val="00123DDE"/>
    <w:rsid w:val="00125B72"/>
    <w:rsid w:val="00126FA7"/>
    <w:rsid w:val="00130A1D"/>
    <w:rsid w:val="00130AA4"/>
    <w:rsid w:val="001316A3"/>
    <w:rsid w:val="00133D1A"/>
    <w:rsid w:val="00135FCD"/>
    <w:rsid w:val="00136447"/>
    <w:rsid w:val="00136AEA"/>
    <w:rsid w:val="001376EA"/>
    <w:rsid w:val="001411C4"/>
    <w:rsid w:val="00141BA1"/>
    <w:rsid w:val="00141F73"/>
    <w:rsid w:val="00142494"/>
    <w:rsid w:val="001427B0"/>
    <w:rsid w:val="0014665F"/>
    <w:rsid w:val="00146961"/>
    <w:rsid w:val="00151ADE"/>
    <w:rsid w:val="00151FC6"/>
    <w:rsid w:val="00151FDD"/>
    <w:rsid w:val="001522C1"/>
    <w:rsid w:val="00152737"/>
    <w:rsid w:val="0015280F"/>
    <w:rsid w:val="00152B67"/>
    <w:rsid w:val="00152CBC"/>
    <w:rsid w:val="00153D55"/>
    <w:rsid w:val="0015492B"/>
    <w:rsid w:val="001552C3"/>
    <w:rsid w:val="0015663D"/>
    <w:rsid w:val="0015737E"/>
    <w:rsid w:val="00157957"/>
    <w:rsid w:val="00157DC2"/>
    <w:rsid w:val="001608AC"/>
    <w:rsid w:val="00160E2A"/>
    <w:rsid w:val="00161E38"/>
    <w:rsid w:val="00162062"/>
    <w:rsid w:val="00162C3C"/>
    <w:rsid w:val="00165105"/>
    <w:rsid w:val="00165555"/>
    <w:rsid w:val="00165BA7"/>
    <w:rsid w:val="00166B77"/>
    <w:rsid w:val="00167129"/>
    <w:rsid w:val="001719F4"/>
    <w:rsid w:val="00174ABA"/>
    <w:rsid w:val="00174FFD"/>
    <w:rsid w:val="00175A85"/>
    <w:rsid w:val="00175DA5"/>
    <w:rsid w:val="00176995"/>
    <w:rsid w:val="00176F56"/>
    <w:rsid w:val="00181905"/>
    <w:rsid w:val="00181BBF"/>
    <w:rsid w:val="00182F7F"/>
    <w:rsid w:val="00186BF6"/>
    <w:rsid w:val="001925FE"/>
    <w:rsid w:val="001962B0"/>
    <w:rsid w:val="00197749"/>
    <w:rsid w:val="001A0433"/>
    <w:rsid w:val="001A0F9D"/>
    <w:rsid w:val="001A1C03"/>
    <w:rsid w:val="001A1C38"/>
    <w:rsid w:val="001A27DF"/>
    <w:rsid w:val="001A4824"/>
    <w:rsid w:val="001A4A1A"/>
    <w:rsid w:val="001A64D4"/>
    <w:rsid w:val="001A6FD9"/>
    <w:rsid w:val="001B056C"/>
    <w:rsid w:val="001B239C"/>
    <w:rsid w:val="001B33FF"/>
    <w:rsid w:val="001C17A9"/>
    <w:rsid w:val="001C2AEE"/>
    <w:rsid w:val="001C32DD"/>
    <w:rsid w:val="001C429A"/>
    <w:rsid w:val="001C46FB"/>
    <w:rsid w:val="001C5436"/>
    <w:rsid w:val="001C5FCC"/>
    <w:rsid w:val="001C614D"/>
    <w:rsid w:val="001C6294"/>
    <w:rsid w:val="001C7112"/>
    <w:rsid w:val="001C744E"/>
    <w:rsid w:val="001D36F1"/>
    <w:rsid w:val="001D50DD"/>
    <w:rsid w:val="001D6474"/>
    <w:rsid w:val="001D7E95"/>
    <w:rsid w:val="001E0903"/>
    <w:rsid w:val="001E6A50"/>
    <w:rsid w:val="001E6B21"/>
    <w:rsid w:val="001E767D"/>
    <w:rsid w:val="001F00AA"/>
    <w:rsid w:val="001F0AA5"/>
    <w:rsid w:val="001F10DD"/>
    <w:rsid w:val="001F1842"/>
    <w:rsid w:val="001F198A"/>
    <w:rsid w:val="001F1BA5"/>
    <w:rsid w:val="001F2B0A"/>
    <w:rsid w:val="001F3122"/>
    <w:rsid w:val="001F5D02"/>
    <w:rsid w:val="001F6D47"/>
    <w:rsid w:val="001F6F35"/>
    <w:rsid w:val="001F7004"/>
    <w:rsid w:val="001F77FF"/>
    <w:rsid w:val="001F7E1C"/>
    <w:rsid w:val="0020006F"/>
    <w:rsid w:val="002017A3"/>
    <w:rsid w:val="0020289D"/>
    <w:rsid w:val="00203F47"/>
    <w:rsid w:val="00204153"/>
    <w:rsid w:val="00204189"/>
    <w:rsid w:val="00204B93"/>
    <w:rsid w:val="00210192"/>
    <w:rsid w:val="00211259"/>
    <w:rsid w:val="00211277"/>
    <w:rsid w:val="00212AD2"/>
    <w:rsid w:val="00212E25"/>
    <w:rsid w:val="00212EAF"/>
    <w:rsid w:val="00214F33"/>
    <w:rsid w:val="00215476"/>
    <w:rsid w:val="00215819"/>
    <w:rsid w:val="00215FB1"/>
    <w:rsid w:val="002166C5"/>
    <w:rsid w:val="00216C5B"/>
    <w:rsid w:val="00217695"/>
    <w:rsid w:val="0022030E"/>
    <w:rsid w:val="00220361"/>
    <w:rsid w:val="0022106F"/>
    <w:rsid w:val="002224E5"/>
    <w:rsid w:val="00223675"/>
    <w:rsid w:val="002238AA"/>
    <w:rsid w:val="00230212"/>
    <w:rsid w:val="002303EB"/>
    <w:rsid w:val="00230572"/>
    <w:rsid w:val="0023114D"/>
    <w:rsid w:val="00233133"/>
    <w:rsid w:val="00234017"/>
    <w:rsid w:val="00234A53"/>
    <w:rsid w:val="0023558E"/>
    <w:rsid w:val="00236F5B"/>
    <w:rsid w:val="00236FFF"/>
    <w:rsid w:val="00241468"/>
    <w:rsid w:val="0024163B"/>
    <w:rsid w:val="002439C5"/>
    <w:rsid w:val="002467D3"/>
    <w:rsid w:val="0025133E"/>
    <w:rsid w:val="002517BC"/>
    <w:rsid w:val="00251C31"/>
    <w:rsid w:val="00251DA8"/>
    <w:rsid w:val="00252038"/>
    <w:rsid w:val="00253F88"/>
    <w:rsid w:val="002547D1"/>
    <w:rsid w:val="00257B4A"/>
    <w:rsid w:val="00260E62"/>
    <w:rsid w:val="00261137"/>
    <w:rsid w:val="0026198D"/>
    <w:rsid w:val="002624D5"/>
    <w:rsid w:val="00263123"/>
    <w:rsid w:val="00265B06"/>
    <w:rsid w:val="00266275"/>
    <w:rsid w:val="00266747"/>
    <w:rsid w:val="002673DC"/>
    <w:rsid w:val="00272CBF"/>
    <w:rsid w:val="002731C6"/>
    <w:rsid w:val="00273AC9"/>
    <w:rsid w:val="00273F59"/>
    <w:rsid w:val="00275D7C"/>
    <w:rsid w:val="00277A60"/>
    <w:rsid w:val="00280D90"/>
    <w:rsid w:val="00282D07"/>
    <w:rsid w:val="00285433"/>
    <w:rsid w:val="00285B83"/>
    <w:rsid w:val="00286493"/>
    <w:rsid w:val="00286AA1"/>
    <w:rsid w:val="00286BE9"/>
    <w:rsid w:val="00290F11"/>
    <w:rsid w:val="00291CDA"/>
    <w:rsid w:val="002961C9"/>
    <w:rsid w:val="00297B35"/>
    <w:rsid w:val="002A04BD"/>
    <w:rsid w:val="002A0880"/>
    <w:rsid w:val="002A276C"/>
    <w:rsid w:val="002A30BB"/>
    <w:rsid w:val="002A4405"/>
    <w:rsid w:val="002A5CF8"/>
    <w:rsid w:val="002B2088"/>
    <w:rsid w:val="002B4B8C"/>
    <w:rsid w:val="002B60D5"/>
    <w:rsid w:val="002B6347"/>
    <w:rsid w:val="002B6D64"/>
    <w:rsid w:val="002B7A79"/>
    <w:rsid w:val="002C10BC"/>
    <w:rsid w:val="002C2157"/>
    <w:rsid w:val="002C3AA3"/>
    <w:rsid w:val="002C41B3"/>
    <w:rsid w:val="002C5429"/>
    <w:rsid w:val="002C7451"/>
    <w:rsid w:val="002D17F9"/>
    <w:rsid w:val="002D222E"/>
    <w:rsid w:val="002D2269"/>
    <w:rsid w:val="002D2872"/>
    <w:rsid w:val="002D35AF"/>
    <w:rsid w:val="002D37B9"/>
    <w:rsid w:val="002D5A61"/>
    <w:rsid w:val="002D5BF5"/>
    <w:rsid w:val="002D7305"/>
    <w:rsid w:val="002E0545"/>
    <w:rsid w:val="002E107B"/>
    <w:rsid w:val="002E1679"/>
    <w:rsid w:val="002E25C9"/>
    <w:rsid w:val="002E2BBB"/>
    <w:rsid w:val="002E323A"/>
    <w:rsid w:val="002E354C"/>
    <w:rsid w:val="002E4B25"/>
    <w:rsid w:val="002E4C7E"/>
    <w:rsid w:val="002E5E58"/>
    <w:rsid w:val="002E79B1"/>
    <w:rsid w:val="002E7A79"/>
    <w:rsid w:val="002F0A56"/>
    <w:rsid w:val="002F0E00"/>
    <w:rsid w:val="002F2A82"/>
    <w:rsid w:val="002F3819"/>
    <w:rsid w:val="0030385C"/>
    <w:rsid w:val="003101D9"/>
    <w:rsid w:val="0031194A"/>
    <w:rsid w:val="00313616"/>
    <w:rsid w:val="00315B9E"/>
    <w:rsid w:val="00315CD2"/>
    <w:rsid w:val="003175C7"/>
    <w:rsid w:val="00324710"/>
    <w:rsid w:val="003263E4"/>
    <w:rsid w:val="003265EB"/>
    <w:rsid w:val="00326923"/>
    <w:rsid w:val="00326A03"/>
    <w:rsid w:val="00326A98"/>
    <w:rsid w:val="00326E66"/>
    <w:rsid w:val="003315A0"/>
    <w:rsid w:val="00331EA8"/>
    <w:rsid w:val="00332486"/>
    <w:rsid w:val="0033365F"/>
    <w:rsid w:val="003336AE"/>
    <w:rsid w:val="003344AA"/>
    <w:rsid w:val="003349A9"/>
    <w:rsid w:val="003355D9"/>
    <w:rsid w:val="00335A48"/>
    <w:rsid w:val="003369A9"/>
    <w:rsid w:val="00337DF7"/>
    <w:rsid w:val="003407A8"/>
    <w:rsid w:val="00341222"/>
    <w:rsid w:val="003415CE"/>
    <w:rsid w:val="0034190F"/>
    <w:rsid w:val="00342BDF"/>
    <w:rsid w:val="00342C85"/>
    <w:rsid w:val="00343E5B"/>
    <w:rsid w:val="003454E0"/>
    <w:rsid w:val="00346034"/>
    <w:rsid w:val="0034780D"/>
    <w:rsid w:val="00347F13"/>
    <w:rsid w:val="0035405C"/>
    <w:rsid w:val="003547BA"/>
    <w:rsid w:val="00355097"/>
    <w:rsid w:val="00355FBC"/>
    <w:rsid w:val="0035784E"/>
    <w:rsid w:val="00364600"/>
    <w:rsid w:val="00366004"/>
    <w:rsid w:val="003701B7"/>
    <w:rsid w:val="0037066C"/>
    <w:rsid w:val="0037074F"/>
    <w:rsid w:val="00370B1A"/>
    <w:rsid w:val="00370F0B"/>
    <w:rsid w:val="003733F2"/>
    <w:rsid w:val="00376541"/>
    <w:rsid w:val="00376DC2"/>
    <w:rsid w:val="00377235"/>
    <w:rsid w:val="00381198"/>
    <w:rsid w:val="00382311"/>
    <w:rsid w:val="003837BE"/>
    <w:rsid w:val="003838D1"/>
    <w:rsid w:val="00383F54"/>
    <w:rsid w:val="003866AF"/>
    <w:rsid w:val="00386C39"/>
    <w:rsid w:val="0039110C"/>
    <w:rsid w:val="00393CD1"/>
    <w:rsid w:val="003955BC"/>
    <w:rsid w:val="00397647"/>
    <w:rsid w:val="003A121C"/>
    <w:rsid w:val="003A2578"/>
    <w:rsid w:val="003A26B7"/>
    <w:rsid w:val="003A2EA9"/>
    <w:rsid w:val="003A36E0"/>
    <w:rsid w:val="003A5457"/>
    <w:rsid w:val="003A5DF0"/>
    <w:rsid w:val="003A65D0"/>
    <w:rsid w:val="003B07B0"/>
    <w:rsid w:val="003B3E54"/>
    <w:rsid w:val="003B418A"/>
    <w:rsid w:val="003B5AA2"/>
    <w:rsid w:val="003B6098"/>
    <w:rsid w:val="003C0F2E"/>
    <w:rsid w:val="003C3E24"/>
    <w:rsid w:val="003C623F"/>
    <w:rsid w:val="003C72D0"/>
    <w:rsid w:val="003C7F06"/>
    <w:rsid w:val="003D0930"/>
    <w:rsid w:val="003D2B5C"/>
    <w:rsid w:val="003D3441"/>
    <w:rsid w:val="003D3542"/>
    <w:rsid w:val="003D3688"/>
    <w:rsid w:val="003D670F"/>
    <w:rsid w:val="003E02D9"/>
    <w:rsid w:val="003E1455"/>
    <w:rsid w:val="003E46FF"/>
    <w:rsid w:val="003E54C9"/>
    <w:rsid w:val="003E68EB"/>
    <w:rsid w:val="003E7B8B"/>
    <w:rsid w:val="003E7B92"/>
    <w:rsid w:val="003E7C9F"/>
    <w:rsid w:val="003F1469"/>
    <w:rsid w:val="003F4DA3"/>
    <w:rsid w:val="003F60C8"/>
    <w:rsid w:val="003F62C2"/>
    <w:rsid w:val="003F6336"/>
    <w:rsid w:val="003F6DEF"/>
    <w:rsid w:val="00403B47"/>
    <w:rsid w:val="00403F58"/>
    <w:rsid w:val="00404152"/>
    <w:rsid w:val="004047D9"/>
    <w:rsid w:val="00413FD0"/>
    <w:rsid w:val="004146B4"/>
    <w:rsid w:val="004148D7"/>
    <w:rsid w:val="004154ED"/>
    <w:rsid w:val="00415F0F"/>
    <w:rsid w:val="00420173"/>
    <w:rsid w:val="004217AB"/>
    <w:rsid w:val="00422161"/>
    <w:rsid w:val="004226E0"/>
    <w:rsid w:val="00422C53"/>
    <w:rsid w:val="004248BA"/>
    <w:rsid w:val="00424B61"/>
    <w:rsid w:val="00424E47"/>
    <w:rsid w:val="00426306"/>
    <w:rsid w:val="00427084"/>
    <w:rsid w:val="004277C0"/>
    <w:rsid w:val="0043000E"/>
    <w:rsid w:val="00430613"/>
    <w:rsid w:val="004333E3"/>
    <w:rsid w:val="004347D1"/>
    <w:rsid w:val="004370FF"/>
    <w:rsid w:val="00440A2D"/>
    <w:rsid w:val="004424E7"/>
    <w:rsid w:val="00446053"/>
    <w:rsid w:val="00446189"/>
    <w:rsid w:val="00446258"/>
    <w:rsid w:val="00446FB7"/>
    <w:rsid w:val="004513C3"/>
    <w:rsid w:val="0045148B"/>
    <w:rsid w:val="0045171C"/>
    <w:rsid w:val="00452864"/>
    <w:rsid w:val="00453627"/>
    <w:rsid w:val="00453E1A"/>
    <w:rsid w:val="004566F4"/>
    <w:rsid w:val="00457262"/>
    <w:rsid w:val="00460319"/>
    <w:rsid w:val="004607F9"/>
    <w:rsid w:val="00462C88"/>
    <w:rsid w:val="004663EB"/>
    <w:rsid w:val="004664F0"/>
    <w:rsid w:val="004665AC"/>
    <w:rsid w:val="004706E0"/>
    <w:rsid w:val="0047178D"/>
    <w:rsid w:val="004719D6"/>
    <w:rsid w:val="00473DB6"/>
    <w:rsid w:val="00474A74"/>
    <w:rsid w:val="004751CD"/>
    <w:rsid w:val="004757E5"/>
    <w:rsid w:val="00476F29"/>
    <w:rsid w:val="00480D04"/>
    <w:rsid w:val="00483D1A"/>
    <w:rsid w:val="0048576D"/>
    <w:rsid w:val="0048619C"/>
    <w:rsid w:val="004871FD"/>
    <w:rsid w:val="00487425"/>
    <w:rsid w:val="004940F6"/>
    <w:rsid w:val="0049575B"/>
    <w:rsid w:val="004A1387"/>
    <w:rsid w:val="004A3A9F"/>
    <w:rsid w:val="004A3B33"/>
    <w:rsid w:val="004A5F0A"/>
    <w:rsid w:val="004A6DE5"/>
    <w:rsid w:val="004B3724"/>
    <w:rsid w:val="004B5AD2"/>
    <w:rsid w:val="004B610F"/>
    <w:rsid w:val="004B67D6"/>
    <w:rsid w:val="004B7593"/>
    <w:rsid w:val="004C0849"/>
    <w:rsid w:val="004C2A64"/>
    <w:rsid w:val="004C3BDC"/>
    <w:rsid w:val="004C3F3A"/>
    <w:rsid w:val="004C4EEA"/>
    <w:rsid w:val="004C596E"/>
    <w:rsid w:val="004C5B7B"/>
    <w:rsid w:val="004C5BE7"/>
    <w:rsid w:val="004C5CCB"/>
    <w:rsid w:val="004C65D2"/>
    <w:rsid w:val="004D0A5A"/>
    <w:rsid w:val="004D1F1C"/>
    <w:rsid w:val="004D485D"/>
    <w:rsid w:val="004D4FA9"/>
    <w:rsid w:val="004D61F1"/>
    <w:rsid w:val="004E5A86"/>
    <w:rsid w:val="004E5B3E"/>
    <w:rsid w:val="004E5D0D"/>
    <w:rsid w:val="004E5EF6"/>
    <w:rsid w:val="004F0D89"/>
    <w:rsid w:val="004F127A"/>
    <w:rsid w:val="004F45EF"/>
    <w:rsid w:val="004F62B7"/>
    <w:rsid w:val="004F66A0"/>
    <w:rsid w:val="004F6D3C"/>
    <w:rsid w:val="004F7BB2"/>
    <w:rsid w:val="004F7C5C"/>
    <w:rsid w:val="00500220"/>
    <w:rsid w:val="005003A3"/>
    <w:rsid w:val="00501259"/>
    <w:rsid w:val="00501601"/>
    <w:rsid w:val="00504899"/>
    <w:rsid w:val="00504E65"/>
    <w:rsid w:val="005067C6"/>
    <w:rsid w:val="00507468"/>
    <w:rsid w:val="005116CF"/>
    <w:rsid w:val="00511D92"/>
    <w:rsid w:val="00511E03"/>
    <w:rsid w:val="00512A8F"/>
    <w:rsid w:val="005139C7"/>
    <w:rsid w:val="00513B2A"/>
    <w:rsid w:val="0051531F"/>
    <w:rsid w:val="005160B4"/>
    <w:rsid w:val="00516B36"/>
    <w:rsid w:val="00517A06"/>
    <w:rsid w:val="00520177"/>
    <w:rsid w:val="00520EFF"/>
    <w:rsid w:val="00523CF5"/>
    <w:rsid w:val="00524E4F"/>
    <w:rsid w:val="00526B89"/>
    <w:rsid w:val="00534F05"/>
    <w:rsid w:val="005376EA"/>
    <w:rsid w:val="005407BD"/>
    <w:rsid w:val="00540EB5"/>
    <w:rsid w:val="00542344"/>
    <w:rsid w:val="005438C2"/>
    <w:rsid w:val="00543C4D"/>
    <w:rsid w:val="00543F02"/>
    <w:rsid w:val="00544BE7"/>
    <w:rsid w:val="0054576E"/>
    <w:rsid w:val="005463D3"/>
    <w:rsid w:val="00547B53"/>
    <w:rsid w:val="00550B9F"/>
    <w:rsid w:val="00551C0C"/>
    <w:rsid w:val="00551FE1"/>
    <w:rsid w:val="00553BCA"/>
    <w:rsid w:val="00556201"/>
    <w:rsid w:val="005567B5"/>
    <w:rsid w:val="00556DA7"/>
    <w:rsid w:val="0056201A"/>
    <w:rsid w:val="00564C27"/>
    <w:rsid w:val="005661B4"/>
    <w:rsid w:val="00566EEF"/>
    <w:rsid w:val="00566F97"/>
    <w:rsid w:val="0056743D"/>
    <w:rsid w:val="00571B01"/>
    <w:rsid w:val="00572A5D"/>
    <w:rsid w:val="00573654"/>
    <w:rsid w:val="00573E17"/>
    <w:rsid w:val="0057660F"/>
    <w:rsid w:val="00576C25"/>
    <w:rsid w:val="005821AB"/>
    <w:rsid w:val="00582F57"/>
    <w:rsid w:val="005839C5"/>
    <w:rsid w:val="0058612A"/>
    <w:rsid w:val="00586215"/>
    <w:rsid w:val="005870FD"/>
    <w:rsid w:val="00590A7E"/>
    <w:rsid w:val="005913B7"/>
    <w:rsid w:val="005916E5"/>
    <w:rsid w:val="00592B1A"/>
    <w:rsid w:val="005972FB"/>
    <w:rsid w:val="00597554"/>
    <w:rsid w:val="005A1FB0"/>
    <w:rsid w:val="005A2A7E"/>
    <w:rsid w:val="005A34D4"/>
    <w:rsid w:val="005A3505"/>
    <w:rsid w:val="005A3E32"/>
    <w:rsid w:val="005A3EDC"/>
    <w:rsid w:val="005A4060"/>
    <w:rsid w:val="005A4D26"/>
    <w:rsid w:val="005A4D9B"/>
    <w:rsid w:val="005B0466"/>
    <w:rsid w:val="005B0488"/>
    <w:rsid w:val="005B09BE"/>
    <w:rsid w:val="005B1CB1"/>
    <w:rsid w:val="005B296E"/>
    <w:rsid w:val="005B2DEF"/>
    <w:rsid w:val="005B3592"/>
    <w:rsid w:val="005B5E68"/>
    <w:rsid w:val="005B668F"/>
    <w:rsid w:val="005C0404"/>
    <w:rsid w:val="005C2C5F"/>
    <w:rsid w:val="005C3BF3"/>
    <w:rsid w:val="005C4994"/>
    <w:rsid w:val="005C54E1"/>
    <w:rsid w:val="005C6527"/>
    <w:rsid w:val="005C69F0"/>
    <w:rsid w:val="005C6F40"/>
    <w:rsid w:val="005D1655"/>
    <w:rsid w:val="005D1683"/>
    <w:rsid w:val="005D22DC"/>
    <w:rsid w:val="005D3315"/>
    <w:rsid w:val="005D41E7"/>
    <w:rsid w:val="005D58D5"/>
    <w:rsid w:val="005D5F1D"/>
    <w:rsid w:val="005D6E99"/>
    <w:rsid w:val="005D78AF"/>
    <w:rsid w:val="005E1651"/>
    <w:rsid w:val="005E1D68"/>
    <w:rsid w:val="005E1F74"/>
    <w:rsid w:val="005E2998"/>
    <w:rsid w:val="005E3E64"/>
    <w:rsid w:val="005E6329"/>
    <w:rsid w:val="005E711C"/>
    <w:rsid w:val="005F0505"/>
    <w:rsid w:val="005F1401"/>
    <w:rsid w:val="005F1E4E"/>
    <w:rsid w:val="005F3612"/>
    <w:rsid w:val="005F4AD9"/>
    <w:rsid w:val="005F7343"/>
    <w:rsid w:val="006002C6"/>
    <w:rsid w:val="006002E3"/>
    <w:rsid w:val="00600833"/>
    <w:rsid w:val="00600B4D"/>
    <w:rsid w:val="00600EC6"/>
    <w:rsid w:val="0060319D"/>
    <w:rsid w:val="00604408"/>
    <w:rsid w:val="006044DC"/>
    <w:rsid w:val="006049F4"/>
    <w:rsid w:val="00605870"/>
    <w:rsid w:val="00607B86"/>
    <w:rsid w:val="00612C55"/>
    <w:rsid w:val="00613F90"/>
    <w:rsid w:val="00614BC3"/>
    <w:rsid w:val="00620684"/>
    <w:rsid w:val="00620791"/>
    <w:rsid w:val="00620C52"/>
    <w:rsid w:val="00621AC9"/>
    <w:rsid w:val="006226D0"/>
    <w:rsid w:val="00623705"/>
    <w:rsid w:val="00623D05"/>
    <w:rsid w:val="00625107"/>
    <w:rsid w:val="006254EA"/>
    <w:rsid w:val="00626F68"/>
    <w:rsid w:val="0063178B"/>
    <w:rsid w:val="00632EE7"/>
    <w:rsid w:val="00633981"/>
    <w:rsid w:val="0063475B"/>
    <w:rsid w:val="00634E2B"/>
    <w:rsid w:val="0063515F"/>
    <w:rsid w:val="00635FEC"/>
    <w:rsid w:val="00637A29"/>
    <w:rsid w:val="006401E6"/>
    <w:rsid w:val="00640CC9"/>
    <w:rsid w:val="00640D08"/>
    <w:rsid w:val="006445BB"/>
    <w:rsid w:val="00645977"/>
    <w:rsid w:val="006513A4"/>
    <w:rsid w:val="00653B3F"/>
    <w:rsid w:val="00655F1D"/>
    <w:rsid w:val="00657298"/>
    <w:rsid w:val="006575D5"/>
    <w:rsid w:val="0066225B"/>
    <w:rsid w:val="00662A19"/>
    <w:rsid w:val="00662E8B"/>
    <w:rsid w:val="00663AF0"/>
    <w:rsid w:val="006646A1"/>
    <w:rsid w:val="00666BB9"/>
    <w:rsid w:val="00667711"/>
    <w:rsid w:val="00670089"/>
    <w:rsid w:val="00670F77"/>
    <w:rsid w:val="00672D31"/>
    <w:rsid w:val="00674635"/>
    <w:rsid w:val="006748D7"/>
    <w:rsid w:val="00675BCD"/>
    <w:rsid w:val="00681719"/>
    <w:rsid w:val="00681752"/>
    <w:rsid w:val="00681C3F"/>
    <w:rsid w:val="006835AA"/>
    <w:rsid w:val="00683C9F"/>
    <w:rsid w:val="00686D0E"/>
    <w:rsid w:val="00687000"/>
    <w:rsid w:val="006878D1"/>
    <w:rsid w:val="00687C1B"/>
    <w:rsid w:val="0069125D"/>
    <w:rsid w:val="006913F0"/>
    <w:rsid w:val="006923B8"/>
    <w:rsid w:val="006925DE"/>
    <w:rsid w:val="00693054"/>
    <w:rsid w:val="00693711"/>
    <w:rsid w:val="00693C33"/>
    <w:rsid w:val="00694320"/>
    <w:rsid w:val="0069669C"/>
    <w:rsid w:val="00696C4D"/>
    <w:rsid w:val="006975E1"/>
    <w:rsid w:val="006976FC"/>
    <w:rsid w:val="006A1DC2"/>
    <w:rsid w:val="006A25E0"/>
    <w:rsid w:val="006A4B7C"/>
    <w:rsid w:val="006A621B"/>
    <w:rsid w:val="006B4618"/>
    <w:rsid w:val="006B483A"/>
    <w:rsid w:val="006B7FE2"/>
    <w:rsid w:val="006C24F9"/>
    <w:rsid w:val="006C4190"/>
    <w:rsid w:val="006C4728"/>
    <w:rsid w:val="006C6C2F"/>
    <w:rsid w:val="006D0286"/>
    <w:rsid w:val="006D0E18"/>
    <w:rsid w:val="006D14E1"/>
    <w:rsid w:val="006D182B"/>
    <w:rsid w:val="006D4B29"/>
    <w:rsid w:val="006D5334"/>
    <w:rsid w:val="006D5B18"/>
    <w:rsid w:val="006E07F2"/>
    <w:rsid w:val="006E2727"/>
    <w:rsid w:val="006E40D1"/>
    <w:rsid w:val="006E422F"/>
    <w:rsid w:val="006E471E"/>
    <w:rsid w:val="006E54D6"/>
    <w:rsid w:val="006E6239"/>
    <w:rsid w:val="006F0003"/>
    <w:rsid w:val="006F08A2"/>
    <w:rsid w:val="006F18B1"/>
    <w:rsid w:val="006F22E8"/>
    <w:rsid w:val="006F2FC6"/>
    <w:rsid w:val="006F36E0"/>
    <w:rsid w:val="006F3CC0"/>
    <w:rsid w:val="006F3E66"/>
    <w:rsid w:val="006F4E91"/>
    <w:rsid w:val="006F551F"/>
    <w:rsid w:val="006F7E96"/>
    <w:rsid w:val="00700C02"/>
    <w:rsid w:val="00703214"/>
    <w:rsid w:val="00705E8A"/>
    <w:rsid w:val="00706983"/>
    <w:rsid w:val="00706B5F"/>
    <w:rsid w:val="00707737"/>
    <w:rsid w:val="007079BE"/>
    <w:rsid w:val="007107C9"/>
    <w:rsid w:val="0071276A"/>
    <w:rsid w:val="00716470"/>
    <w:rsid w:val="00716952"/>
    <w:rsid w:val="0072126D"/>
    <w:rsid w:val="00723790"/>
    <w:rsid w:val="007242BD"/>
    <w:rsid w:val="007264B1"/>
    <w:rsid w:val="007312DB"/>
    <w:rsid w:val="0073548A"/>
    <w:rsid w:val="00735C4C"/>
    <w:rsid w:val="00736B1B"/>
    <w:rsid w:val="007406A4"/>
    <w:rsid w:val="0074132F"/>
    <w:rsid w:val="0074451A"/>
    <w:rsid w:val="00745226"/>
    <w:rsid w:val="00745A93"/>
    <w:rsid w:val="00745EBB"/>
    <w:rsid w:val="00746754"/>
    <w:rsid w:val="007474BB"/>
    <w:rsid w:val="007477EB"/>
    <w:rsid w:val="00752FF2"/>
    <w:rsid w:val="00753ED0"/>
    <w:rsid w:val="00754EC7"/>
    <w:rsid w:val="00755CDE"/>
    <w:rsid w:val="00755EAE"/>
    <w:rsid w:val="00765EAF"/>
    <w:rsid w:val="00772E4D"/>
    <w:rsid w:val="0077430E"/>
    <w:rsid w:val="0077445D"/>
    <w:rsid w:val="0077607A"/>
    <w:rsid w:val="00781083"/>
    <w:rsid w:val="007812A1"/>
    <w:rsid w:val="00783019"/>
    <w:rsid w:val="007841C4"/>
    <w:rsid w:val="00784B78"/>
    <w:rsid w:val="007856D1"/>
    <w:rsid w:val="007865E6"/>
    <w:rsid w:val="00787583"/>
    <w:rsid w:val="00791A81"/>
    <w:rsid w:val="0079202D"/>
    <w:rsid w:val="00793555"/>
    <w:rsid w:val="00793CA8"/>
    <w:rsid w:val="0079453B"/>
    <w:rsid w:val="00797195"/>
    <w:rsid w:val="00797DD8"/>
    <w:rsid w:val="007A0728"/>
    <w:rsid w:val="007A0C7C"/>
    <w:rsid w:val="007A0DFD"/>
    <w:rsid w:val="007A3E4E"/>
    <w:rsid w:val="007A5AC7"/>
    <w:rsid w:val="007B1A65"/>
    <w:rsid w:val="007B6ED2"/>
    <w:rsid w:val="007B7349"/>
    <w:rsid w:val="007B7DFB"/>
    <w:rsid w:val="007C03D9"/>
    <w:rsid w:val="007C34A9"/>
    <w:rsid w:val="007C4833"/>
    <w:rsid w:val="007C7C8B"/>
    <w:rsid w:val="007D5AD0"/>
    <w:rsid w:val="007D5F25"/>
    <w:rsid w:val="007D789D"/>
    <w:rsid w:val="007E065A"/>
    <w:rsid w:val="007E1044"/>
    <w:rsid w:val="007E40AA"/>
    <w:rsid w:val="007E4F9C"/>
    <w:rsid w:val="007E7979"/>
    <w:rsid w:val="007F2154"/>
    <w:rsid w:val="007F293F"/>
    <w:rsid w:val="007F2A66"/>
    <w:rsid w:val="007F30DC"/>
    <w:rsid w:val="007F5143"/>
    <w:rsid w:val="007F52C2"/>
    <w:rsid w:val="007F550A"/>
    <w:rsid w:val="007F7509"/>
    <w:rsid w:val="007F763B"/>
    <w:rsid w:val="007F78A9"/>
    <w:rsid w:val="008015C2"/>
    <w:rsid w:val="00802469"/>
    <w:rsid w:val="00804ABC"/>
    <w:rsid w:val="00804D03"/>
    <w:rsid w:val="00815709"/>
    <w:rsid w:val="00817139"/>
    <w:rsid w:val="008207C4"/>
    <w:rsid w:val="0082366E"/>
    <w:rsid w:val="00823811"/>
    <w:rsid w:val="00823A87"/>
    <w:rsid w:val="00825545"/>
    <w:rsid w:val="00825BB4"/>
    <w:rsid w:val="008266CD"/>
    <w:rsid w:val="00826D5C"/>
    <w:rsid w:val="00830A66"/>
    <w:rsid w:val="00831D33"/>
    <w:rsid w:val="0083258B"/>
    <w:rsid w:val="00832F53"/>
    <w:rsid w:val="00834629"/>
    <w:rsid w:val="008357C9"/>
    <w:rsid w:val="00837416"/>
    <w:rsid w:val="008403E6"/>
    <w:rsid w:val="008412BD"/>
    <w:rsid w:val="0084142E"/>
    <w:rsid w:val="00841743"/>
    <w:rsid w:val="00841769"/>
    <w:rsid w:val="0084200B"/>
    <w:rsid w:val="00842624"/>
    <w:rsid w:val="008429F7"/>
    <w:rsid w:val="008431D0"/>
    <w:rsid w:val="008455DF"/>
    <w:rsid w:val="00846DE4"/>
    <w:rsid w:val="00846E66"/>
    <w:rsid w:val="008514C1"/>
    <w:rsid w:val="008554AB"/>
    <w:rsid w:val="008569FA"/>
    <w:rsid w:val="00862C07"/>
    <w:rsid w:val="00864FA3"/>
    <w:rsid w:val="008652BC"/>
    <w:rsid w:val="0086654D"/>
    <w:rsid w:val="008667C5"/>
    <w:rsid w:val="00870208"/>
    <w:rsid w:val="0087103E"/>
    <w:rsid w:val="008712DB"/>
    <w:rsid w:val="00871CD3"/>
    <w:rsid w:val="00872C45"/>
    <w:rsid w:val="00872DEE"/>
    <w:rsid w:val="008756E7"/>
    <w:rsid w:val="00875E3A"/>
    <w:rsid w:val="00876D7F"/>
    <w:rsid w:val="00876F01"/>
    <w:rsid w:val="0087721D"/>
    <w:rsid w:val="00882D1A"/>
    <w:rsid w:val="00884275"/>
    <w:rsid w:val="00885287"/>
    <w:rsid w:val="0088669E"/>
    <w:rsid w:val="00887380"/>
    <w:rsid w:val="0089036B"/>
    <w:rsid w:val="00890F19"/>
    <w:rsid w:val="008920C8"/>
    <w:rsid w:val="00893198"/>
    <w:rsid w:val="00894084"/>
    <w:rsid w:val="00894CDD"/>
    <w:rsid w:val="008957A6"/>
    <w:rsid w:val="00895BB6"/>
    <w:rsid w:val="008976A8"/>
    <w:rsid w:val="00897DAB"/>
    <w:rsid w:val="008A08C0"/>
    <w:rsid w:val="008A194A"/>
    <w:rsid w:val="008A1F3D"/>
    <w:rsid w:val="008A1F9E"/>
    <w:rsid w:val="008A229B"/>
    <w:rsid w:val="008A28E3"/>
    <w:rsid w:val="008A541A"/>
    <w:rsid w:val="008A639F"/>
    <w:rsid w:val="008B2A04"/>
    <w:rsid w:val="008B65DA"/>
    <w:rsid w:val="008B70C9"/>
    <w:rsid w:val="008B7541"/>
    <w:rsid w:val="008C12CC"/>
    <w:rsid w:val="008C15E0"/>
    <w:rsid w:val="008C2269"/>
    <w:rsid w:val="008C2D7D"/>
    <w:rsid w:val="008C3C31"/>
    <w:rsid w:val="008C40FE"/>
    <w:rsid w:val="008D1CBB"/>
    <w:rsid w:val="008D2EA2"/>
    <w:rsid w:val="008D441A"/>
    <w:rsid w:val="008D5545"/>
    <w:rsid w:val="008D5F83"/>
    <w:rsid w:val="008D6CB0"/>
    <w:rsid w:val="008E18A9"/>
    <w:rsid w:val="008E1F3E"/>
    <w:rsid w:val="008E4FC2"/>
    <w:rsid w:val="008E792F"/>
    <w:rsid w:val="008F0181"/>
    <w:rsid w:val="008F095A"/>
    <w:rsid w:val="008F1A31"/>
    <w:rsid w:val="008F1ACF"/>
    <w:rsid w:val="008F3569"/>
    <w:rsid w:val="008F5371"/>
    <w:rsid w:val="008F5854"/>
    <w:rsid w:val="008F5A5D"/>
    <w:rsid w:val="008F673F"/>
    <w:rsid w:val="008F6868"/>
    <w:rsid w:val="008F7A79"/>
    <w:rsid w:val="009001D1"/>
    <w:rsid w:val="00900C5C"/>
    <w:rsid w:val="00902233"/>
    <w:rsid w:val="00905C1D"/>
    <w:rsid w:val="00912183"/>
    <w:rsid w:val="009131A5"/>
    <w:rsid w:val="00920D55"/>
    <w:rsid w:val="00921DE4"/>
    <w:rsid w:val="0092273D"/>
    <w:rsid w:val="00923950"/>
    <w:rsid w:val="00927F67"/>
    <w:rsid w:val="00930615"/>
    <w:rsid w:val="009317CD"/>
    <w:rsid w:val="009326FE"/>
    <w:rsid w:val="00933F3B"/>
    <w:rsid w:val="00937C71"/>
    <w:rsid w:val="00941150"/>
    <w:rsid w:val="00943F77"/>
    <w:rsid w:val="009463C4"/>
    <w:rsid w:val="00946CD8"/>
    <w:rsid w:val="00947167"/>
    <w:rsid w:val="00947A65"/>
    <w:rsid w:val="00951A7B"/>
    <w:rsid w:val="00953899"/>
    <w:rsid w:val="00953EF0"/>
    <w:rsid w:val="00956A93"/>
    <w:rsid w:val="00961EB7"/>
    <w:rsid w:val="00962CFB"/>
    <w:rsid w:val="00963BD6"/>
    <w:rsid w:val="009653CC"/>
    <w:rsid w:val="00966941"/>
    <w:rsid w:val="00966EF0"/>
    <w:rsid w:val="00967AB8"/>
    <w:rsid w:val="00971C24"/>
    <w:rsid w:val="00975874"/>
    <w:rsid w:val="00975CC4"/>
    <w:rsid w:val="00980F89"/>
    <w:rsid w:val="009814F4"/>
    <w:rsid w:val="00982252"/>
    <w:rsid w:val="00983008"/>
    <w:rsid w:val="0099044D"/>
    <w:rsid w:val="00990F09"/>
    <w:rsid w:val="00991B0F"/>
    <w:rsid w:val="009921BB"/>
    <w:rsid w:val="009933F4"/>
    <w:rsid w:val="00993B02"/>
    <w:rsid w:val="00994B14"/>
    <w:rsid w:val="0099611F"/>
    <w:rsid w:val="00996DB9"/>
    <w:rsid w:val="009A027B"/>
    <w:rsid w:val="009A0C8C"/>
    <w:rsid w:val="009A45EE"/>
    <w:rsid w:val="009A5B67"/>
    <w:rsid w:val="009A6BDB"/>
    <w:rsid w:val="009A7137"/>
    <w:rsid w:val="009A7456"/>
    <w:rsid w:val="009B557F"/>
    <w:rsid w:val="009B6517"/>
    <w:rsid w:val="009B6A1B"/>
    <w:rsid w:val="009B7091"/>
    <w:rsid w:val="009B75A2"/>
    <w:rsid w:val="009C7FE4"/>
    <w:rsid w:val="009D1AD8"/>
    <w:rsid w:val="009D1F83"/>
    <w:rsid w:val="009D4120"/>
    <w:rsid w:val="009D5CA4"/>
    <w:rsid w:val="009E0B2A"/>
    <w:rsid w:val="009E185D"/>
    <w:rsid w:val="009E2A1D"/>
    <w:rsid w:val="009E2F37"/>
    <w:rsid w:val="009E735B"/>
    <w:rsid w:val="009F119D"/>
    <w:rsid w:val="009F12F1"/>
    <w:rsid w:val="009F2FB4"/>
    <w:rsid w:val="009F339C"/>
    <w:rsid w:val="009F40DD"/>
    <w:rsid w:val="009F4A6F"/>
    <w:rsid w:val="009F5200"/>
    <w:rsid w:val="009F5527"/>
    <w:rsid w:val="00A02763"/>
    <w:rsid w:val="00A03D69"/>
    <w:rsid w:val="00A045F5"/>
    <w:rsid w:val="00A05AC5"/>
    <w:rsid w:val="00A1173A"/>
    <w:rsid w:val="00A123D4"/>
    <w:rsid w:val="00A13048"/>
    <w:rsid w:val="00A13CC7"/>
    <w:rsid w:val="00A14465"/>
    <w:rsid w:val="00A1553B"/>
    <w:rsid w:val="00A15A27"/>
    <w:rsid w:val="00A20385"/>
    <w:rsid w:val="00A20B61"/>
    <w:rsid w:val="00A20C29"/>
    <w:rsid w:val="00A21A18"/>
    <w:rsid w:val="00A24C42"/>
    <w:rsid w:val="00A26D9C"/>
    <w:rsid w:val="00A317F5"/>
    <w:rsid w:val="00A322B6"/>
    <w:rsid w:val="00A32893"/>
    <w:rsid w:val="00A40683"/>
    <w:rsid w:val="00A42B36"/>
    <w:rsid w:val="00A43EF5"/>
    <w:rsid w:val="00A446FF"/>
    <w:rsid w:val="00A448B5"/>
    <w:rsid w:val="00A46C04"/>
    <w:rsid w:val="00A47DA7"/>
    <w:rsid w:val="00A51B61"/>
    <w:rsid w:val="00A54F5A"/>
    <w:rsid w:val="00A55152"/>
    <w:rsid w:val="00A55FEE"/>
    <w:rsid w:val="00A5664D"/>
    <w:rsid w:val="00A56D17"/>
    <w:rsid w:val="00A6087F"/>
    <w:rsid w:val="00A61379"/>
    <w:rsid w:val="00A6248B"/>
    <w:rsid w:val="00A661D1"/>
    <w:rsid w:val="00A667D3"/>
    <w:rsid w:val="00A70349"/>
    <w:rsid w:val="00A708A0"/>
    <w:rsid w:val="00A70CE8"/>
    <w:rsid w:val="00A71E96"/>
    <w:rsid w:val="00A77284"/>
    <w:rsid w:val="00A77427"/>
    <w:rsid w:val="00A77D06"/>
    <w:rsid w:val="00A80218"/>
    <w:rsid w:val="00A8169A"/>
    <w:rsid w:val="00A8189C"/>
    <w:rsid w:val="00A822FB"/>
    <w:rsid w:val="00A83D22"/>
    <w:rsid w:val="00A84DBE"/>
    <w:rsid w:val="00A87BB3"/>
    <w:rsid w:val="00A9105B"/>
    <w:rsid w:val="00A91528"/>
    <w:rsid w:val="00A9191B"/>
    <w:rsid w:val="00A94CEE"/>
    <w:rsid w:val="00A972BF"/>
    <w:rsid w:val="00AA1A25"/>
    <w:rsid w:val="00AA3E92"/>
    <w:rsid w:val="00AB03FC"/>
    <w:rsid w:val="00AB1E98"/>
    <w:rsid w:val="00AB493E"/>
    <w:rsid w:val="00AB4C03"/>
    <w:rsid w:val="00AB740E"/>
    <w:rsid w:val="00AB79E1"/>
    <w:rsid w:val="00AC01A4"/>
    <w:rsid w:val="00AC2E52"/>
    <w:rsid w:val="00AC6E1B"/>
    <w:rsid w:val="00AD0B36"/>
    <w:rsid w:val="00AD3470"/>
    <w:rsid w:val="00AD3527"/>
    <w:rsid w:val="00AD3981"/>
    <w:rsid w:val="00AD55AD"/>
    <w:rsid w:val="00AE0032"/>
    <w:rsid w:val="00AE1C33"/>
    <w:rsid w:val="00AE3093"/>
    <w:rsid w:val="00AE43C9"/>
    <w:rsid w:val="00AE5E1F"/>
    <w:rsid w:val="00AE712A"/>
    <w:rsid w:val="00AF1BCD"/>
    <w:rsid w:val="00AF26A5"/>
    <w:rsid w:val="00AF2CB4"/>
    <w:rsid w:val="00AF5CE6"/>
    <w:rsid w:val="00AF5F52"/>
    <w:rsid w:val="00AF6ED4"/>
    <w:rsid w:val="00AF7F47"/>
    <w:rsid w:val="00B00CBC"/>
    <w:rsid w:val="00B01A54"/>
    <w:rsid w:val="00B0207B"/>
    <w:rsid w:val="00B028AC"/>
    <w:rsid w:val="00B04770"/>
    <w:rsid w:val="00B05A7F"/>
    <w:rsid w:val="00B061D5"/>
    <w:rsid w:val="00B14138"/>
    <w:rsid w:val="00B14AC0"/>
    <w:rsid w:val="00B1543C"/>
    <w:rsid w:val="00B174DA"/>
    <w:rsid w:val="00B20F4D"/>
    <w:rsid w:val="00B2296C"/>
    <w:rsid w:val="00B24438"/>
    <w:rsid w:val="00B24EA2"/>
    <w:rsid w:val="00B2530D"/>
    <w:rsid w:val="00B258DB"/>
    <w:rsid w:val="00B3330A"/>
    <w:rsid w:val="00B333CB"/>
    <w:rsid w:val="00B3365D"/>
    <w:rsid w:val="00B34415"/>
    <w:rsid w:val="00B36548"/>
    <w:rsid w:val="00B376C5"/>
    <w:rsid w:val="00B40F94"/>
    <w:rsid w:val="00B42ECD"/>
    <w:rsid w:val="00B43EA3"/>
    <w:rsid w:val="00B4555F"/>
    <w:rsid w:val="00B4680A"/>
    <w:rsid w:val="00B46E1C"/>
    <w:rsid w:val="00B500CE"/>
    <w:rsid w:val="00B50D67"/>
    <w:rsid w:val="00B53473"/>
    <w:rsid w:val="00B57BA0"/>
    <w:rsid w:val="00B60570"/>
    <w:rsid w:val="00B61136"/>
    <w:rsid w:val="00B61152"/>
    <w:rsid w:val="00B61A79"/>
    <w:rsid w:val="00B6228D"/>
    <w:rsid w:val="00B62C10"/>
    <w:rsid w:val="00B63161"/>
    <w:rsid w:val="00B6443D"/>
    <w:rsid w:val="00B64540"/>
    <w:rsid w:val="00B65005"/>
    <w:rsid w:val="00B6578A"/>
    <w:rsid w:val="00B66555"/>
    <w:rsid w:val="00B6693F"/>
    <w:rsid w:val="00B66EEF"/>
    <w:rsid w:val="00B6739A"/>
    <w:rsid w:val="00B706AB"/>
    <w:rsid w:val="00B716C9"/>
    <w:rsid w:val="00B71F29"/>
    <w:rsid w:val="00B72611"/>
    <w:rsid w:val="00B72A1D"/>
    <w:rsid w:val="00B73442"/>
    <w:rsid w:val="00B735EC"/>
    <w:rsid w:val="00B7370A"/>
    <w:rsid w:val="00B738C7"/>
    <w:rsid w:val="00B74164"/>
    <w:rsid w:val="00B74A72"/>
    <w:rsid w:val="00B77C81"/>
    <w:rsid w:val="00B82C33"/>
    <w:rsid w:val="00B8334F"/>
    <w:rsid w:val="00B83D75"/>
    <w:rsid w:val="00B84AE9"/>
    <w:rsid w:val="00B8753D"/>
    <w:rsid w:val="00B91CD3"/>
    <w:rsid w:val="00B943A5"/>
    <w:rsid w:val="00B95C6C"/>
    <w:rsid w:val="00B968EA"/>
    <w:rsid w:val="00B9782E"/>
    <w:rsid w:val="00B97C77"/>
    <w:rsid w:val="00BA06CB"/>
    <w:rsid w:val="00BA156B"/>
    <w:rsid w:val="00BA157D"/>
    <w:rsid w:val="00BA2287"/>
    <w:rsid w:val="00BA2A0F"/>
    <w:rsid w:val="00BA506B"/>
    <w:rsid w:val="00BA60EF"/>
    <w:rsid w:val="00BB05AC"/>
    <w:rsid w:val="00BB1A72"/>
    <w:rsid w:val="00BB2CD7"/>
    <w:rsid w:val="00BB3167"/>
    <w:rsid w:val="00BB3B19"/>
    <w:rsid w:val="00BB6815"/>
    <w:rsid w:val="00BB729D"/>
    <w:rsid w:val="00BB74C7"/>
    <w:rsid w:val="00BB79DE"/>
    <w:rsid w:val="00BB7F35"/>
    <w:rsid w:val="00BC17CB"/>
    <w:rsid w:val="00BC47D8"/>
    <w:rsid w:val="00BC5BD3"/>
    <w:rsid w:val="00BD4E15"/>
    <w:rsid w:val="00BD55A9"/>
    <w:rsid w:val="00BE0C27"/>
    <w:rsid w:val="00BE14C5"/>
    <w:rsid w:val="00BE2FE8"/>
    <w:rsid w:val="00BE334E"/>
    <w:rsid w:val="00BE40E8"/>
    <w:rsid w:val="00BE412D"/>
    <w:rsid w:val="00BE43F9"/>
    <w:rsid w:val="00BE5E60"/>
    <w:rsid w:val="00BE642B"/>
    <w:rsid w:val="00BE7A48"/>
    <w:rsid w:val="00BF0EB9"/>
    <w:rsid w:val="00BF2EBD"/>
    <w:rsid w:val="00BF31D8"/>
    <w:rsid w:val="00BF3688"/>
    <w:rsid w:val="00BF5ADE"/>
    <w:rsid w:val="00BF5F53"/>
    <w:rsid w:val="00BF68E2"/>
    <w:rsid w:val="00BF72D4"/>
    <w:rsid w:val="00BF7743"/>
    <w:rsid w:val="00BF7FB5"/>
    <w:rsid w:val="00C00B6F"/>
    <w:rsid w:val="00C010B4"/>
    <w:rsid w:val="00C031F9"/>
    <w:rsid w:val="00C0461C"/>
    <w:rsid w:val="00C04B47"/>
    <w:rsid w:val="00C04EBA"/>
    <w:rsid w:val="00C056EB"/>
    <w:rsid w:val="00C06F49"/>
    <w:rsid w:val="00C07A06"/>
    <w:rsid w:val="00C101AA"/>
    <w:rsid w:val="00C106BD"/>
    <w:rsid w:val="00C10DA1"/>
    <w:rsid w:val="00C118B4"/>
    <w:rsid w:val="00C11D8D"/>
    <w:rsid w:val="00C138D4"/>
    <w:rsid w:val="00C13F3E"/>
    <w:rsid w:val="00C16582"/>
    <w:rsid w:val="00C202E3"/>
    <w:rsid w:val="00C20B10"/>
    <w:rsid w:val="00C21289"/>
    <w:rsid w:val="00C21E97"/>
    <w:rsid w:val="00C227E5"/>
    <w:rsid w:val="00C23A8F"/>
    <w:rsid w:val="00C244EC"/>
    <w:rsid w:val="00C2451C"/>
    <w:rsid w:val="00C24AFB"/>
    <w:rsid w:val="00C25EA6"/>
    <w:rsid w:val="00C26874"/>
    <w:rsid w:val="00C304FE"/>
    <w:rsid w:val="00C30526"/>
    <w:rsid w:val="00C31189"/>
    <w:rsid w:val="00C31526"/>
    <w:rsid w:val="00C32377"/>
    <w:rsid w:val="00C32415"/>
    <w:rsid w:val="00C32812"/>
    <w:rsid w:val="00C340AE"/>
    <w:rsid w:val="00C35E4F"/>
    <w:rsid w:val="00C36DE6"/>
    <w:rsid w:val="00C41D9A"/>
    <w:rsid w:val="00C4240A"/>
    <w:rsid w:val="00C46EA3"/>
    <w:rsid w:val="00C47263"/>
    <w:rsid w:val="00C47A5A"/>
    <w:rsid w:val="00C52387"/>
    <w:rsid w:val="00C54BEE"/>
    <w:rsid w:val="00C557D4"/>
    <w:rsid w:val="00C569F2"/>
    <w:rsid w:val="00C57669"/>
    <w:rsid w:val="00C60F50"/>
    <w:rsid w:val="00C6169F"/>
    <w:rsid w:val="00C66678"/>
    <w:rsid w:val="00C67D69"/>
    <w:rsid w:val="00C67E6D"/>
    <w:rsid w:val="00C71488"/>
    <w:rsid w:val="00C71C23"/>
    <w:rsid w:val="00C71ECF"/>
    <w:rsid w:val="00C71F04"/>
    <w:rsid w:val="00C71F80"/>
    <w:rsid w:val="00C73184"/>
    <w:rsid w:val="00C751B0"/>
    <w:rsid w:val="00C7549D"/>
    <w:rsid w:val="00C76658"/>
    <w:rsid w:val="00C76920"/>
    <w:rsid w:val="00C772A9"/>
    <w:rsid w:val="00C779FD"/>
    <w:rsid w:val="00C83373"/>
    <w:rsid w:val="00C86A51"/>
    <w:rsid w:val="00C86A98"/>
    <w:rsid w:val="00C879F7"/>
    <w:rsid w:val="00C93511"/>
    <w:rsid w:val="00C93545"/>
    <w:rsid w:val="00C94952"/>
    <w:rsid w:val="00C96716"/>
    <w:rsid w:val="00C96A38"/>
    <w:rsid w:val="00C97CEA"/>
    <w:rsid w:val="00CA1BCC"/>
    <w:rsid w:val="00CA2677"/>
    <w:rsid w:val="00CA4F25"/>
    <w:rsid w:val="00CA7369"/>
    <w:rsid w:val="00CA79A4"/>
    <w:rsid w:val="00CB1DC7"/>
    <w:rsid w:val="00CB25C5"/>
    <w:rsid w:val="00CB26C6"/>
    <w:rsid w:val="00CB28B6"/>
    <w:rsid w:val="00CB3FE1"/>
    <w:rsid w:val="00CB4358"/>
    <w:rsid w:val="00CB6160"/>
    <w:rsid w:val="00CB7B95"/>
    <w:rsid w:val="00CC0C4C"/>
    <w:rsid w:val="00CC0F55"/>
    <w:rsid w:val="00CC24CA"/>
    <w:rsid w:val="00CC2DA1"/>
    <w:rsid w:val="00CC316B"/>
    <w:rsid w:val="00CC513A"/>
    <w:rsid w:val="00CD20CB"/>
    <w:rsid w:val="00CD20F7"/>
    <w:rsid w:val="00CD2728"/>
    <w:rsid w:val="00CD2765"/>
    <w:rsid w:val="00CD311E"/>
    <w:rsid w:val="00CD463C"/>
    <w:rsid w:val="00CD4983"/>
    <w:rsid w:val="00CD5B60"/>
    <w:rsid w:val="00CD6078"/>
    <w:rsid w:val="00CD6AA7"/>
    <w:rsid w:val="00CD7084"/>
    <w:rsid w:val="00CE1E84"/>
    <w:rsid w:val="00CE21E0"/>
    <w:rsid w:val="00CE241B"/>
    <w:rsid w:val="00CE5252"/>
    <w:rsid w:val="00CE563E"/>
    <w:rsid w:val="00CE5A79"/>
    <w:rsid w:val="00CE5E82"/>
    <w:rsid w:val="00CE675E"/>
    <w:rsid w:val="00CE729A"/>
    <w:rsid w:val="00CE7DC9"/>
    <w:rsid w:val="00CF0315"/>
    <w:rsid w:val="00CF10A6"/>
    <w:rsid w:val="00CF207E"/>
    <w:rsid w:val="00CF3FFD"/>
    <w:rsid w:val="00CF6155"/>
    <w:rsid w:val="00CF77EB"/>
    <w:rsid w:val="00CF7B10"/>
    <w:rsid w:val="00D00188"/>
    <w:rsid w:val="00D0087C"/>
    <w:rsid w:val="00D00A11"/>
    <w:rsid w:val="00D01EA7"/>
    <w:rsid w:val="00D020AD"/>
    <w:rsid w:val="00D027CD"/>
    <w:rsid w:val="00D03D6C"/>
    <w:rsid w:val="00D051F7"/>
    <w:rsid w:val="00D061BA"/>
    <w:rsid w:val="00D07188"/>
    <w:rsid w:val="00D115EA"/>
    <w:rsid w:val="00D13E60"/>
    <w:rsid w:val="00D14D01"/>
    <w:rsid w:val="00D15240"/>
    <w:rsid w:val="00D175B3"/>
    <w:rsid w:val="00D208D8"/>
    <w:rsid w:val="00D21033"/>
    <w:rsid w:val="00D2206F"/>
    <w:rsid w:val="00D22997"/>
    <w:rsid w:val="00D22C8E"/>
    <w:rsid w:val="00D23609"/>
    <w:rsid w:val="00D23752"/>
    <w:rsid w:val="00D24143"/>
    <w:rsid w:val="00D26C05"/>
    <w:rsid w:val="00D26DF5"/>
    <w:rsid w:val="00D26E26"/>
    <w:rsid w:val="00D31242"/>
    <w:rsid w:val="00D34869"/>
    <w:rsid w:val="00D34889"/>
    <w:rsid w:val="00D34985"/>
    <w:rsid w:val="00D34D60"/>
    <w:rsid w:val="00D361BB"/>
    <w:rsid w:val="00D37499"/>
    <w:rsid w:val="00D37DE0"/>
    <w:rsid w:val="00D40C64"/>
    <w:rsid w:val="00D424DF"/>
    <w:rsid w:val="00D42D7E"/>
    <w:rsid w:val="00D43E07"/>
    <w:rsid w:val="00D44FE5"/>
    <w:rsid w:val="00D45830"/>
    <w:rsid w:val="00D53F98"/>
    <w:rsid w:val="00D542A4"/>
    <w:rsid w:val="00D54BC7"/>
    <w:rsid w:val="00D54E1E"/>
    <w:rsid w:val="00D55B86"/>
    <w:rsid w:val="00D55FFF"/>
    <w:rsid w:val="00D6287A"/>
    <w:rsid w:val="00D644A4"/>
    <w:rsid w:val="00D71932"/>
    <w:rsid w:val="00D71D74"/>
    <w:rsid w:val="00D72444"/>
    <w:rsid w:val="00D72875"/>
    <w:rsid w:val="00D736D1"/>
    <w:rsid w:val="00D73E4B"/>
    <w:rsid w:val="00D73F0B"/>
    <w:rsid w:val="00D76F2A"/>
    <w:rsid w:val="00D775A4"/>
    <w:rsid w:val="00D8343E"/>
    <w:rsid w:val="00D83B3F"/>
    <w:rsid w:val="00D83C2B"/>
    <w:rsid w:val="00D846E9"/>
    <w:rsid w:val="00D85286"/>
    <w:rsid w:val="00D8704B"/>
    <w:rsid w:val="00D8772B"/>
    <w:rsid w:val="00D877C3"/>
    <w:rsid w:val="00D9164E"/>
    <w:rsid w:val="00DA1290"/>
    <w:rsid w:val="00DA3102"/>
    <w:rsid w:val="00DA64FD"/>
    <w:rsid w:val="00DA787E"/>
    <w:rsid w:val="00DA7C33"/>
    <w:rsid w:val="00DB050C"/>
    <w:rsid w:val="00DB055B"/>
    <w:rsid w:val="00DB1C4C"/>
    <w:rsid w:val="00DB5FDB"/>
    <w:rsid w:val="00DB739D"/>
    <w:rsid w:val="00DB7E11"/>
    <w:rsid w:val="00DC024C"/>
    <w:rsid w:val="00DC0410"/>
    <w:rsid w:val="00DC4C13"/>
    <w:rsid w:val="00DC51BF"/>
    <w:rsid w:val="00DC671D"/>
    <w:rsid w:val="00DC70F0"/>
    <w:rsid w:val="00DC7EBA"/>
    <w:rsid w:val="00DD2578"/>
    <w:rsid w:val="00DD2B0C"/>
    <w:rsid w:val="00DD4634"/>
    <w:rsid w:val="00DD5111"/>
    <w:rsid w:val="00DD7A87"/>
    <w:rsid w:val="00DD7ECC"/>
    <w:rsid w:val="00DD7F59"/>
    <w:rsid w:val="00DE0440"/>
    <w:rsid w:val="00DE0976"/>
    <w:rsid w:val="00DE0E42"/>
    <w:rsid w:val="00DE2280"/>
    <w:rsid w:val="00DE2E76"/>
    <w:rsid w:val="00DE54A4"/>
    <w:rsid w:val="00DE5B85"/>
    <w:rsid w:val="00DE5E55"/>
    <w:rsid w:val="00DE7333"/>
    <w:rsid w:val="00DE77A2"/>
    <w:rsid w:val="00DE7F25"/>
    <w:rsid w:val="00DF19CE"/>
    <w:rsid w:val="00DF2054"/>
    <w:rsid w:val="00DF208F"/>
    <w:rsid w:val="00DF393F"/>
    <w:rsid w:val="00DF5D87"/>
    <w:rsid w:val="00DF7373"/>
    <w:rsid w:val="00E0146C"/>
    <w:rsid w:val="00E023D8"/>
    <w:rsid w:val="00E0515B"/>
    <w:rsid w:val="00E05BC8"/>
    <w:rsid w:val="00E06EC2"/>
    <w:rsid w:val="00E07E67"/>
    <w:rsid w:val="00E104C0"/>
    <w:rsid w:val="00E11F2E"/>
    <w:rsid w:val="00E1378E"/>
    <w:rsid w:val="00E14C51"/>
    <w:rsid w:val="00E15DB4"/>
    <w:rsid w:val="00E17146"/>
    <w:rsid w:val="00E17B1D"/>
    <w:rsid w:val="00E20934"/>
    <w:rsid w:val="00E2109E"/>
    <w:rsid w:val="00E2288E"/>
    <w:rsid w:val="00E233E8"/>
    <w:rsid w:val="00E2532A"/>
    <w:rsid w:val="00E26430"/>
    <w:rsid w:val="00E27CF5"/>
    <w:rsid w:val="00E30B41"/>
    <w:rsid w:val="00E31DCC"/>
    <w:rsid w:val="00E31F16"/>
    <w:rsid w:val="00E344C3"/>
    <w:rsid w:val="00E34CD3"/>
    <w:rsid w:val="00E35185"/>
    <w:rsid w:val="00E353ED"/>
    <w:rsid w:val="00E36FBA"/>
    <w:rsid w:val="00E3755E"/>
    <w:rsid w:val="00E37735"/>
    <w:rsid w:val="00E37D1F"/>
    <w:rsid w:val="00E42855"/>
    <w:rsid w:val="00E42D1A"/>
    <w:rsid w:val="00E4556B"/>
    <w:rsid w:val="00E47028"/>
    <w:rsid w:val="00E47F2F"/>
    <w:rsid w:val="00E52B46"/>
    <w:rsid w:val="00E531FF"/>
    <w:rsid w:val="00E53A3A"/>
    <w:rsid w:val="00E54BA5"/>
    <w:rsid w:val="00E553DB"/>
    <w:rsid w:val="00E55916"/>
    <w:rsid w:val="00E55E9B"/>
    <w:rsid w:val="00E5608E"/>
    <w:rsid w:val="00E5652E"/>
    <w:rsid w:val="00E5710A"/>
    <w:rsid w:val="00E61863"/>
    <w:rsid w:val="00E61946"/>
    <w:rsid w:val="00E62684"/>
    <w:rsid w:val="00E632C3"/>
    <w:rsid w:val="00E70852"/>
    <w:rsid w:val="00E71039"/>
    <w:rsid w:val="00E7129E"/>
    <w:rsid w:val="00E73CB2"/>
    <w:rsid w:val="00E74A9D"/>
    <w:rsid w:val="00E7618E"/>
    <w:rsid w:val="00E761C0"/>
    <w:rsid w:val="00E7747E"/>
    <w:rsid w:val="00E802C0"/>
    <w:rsid w:val="00E8057B"/>
    <w:rsid w:val="00E81CB5"/>
    <w:rsid w:val="00E83D3E"/>
    <w:rsid w:val="00E83E78"/>
    <w:rsid w:val="00E851DD"/>
    <w:rsid w:val="00E861B6"/>
    <w:rsid w:val="00E87FD9"/>
    <w:rsid w:val="00E9160E"/>
    <w:rsid w:val="00E94650"/>
    <w:rsid w:val="00E94CD7"/>
    <w:rsid w:val="00E958F1"/>
    <w:rsid w:val="00E95D0F"/>
    <w:rsid w:val="00E964BF"/>
    <w:rsid w:val="00EA11E9"/>
    <w:rsid w:val="00EA1B86"/>
    <w:rsid w:val="00EA340D"/>
    <w:rsid w:val="00EA4574"/>
    <w:rsid w:val="00EA49AD"/>
    <w:rsid w:val="00EA4B5C"/>
    <w:rsid w:val="00EA4EA9"/>
    <w:rsid w:val="00EA6403"/>
    <w:rsid w:val="00EB3EB1"/>
    <w:rsid w:val="00EB4279"/>
    <w:rsid w:val="00EB4E4B"/>
    <w:rsid w:val="00EB5E3A"/>
    <w:rsid w:val="00EB6DB0"/>
    <w:rsid w:val="00EC4025"/>
    <w:rsid w:val="00EC4D81"/>
    <w:rsid w:val="00EC5F4D"/>
    <w:rsid w:val="00EC6AD0"/>
    <w:rsid w:val="00EC70CE"/>
    <w:rsid w:val="00EC7373"/>
    <w:rsid w:val="00ED0FDD"/>
    <w:rsid w:val="00ED1BF7"/>
    <w:rsid w:val="00ED3F51"/>
    <w:rsid w:val="00ED5101"/>
    <w:rsid w:val="00ED6E25"/>
    <w:rsid w:val="00ED7367"/>
    <w:rsid w:val="00ED7945"/>
    <w:rsid w:val="00EE01E0"/>
    <w:rsid w:val="00EE1BBD"/>
    <w:rsid w:val="00EE1ED8"/>
    <w:rsid w:val="00EE43E0"/>
    <w:rsid w:val="00EE5BC6"/>
    <w:rsid w:val="00EE63C0"/>
    <w:rsid w:val="00EF0B76"/>
    <w:rsid w:val="00EF0D42"/>
    <w:rsid w:val="00EF1528"/>
    <w:rsid w:val="00EF1DBE"/>
    <w:rsid w:val="00EF1EB5"/>
    <w:rsid w:val="00EF3580"/>
    <w:rsid w:val="00EF4307"/>
    <w:rsid w:val="00EF4594"/>
    <w:rsid w:val="00EF4C11"/>
    <w:rsid w:val="00EF6186"/>
    <w:rsid w:val="00F00B1C"/>
    <w:rsid w:val="00F01001"/>
    <w:rsid w:val="00F03282"/>
    <w:rsid w:val="00F047FE"/>
    <w:rsid w:val="00F05314"/>
    <w:rsid w:val="00F07340"/>
    <w:rsid w:val="00F10419"/>
    <w:rsid w:val="00F1170B"/>
    <w:rsid w:val="00F11B1B"/>
    <w:rsid w:val="00F121E2"/>
    <w:rsid w:val="00F128D1"/>
    <w:rsid w:val="00F13586"/>
    <w:rsid w:val="00F13B87"/>
    <w:rsid w:val="00F1524F"/>
    <w:rsid w:val="00F15C9D"/>
    <w:rsid w:val="00F1688B"/>
    <w:rsid w:val="00F217AD"/>
    <w:rsid w:val="00F22A55"/>
    <w:rsid w:val="00F2322F"/>
    <w:rsid w:val="00F23D30"/>
    <w:rsid w:val="00F242AD"/>
    <w:rsid w:val="00F25AE3"/>
    <w:rsid w:val="00F25AEF"/>
    <w:rsid w:val="00F25CCB"/>
    <w:rsid w:val="00F26C34"/>
    <w:rsid w:val="00F3118F"/>
    <w:rsid w:val="00F3168C"/>
    <w:rsid w:val="00F32BBB"/>
    <w:rsid w:val="00F32DF9"/>
    <w:rsid w:val="00F332A8"/>
    <w:rsid w:val="00F347B4"/>
    <w:rsid w:val="00F41563"/>
    <w:rsid w:val="00F4241C"/>
    <w:rsid w:val="00F44562"/>
    <w:rsid w:val="00F46F3E"/>
    <w:rsid w:val="00F472C5"/>
    <w:rsid w:val="00F52489"/>
    <w:rsid w:val="00F53B4C"/>
    <w:rsid w:val="00F53C7F"/>
    <w:rsid w:val="00F548ED"/>
    <w:rsid w:val="00F57EAB"/>
    <w:rsid w:val="00F60428"/>
    <w:rsid w:val="00F60B8B"/>
    <w:rsid w:val="00F61FB3"/>
    <w:rsid w:val="00F628F4"/>
    <w:rsid w:val="00F652BD"/>
    <w:rsid w:val="00F6558B"/>
    <w:rsid w:val="00F65A3D"/>
    <w:rsid w:val="00F65AC4"/>
    <w:rsid w:val="00F67AF0"/>
    <w:rsid w:val="00F7009F"/>
    <w:rsid w:val="00F704D1"/>
    <w:rsid w:val="00F70FFA"/>
    <w:rsid w:val="00F71F66"/>
    <w:rsid w:val="00F7232D"/>
    <w:rsid w:val="00F725AF"/>
    <w:rsid w:val="00F74EE1"/>
    <w:rsid w:val="00F759B7"/>
    <w:rsid w:val="00F77E97"/>
    <w:rsid w:val="00F80196"/>
    <w:rsid w:val="00F81417"/>
    <w:rsid w:val="00F81E19"/>
    <w:rsid w:val="00F83BEB"/>
    <w:rsid w:val="00F83FBD"/>
    <w:rsid w:val="00F84D02"/>
    <w:rsid w:val="00F853FF"/>
    <w:rsid w:val="00F87814"/>
    <w:rsid w:val="00F9045E"/>
    <w:rsid w:val="00F918E1"/>
    <w:rsid w:val="00F91A27"/>
    <w:rsid w:val="00F91FEE"/>
    <w:rsid w:val="00F93B59"/>
    <w:rsid w:val="00F94496"/>
    <w:rsid w:val="00F94A4F"/>
    <w:rsid w:val="00F94D54"/>
    <w:rsid w:val="00F95109"/>
    <w:rsid w:val="00F96054"/>
    <w:rsid w:val="00FA15C3"/>
    <w:rsid w:val="00FA3495"/>
    <w:rsid w:val="00FA41BE"/>
    <w:rsid w:val="00FA52B0"/>
    <w:rsid w:val="00FA55D2"/>
    <w:rsid w:val="00FB02D9"/>
    <w:rsid w:val="00FB0438"/>
    <w:rsid w:val="00FB2639"/>
    <w:rsid w:val="00FB4173"/>
    <w:rsid w:val="00FB44CC"/>
    <w:rsid w:val="00FB4B88"/>
    <w:rsid w:val="00FC0363"/>
    <w:rsid w:val="00FC33ED"/>
    <w:rsid w:val="00FC55A0"/>
    <w:rsid w:val="00FC5609"/>
    <w:rsid w:val="00FD0419"/>
    <w:rsid w:val="00FD086F"/>
    <w:rsid w:val="00FD0BD2"/>
    <w:rsid w:val="00FD3065"/>
    <w:rsid w:val="00FD30DD"/>
    <w:rsid w:val="00FD31EC"/>
    <w:rsid w:val="00FD512B"/>
    <w:rsid w:val="00FD52E5"/>
    <w:rsid w:val="00FD6B7C"/>
    <w:rsid w:val="00FE018A"/>
    <w:rsid w:val="00FE0432"/>
    <w:rsid w:val="00FE18D6"/>
    <w:rsid w:val="00FE1EE5"/>
    <w:rsid w:val="00FE5074"/>
    <w:rsid w:val="00FE5FCE"/>
    <w:rsid w:val="00FE7224"/>
    <w:rsid w:val="00FF031F"/>
    <w:rsid w:val="00FF042E"/>
    <w:rsid w:val="00FF0687"/>
    <w:rsid w:val="00FF07FF"/>
    <w:rsid w:val="00FF4391"/>
    <w:rsid w:val="00FF4480"/>
    <w:rsid w:val="00FF668B"/>
    <w:rsid w:val="00FF7980"/>
  </w:rsids>
  <m:mathPr>
    <m:mathFont m:val="Cambria Math"/>
    <m:brkBin m:val="before"/>
    <m:brkBinSub m:val="--"/>
    <m:smallFrac m:val="0"/>
    <m:dispDef/>
    <m:lMargin m:val="0"/>
    <m:rMargin m:val="0"/>
    <m:defJc m:val="centerGroup"/>
    <m:wrapIndent m:val="1440"/>
    <m:intLim m:val="subSup"/>
    <m:naryLim m:val="undOvr"/>
  </m:mathPr>
  <w:themeFontLang w:val="cs-CZ"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6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hidden/>
    <w:rsid w:val="00675BCD"/>
    <w:pPr>
      <w:spacing w:before="120" w:after="120"/>
      <w:jc w:val="both"/>
    </w:pPr>
    <w:rPr>
      <w:sz w:val="22"/>
      <w:szCs w:val="24"/>
      <w:lang w:eastAsia="en-US"/>
    </w:rPr>
  </w:style>
  <w:style w:type="paragraph" w:styleId="Nadpis1">
    <w:name w:val="heading 1"/>
    <w:aliases w:val="Hoofdstukkop,Section Heading,H1,Heading X,Numbered - 1,Lev 1,Lev 11,Numbered - 11,Lev 12,Numbered - 12,Lev 13,Numbered - 13,Chapter,Section,No numbers,h1,_Nadpis 1,Heading 10,HH 1,Základní kapitola,Článek,Clause,Kapitola,V_Head1,Záhlaví 1,1"/>
    <w:basedOn w:val="Normln"/>
    <w:next w:val="Clanek11"/>
    <w:link w:val="Nadpis1Char"/>
    <w:uiPriority w:val="99"/>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uiPriority w:val="99"/>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link w:val="ClanekaChar"/>
    <w:uiPriority w:val="99"/>
    <w:qFormat/>
    <w:rsid w:val="00FF031F"/>
    <w:pPr>
      <w:keepLines/>
      <w:widowControl w:val="0"/>
      <w:numPr>
        <w:ilvl w:val="2"/>
        <w:numId w:val="3"/>
      </w:numPr>
    </w:pPr>
  </w:style>
  <w:style w:type="paragraph" w:customStyle="1" w:styleId="Claneki">
    <w:name w:val="Clanek (i)"/>
    <w:basedOn w:val="Normln"/>
    <w:uiPriority w:val="99"/>
    <w:qFormat/>
    <w:rsid w:val="00E06EC2"/>
    <w:pPr>
      <w:keepNext/>
      <w:numPr>
        <w:ilvl w:val="3"/>
        <w:numId w:val="3"/>
      </w:numPr>
    </w:pPr>
    <w:rPr>
      <w:color w:val="000000"/>
    </w:rPr>
  </w:style>
  <w:style w:type="paragraph" w:customStyle="1" w:styleId="Text11">
    <w:name w:val="Text 1.1"/>
    <w:basedOn w:val="Normln"/>
    <w:link w:val="Text11Char"/>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link w:val="TextpoznpodarouChar"/>
    <w:uiPriority w:val="99"/>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semiHidden/>
    <w:rsid w:val="00CB25C5"/>
    <w:rPr>
      <w:rFonts w:ascii="Times New Roman" w:hAnsi="Times New Roman"/>
      <w:color w:val="0000FF"/>
      <w:sz w:val="22"/>
      <w:u w:val="single"/>
    </w:rPr>
  </w:style>
  <w:style w:type="character" w:styleId="Znakapoznpodarou">
    <w:name w:val="footnote reference"/>
    <w:uiPriority w:val="99"/>
    <w:semiHidden/>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ind w:left="1418" w:hanging="425"/>
    </w:pPr>
  </w:style>
  <w:style w:type="character" w:customStyle="1" w:styleId="Odrazkapro1a11Char">
    <w:name w:val="Odrazka pro 1 a 1.1 Char"/>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link w:val="Texta"/>
    <w:rsid w:val="00ED7945"/>
    <w:rPr>
      <w:sz w:val="22"/>
      <w:lang w:eastAsia="en-US"/>
    </w:rPr>
  </w:style>
  <w:style w:type="character" w:customStyle="1" w:styleId="OdrazkaproaChar">
    <w:name w:val="Odrazka pro (a) Char"/>
    <w:link w:val="Odrazkaproa"/>
    <w:rsid w:val="00ED7945"/>
    <w:rPr>
      <w:sz w:val="22"/>
      <w:lang w:eastAsia="en-US"/>
    </w:rPr>
  </w:style>
  <w:style w:type="character" w:customStyle="1" w:styleId="TextiChar">
    <w:name w:val="Text (i) Char"/>
    <w:link w:val="Texti"/>
    <w:rsid w:val="00ED7945"/>
    <w:rPr>
      <w:sz w:val="22"/>
      <w:lang w:eastAsia="en-US"/>
    </w:rPr>
  </w:style>
  <w:style w:type="character" w:customStyle="1" w:styleId="OdrazkaproiChar">
    <w:name w:val="Odrazka pro (i) Char"/>
    <w:link w:val="Odrazkaproi"/>
    <w:rsid w:val="00ED7945"/>
    <w:rPr>
      <w:sz w:val="22"/>
      <w:lang w:eastAsia="en-US"/>
    </w:rPr>
  </w:style>
  <w:style w:type="character" w:customStyle="1" w:styleId="Clanek11Char">
    <w:name w:val="Clanek 1.1 Char"/>
    <w:link w:val="Clanek11"/>
    <w:uiPriority w:val="99"/>
    <w:rsid w:val="006F4E91"/>
    <w:rPr>
      <w:rFonts w:cs="Arial"/>
      <w:bCs/>
      <w:iCs/>
      <w:sz w:val="22"/>
      <w:szCs w:val="28"/>
      <w:lang w:eastAsia="en-US"/>
    </w:rPr>
  </w:style>
  <w:style w:type="character" w:customStyle="1" w:styleId="TextpoznpodarouChar">
    <w:name w:val="Text pozn. pod čarou Char"/>
    <w:aliases w:val="fn Char"/>
    <w:link w:val="Textpoznpodarou"/>
    <w:uiPriority w:val="99"/>
    <w:semiHidden/>
    <w:rsid w:val="00266275"/>
    <w:rPr>
      <w:sz w:val="18"/>
      <w:lang w:eastAsia="en-US"/>
    </w:rPr>
  </w:style>
  <w:style w:type="table" w:styleId="Mkatabulky">
    <w:name w:val="Table Grid"/>
    <w:basedOn w:val="Normlntabulka"/>
    <w:uiPriority w:val="39"/>
    <w:rsid w:val="00640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5567B5"/>
    <w:rPr>
      <w:sz w:val="16"/>
      <w:szCs w:val="16"/>
    </w:rPr>
  </w:style>
  <w:style w:type="paragraph" w:styleId="Textkomente">
    <w:name w:val="annotation text"/>
    <w:basedOn w:val="Normln"/>
    <w:link w:val="TextkomenteChar"/>
    <w:uiPriority w:val="99"/>
    <w:rsid w:val="005567B5"/>
    <w:rPr>
      <w:sz w:val="20"/>
      <w:szCs w:val="20"/>
    </w:rPr>
  </w:style>
  <w:style w:type="character" w:customStyle="1" w:styleId="TextkomenteChar">
    <w:name w:val="Text komentáře Char"/>
    <w:link w:val="Textkomente"/>
    <w:uiPriority w:val="99"/>
    <w:rsid w:val="005567B5"/>
    <w:rPr>
      <w:lang w:eastAsia="en-US"/>
    </w:rPr>
  </w:style>
  <w:style w:type="paragraph" w:styleId="Pedmtkomente">
    <w:name w:val="annotation subject"/>
    <w:basedOn w:val="Textkomente"/>
    <w:next w:val="Textkomente"/>
    <w:link w:val="PedmtkomenteChar"/>
    <w:rsid w:val="005567B5"/>
    <w:rPr>
      <w:b/>
      <w:bCs/>
    </w:rPr>
  </w:style>
  <w:style w:type="character" w:customStyle="1" w:styleId="PedmtkomenteChar">
    <w:name w:val="Předmět komentáře Char"/>
    <w:link w:val="Pedmtkomente"/>
    <w:rsid w:val="005567B5"/>
    <w:rPr>
      <w:b/>
      <w:bCs/>
      <w:lang w:eastAsia="en-US"/>
    </w:rPr>
  </w:style>
  <w:style w:type="paragraph" w:styleId="Textbubliny">
    <w:name w:val="Balloon Text"/>
    <w:basedOn w:val="Normln"/>
    <w:link w:val="TextbublinyChar"/>
    <w:rsid w:val="005567B5"/>
    <w:pPr>
      <w:spacing w:before="0" w:after="0"/>
    </w:pPr>
    <w:rPr>
      <w:rFonts w:ascii="Tahoma" w:hAnsi="Tahoma" w:cs="Tahoma"/>
      <w:sz w:val="16"/>
      <w:szCs w:val="16"/>
    </w:rPr>
  </w:style>
  <w:style w:type="character" w:customStyle="1" w:styleId="TextbublinyChar">
    <w:name w:val="Text bubliny Char"/>
    <w:link w:val="Textbubliny"/>
    <w:rsid w:val="005567B5"/>
    <w:rPr>
      <w:rFonts w:ascii="Tahoma" w:hAnsi="Tahoma" w:cs="Tahoma"/>
      <w:sz w:val="16"/>
      <w:szCs w:val="16"/>
      <w:lang w:eastAsia="en-US"/>
    </w:rPr>
  </w:style>
  <w:style w:type="paragraph" w:customStyle="1" w:styleId="Svtlseznamzvraznn31">
    <w:name w:val="Světlý seznam – zvýraznění 31"/>
    <w:hidden/>
    <w:uiPriority w:val="99"/>
    <w:semiHidden/>
    <w:rsid w:val="009F40DD"/>
    <w:rPr>
      <w:sz w:val="22"/>
      <w:szCs w:val="24"/>
      <w:lang w:eastAsia="en-US"/>
    </w:rPr>
  </w:style>
  <w:style w:type="paragraph" w:styleId="Revize">
    <w:name w:val="Revision"/>
    <w:hidden/>
    <w:uiPriority w:val="99"/>
    <w:semiHidden/>
    <w:rsid w:val="00C751B0"/>
    <w:rPr>
      <w:sz w:val="22"/>
      <w:szCs w:val="24"/>
      <w:lang w:eastAsia="en-US"/>
    </w:rPr>
  </w:style>
  <w:style w:type="character" w:customStyle="1" w:styleId="apple-style-span">
    <w:name w:val="apple-style-span"/>
    <w:rsid w:val="00DE5B85"/>
  </w:style>
  <w:style w:type="character" w:customStyle="1" w:styleId="nowrap">
    <w:name w:val="nowrap"/>
    <w:rsid w:val="00825545"/>
  </w:style>
  <w:style w:type="character" w:customStyle="1" w:styleId="platne1">
    <w:name w:val="platne1"/>
    <w:basedOn w:val="Standardnpsmoodstavce"/>
    <w:rsid w:val="00825545"/>
  </w:style>
  <w:style w:type="paragraph" w:customStyle="1" w:styleId="Normal1">
    <w:name w:val="Normal1"/>
    <w:basedOn w:val="Normln"/>
    <w:rsid w:val="003D3688"/>
    <w:pPr>
      <w:suppressAutoHyphens/>
      <w:overflowPunct w:val="0"/>
      <w:autoSpaceDE w:val="0"/>
      <w:autoSpaceDN w:val="0"/>
      <w:adjustRightInd w:val="0"/>
      <w:spacing w:before="60" w:after="60" w:line="228" w:lineRule="auto"/>
    </w:pPr>
    <w:rPr>
      <w:sz w:val="20"/>
      <w:szCs w:val="20"/>
      <w:lang w:eastAsia="cs-CZ"/>
    </w:rPr>
  </w:style>
  <w:style w:type="character" w:customStyle="1" w:styleId="ZhlavChar">
    <w:name w:val="Záhlaví Char"/>
    <w:aliases w:val="HH Header Char"/>
    <w:basedOn w:val="Standardnpsmoodstavce"/>
    <w:link w:val="Zhlav"/>
    <w:semiHidden/>
    <w:rsid w:val="00E802C0"/>
    <w:rPr>
      <w:rFonts w:ascii="Arial" w:hAnsi="Arial"/>
      <w:sz w:val="16"/>
      <w:szCs w:val="24"/>
      <w:lang w:eastAsia="en-US"/>
    </w:rPr>
  </w:style>
  <w:style w:type="character" w:customStyle="1" w:styleId="ZpatChar">
    <w:name w:val="Zápatí Char"/>
    <w:basedOn w:val="Standardnpsmoodstavce"/>
    <w:link w:val="Zpat"/>
    <w:uiPriority w:val="99"/>
    <w:rsid w:val="00E802C0"/>
    <w:rPr>
      <w:szCs w:val="24"/>
      <w:lang w:eastAsia="en-US"/>
    </w:rPr>
  </w:style>
  <w:style w:type="character" w:customStyle="1" w:styleId="preformatted">
    <w:name w:val="preformatted"/>
    <w:basedOn w:val="Standardnpsmoodstavce"/>
    <w:rsid w:val="00E802C0"/>
  </w:style>
  <w:style w:type="character" w:customStyle="1" w:styleId="Nadpis1Char">
    <w:name w:val="Nadpis 1 Char"/>
    <w:aliases w:val="Hoofdstukkop Char,Section Heading Char,H1 Char,Heading X Char,Numbered - 1 Char,Lev 1 Char,Lev 11 Char,Numbered - 11 Char,Lev 12 Char,Numbered - 12 Char,Lev 13 Char,Numbered - 13 Char,Chapter Char,Section Char,No numbers Char,h1 Char"/>
    <w:basedOn w:val="Standardnpsmoodstavce"/>
    <w:link w:val="Nadpis1"/>
    <w:rsid w:val="00B0207B"/>
    <w:rPr>
      <w:rFonts w:cs="Arial"/>
      <w:b/>
      <w:bCs/>
      <w:caps/>
      <w:kern w:val="32"/>
      <w:sz w:val="22"/>
      <w:szCs w:val="32"/>
      <w:lang w:eastAsia="en-US"/>
    </w:rPr>
  </w:style>
  <w:style w:type="character" w:customStyle="1" w:styleId="Text11Char">
    <w:name w:val="Text 1.1 Char"/>
    <w:basedOn w:val="Standardnpsmoodstavce"/>
    <w:link w:val="Text11"/>
    <w:locked/>
    <w:rsid w:val="00CB6160"/>
    <w:rPr>
      <w:sz w:val="22"/>
      <w:lang w:eastAsia="en-US"/>
    </w:rPr>
  </w:style>
  <w:style w:type="paragraph" w:customStyle="1" w:styleId="AOHead1">
    <w:name w:val="AOHead1"/>
    <w:basedOn w:val="Normln"/>
    <w:next w:val="Normln"/>
    <w:uiPriority w:val="99"/>
    <w:rsid w:val="005C6F40"/>
    <w:pPr>
      <w:keepNext/>
      <w:widowControl w:val="0"/>
      <w:numPr>
        <w:numId w:val="9"/>
      </w:numPr>
      <w:autoSpaceDE w:val="0"/>
      <w:autoSpaceDN w:val="0"/>
      <w:adjustRightInd w:val="0"/>
      <w:spacing w:before="240" w:after="0" w:line="260" w:lineRule="atLeast"/>
      <w:outlineLvl w:val="0"/>
    </w:pPr>
    <w:rPr>
      <w:rFonts w:eastAsia="Malgun Gothic"/>
      <w:b/>
      <w:bCs/>
      <w:caps/>
      <w:kern w:val="28"/>
      <w:szCs w:val="22"/>
      <w:lang w:val="en-GB" w:eastAsia="ko-KR"/>
    </w:rPr>
  </w:style>
  <w:style w:type="paragraph" w:customStyle="1" w:styleId="AOHead2">
    <w:name w:val="AOHead2"/>
    <w:basedOn w:val="Normln"/>
    <w:next w:val="Normln"/>
    <w:uiPriority w:val="99"/>
    <w:rsid w:val="005C6F40"/>
    <w:pPr>
      <w:keepNext/>
      <w:widowControl w:val="0"/>
      <w:numPr>
        <w:ilvl w:val="1"/>
        <w:numId w:val="9"/>
      </w:numPr>
      <w:autoSpaceDE w:val="0"/>
      <w:autoSpaceDN w:val="0"/>
      <w:adjustRightInd w:val="0"/>
      <w:spacing w:before="240" w:after="0" w:line="260" w:lineRule="atLeast"/>
      <w:outlineLvl w:val="1"/>
    </w:pPr>
    <w:rPr>
      <w:rFonts w:eastAsia="Malgun Gothic"/>
      <w:b/>
      <w:bCs/>
      <w:szCs w:val="22"/>
      <w:lang w:val="en-GB" w:eastAsia="ko-KR"/>
    </w:rPr>
  </w:style>
  <w:style w:type="paragraph" w:customStyle="1" w:styleId="AOHead3">
    <w:name w:val="AOHead3"/>
    <w:basedOn w:val="Normln"/>
    <w:next w:val="Normln"/>
    <w:uiPriority w:val="99"/>
    <w:rsid w:val="005C6F40"/>
    <w:pPr>
      <w:widowControl w:val="0"/>
      <w:numPr>
        <w:ilvl w:val="2"/>
        <w:numId w:val="9"/>
      </w:numPr>
      <w:autoSpaceDE w:val="0"/>
      <w:autoSpaceDN w:val="0"/>
      <w:adjustRightInd w:val="0"/>
      <w:spacing w:before="240" w:after="0" w:line="260" w:lineRule="atLeast"/>
      <w:outlineLvl w:val="2"/>
    </w:pPr>
    <w:rPr>
      <w:rFonts w:eastAsia="Malgun Gothic"/>
      <w:szCs w:val="22"/>
      <w:lang w:val="en-GB" w:eastAsia="ko-KR"/>
    </w:rPr>
  </w:style>
  <w:style w:type="paragraph" w:customStyle="1" w:styleId="AOHead4">
    <w:name w:val="AOHead4"/>
    <w:basedOn w:val="Normln"/>
    <w:next w:val="Normln"/>
    <w:uiPriority w:val="99"/>
    <w:rsid w:val="005C6F40"/>
    <w:pPr>
      <w:widowControl w:val="0"/>
      <w:numPr>
        <w:ilvl w:val="3"/>
        <w:numId w:val="9"/>
      </w:numPr>
      <w:autoSpaceDE w:val="0"/>
      <w:autoSpaceDN w:val="0"/>
      <w:adjustRightInd w:val="0"/>
      <w:spacing w:before="240" w:after="0" w:line="260" w:lineRule="atLeast"/>
      <w:outlineLvl w:val="3"/>
    </w:pPr>
    <w:rPr>
      <w:rFonts w:eastAsia="Malgun Gothic"/>
      <w:szCs w:val="22"/>
      <w:lang w:val="en-GB" w:eastAsia="ko-KR"/>
    </w:rPr>
  </w:style>
  <w:style w:type="paragraph" w:customStyle="1" w:styleId="AOHead5">
    <w:name w:val="AOHead5"/>
    <w:basedOn w:val="Normln"/>
    <w:next w:val="Normln"/>
    <w:uiPriority w:val="99"/>
    <w:rsid w:val="005C6F40"/>
    <w:pPr>
      <w:widowControl w:val="0"/>
      <w:numPr>
        <w:ilvl w:val="4"/>
        <w:numId w:val="9"/>
      </w:numPr>
      <w:autoSpaceDE w:val="0"/>
      <w:autoSpaceDN w:val="0"/>
      <w:adjustRightInd w:val="0"/>
      <w:spacing w:before="240" w:after="0" w:line="260" w:lineRule="atLeast"/>
      <w:outlineLvl w:val="4"/>
    </w:pPr>
    <w:rPr>
      <w:rFonts w:eastAsia="Malgun Gothic"/>
      <w:szCs w:val="22"/>
      <w:lang w:val="en-GB" w:eastAsia="ko-KR"/>
    </w:rPr>
  </w:style>
  <w:style w:type="paragraph" w:customStyle="1" w:styleId="AOHead6">
    <w:name w:val="AOHead6"/>
    <w:basedOn w:val="Normln"/>
    <w:next w:val="Normln"/>
    <w:uiPriority w:val="99"/>
    <w:rsid w:val="005C6F40"/>
    <w:pPr>
      <w:widowControl w:val="0"/>
      <w:numPr>
        <w:ilvl w:val="5"/>
        <w:numId w:val="9"/>
      </w:numPr>
      <w:tabs>
        <w:tab w:val="clear" w:pos="1152"/>
        <w:tab w:val="num" w:pos="360"/>
      </w:tabs>
      <w:autoSpaceDE w:val="0"/>
      <w:autoSpaceDN w:val="0"/>
      <w:adjustRightInd w:val="0"/>
      <w:spacing w:before="240" w:after="0" w:line="260" w:lineRule="atLeast"/>
      <w:ind w:left="0" w:firstLine="0"/>
      <w:outlineLvl w:val="5"/>
    </w:pPr>
    <w:rPr>
      <w:rFonts w:eastAsia="Malgun Gothic"/>
      <w:szCs w:val="22"/>
      <w:lang w:val="en-GB" w:eastAsia="ko-KR"/>
    </w:rPr>
  </w:style>
  <w:style w:type="character" w:customStyle="1" w:styleId="ClanekaChar">
    <w:name w:val="Clanek (a) Char"/>
    <w:link w:val="Claneka"/>
    <w:uiPriority w:val="99"/>
    <w:rsid w:val="00C772A9"/>
    <w:rPr>
      <w:sz w:val="22"/>
      <w:szCs w:val="24"/>
      <w:lang w:eastAsia="en-US"/>
    </w:rPr>
  </w:style>
  <w:style w:type="paragraph" w:customStyle="1" w:styleId="Body3">
    <w:name w:val="Body3"/>
    <w:basedOn w:val="Normln"/>
    <w:rsid w:val="00C772A9"/>
    <w:pPr>
      <w:spacing w:before="0" w:after="240" w:line="360" w:lineRule="auto"/>
      <w:ind w:left="567"/>
    </w:pPr>
    <w:rPr>
      <w:rFonts w:ascii="Arial" w:hAnsi="Arial" w:cs="Arial"/>
      <w:snapToGrid w:val="0"/>
      <w:sz w:val="20"/>
      <w:szCs w:val="20"/>
      <w:lang w:val="en-GB" w:eastAsia="cs-CZ"/>
    </w:rPr>
  </w:style>
  <w:style w:type="paragraph" w:styleId="Odstavecseseznamem">
    <w:name w:val="List Paragraph"/>
    <w:aliases w:val="Bullet Number,A-Odrážky1,Reference List,Nad,Odstavec cíl se seznamem,Odstavec se seznamem5,Odstavec_muj,Odstavec s názvem,Odstavec 1,cp_Odstavec se seznamem,Bullet List,FooterText,numbered,Paragraphe de liste1,Bulletr List Paragraph"/>
    <w:basedOn w:val="Normln"/>
    <w:link w:val="OdstavecseseznamemChar"/>
    <w:uiPriority w:val="34"/>
    <w:qFormat/>
    <w:rsid w:val="00A24C42"/>
    <w:pPr>
      <w:ind w:left="720"/>
      <w:contextualSpacing/>
    </w:pPr>
  </w:style>
  <w:style w:type="character" w:customStyle="1" w:styleId="Zkladntext">
    <w:name w:val="Základní text_"/>
    <w:basedOn w:val="Standardnpsmoodstavce"/>
    <w:link w:val="Zkladntext2"/>
    <w:rsid w:val="0037074F"/>
    <w:rPr>
      <w:sz w:val="22"/>
      <w:szCs w:val="22"/>
      <w:shd w:val="clear" w:color="auto" w:fill="FFFFFF"/>
    </w:rPr>
  </w:style>
  <w:style w:type="paragraph" w:customStyle="1" w:styleId="Zkladntext2">
    <w:name w:val="Základní text2"/>
    <w:basedOn w:val="Normln"/>
    <w:link w:val="Zkladntext"/>
    <w:rsid w:val="0037074F"/>
    <w:pPr>
      <w:shd w:val="clear" w:color="auto" w:fill="FFFFFF"/>
      <w:spacing w:before="180" w:after="0" w:line="245" w:lineRule="exact"/>
      <w:ind w:hanging="440"/>
      <w:jc w:val="center"/>
    </w:pPr>
    <w:rPr>
      <w:szCs w:val="22"/>
      <w:lang w:eastAsia="cs-CZ"/>
    </w:rPr>
  </w:style>
  <w:style w:type="character" w:customStyle="1" w:styleId="platne">
    <w:name w:val="platne"/>
    <w:rsid w:val="00675BCD"/>
    <w:rPr>
      <w:rFonts w:cs="Times New Roman"/>
    </w:rPr>
  </w:style>
  <w:style w:type="numbering" w:customStyle="1" w:styleId="Importovanstyl3">
    <w:name w:val="Importovaný styl 3"/>
    <w:rsid w:val="00675BCD"/>
    <w:pPr>
      <w:numPr>
        <w:numId w:val="19"/>
      </w:numPr>
    </w:pPr>
  </w:style>
  <w:style w:type="paragraph" w:customStyle="1" w:styleId="Normal4">
    <w:name w:val="Normal 4"/>
    <w:basedOn w:val="Normln"/>
    <w:rsid w:val="00EF0B76"/>
    <w:pPr>
      <w:tabs>
        <w:tab w:val="left" w:pos="709"/>
      </w:tabs>
      <w:autoSpaceDE w:val="0"/>
      <w:autoSpaceDN w:val="0"/>
      <w:spacing w:before="60"/>
      <w:ind w:left="2977"/>
    </w:pPr>
    <w:rPr>
      <w:szCs w:val="22"/>
      <w:lang w:val="en-GB"/>
    </w:rPr>
  </w:style>
  <w:style w:type="paragraph" w:customStyle="1" w:styleId="Normal2">
    <w:name w:val="Normal 2"/>
    <w:basedOn w:val="Normln"/>
    <w:rsid w:val="00EF0B76"/>
    <w:pPr>
      <w:tabs>
        <w:tab w:val="left" w:pos="709"/>
      </w:tabs>
      <w:autoSpaceDE w:val="0"/>
      <w:autoSpaceDN w:val="0"/>
      <w:spacing w:before="60"/>
      <w:ind w:left="1418"/>
    </w:pPr>
    <w:rPr>
      <w:szCs w:val="22"/>
      <w:lang w:val="en-GB"/>
    </w:rPr>
  </w:style>
  <w:style w:type="paragraph" w:customStyle="1" w:styleId="Normal3">
    <w:name w:val="Normal 3"/>
    <w:basedOn w:val="Normln"/>
    <w:rsid w:val="00EF0B76"/>
    <w:pPr>
      <w:tabs>
        <w:tab w:val="left" w:pos="709"/>
      </w:tabs>
      <w:autoSpaceDE w:val="0"/>
      <w:autoSpaceDN w:val="0"/>
      <w:spacing w:before="60"/>
      <w:ind w:left="2126"/>
    </w:pPr>
    <w:rPr>
      <w:szCs w:val="22"/>
      <w:lang w:val="en-GB"/>
    </w:rPr>
  </w:style>
  <w:style w:type="character" w:customStyle="1" w:styleId="OdstavecseseznamemChar">
    <w:name w:val="Odstavec se seznamem Char"/>
    <w:aliases w:val="Bullet Number Char,A-Odrážky1 Char,Reference List Char,Nad Char,Odstavec cíl se seznamem Char,Odstavec se seznamem5 Char,Odstavec_muj Char,Odstavec s názvem Char,Odstavec 1 Char,cp_Odstavec se seznamem Char,Bullet List Char"/>
    <w:link w:val="Odstavecseseznamem"/>
    <w:uiPriority w:val="34"/>
    <w:qFormat/>
    <w:locked/>
    <w:rsid w:val="001A6FD9"/>
    <w:rPr>
      <w:sz w:val="22"/>
      <w:szCs w:val="24"/>
      <w:lang w:eastAsia="en-US"/>
    </w:rPr>
  </w:style>
  <w:style w:type="character" w:customStyle="1" w:styleId="rynqvb">
    <w:name w:val="rynqvb"/>
    <w:basedOn w:val="Standardnpsmoodstavce"/>
    <w:rsid w:val="001A6FD9"/>
  </w:style>
  <w:style w:type="paragraph" w:styleId="Bezmezer">
    <w:name w:val="No Spacing"/>
    <w:uiPriority w:val="1"/>
    <w:qFormat/>
    <w:rsid w:val="003369A9"/>
    <w:pPr>
      <w:jc w:val="both"/>
    </w:pPr>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719">
      <w:bodyDiv w:val="1"/>
      <w:marLeft w:val="0"/>
      <w:marRight w:val="0"/>
      <w:marTop w:val="0"/>
      <w:marBottom w:val="0"/>
      <w:divBdr>
        <w:top w:val="none" w:sz="0" w:space="0" w:color="auto"/>
        <w:left w:val="none" w:sz="0" w:space="0" w:color="auto"/>
        <w:bottom w:val="none" w:sz="0" w:space="0" w:color="auto"/>
        <w:right w:val="none" w:sz="0" w:space="0" w:color="auto"/>
      </w:divBdr>
    </w:div>
    <w:div w:id="135075583">
      <w:bodyDiv w:val="1"/>
      <w:marLeft w:val="0"/>
      <w:marRight w:val="0"/>
      <w:marTop w:val="0"/>
      <w:marBottom w:val="0"/>
      <w:divBdr>
        <w:top w:val="none" w:sz="0" w:space="0" w:color="auto"/>
        <w:left w:val="none" w:sz="0" w:space="0" w:color="auto"/>
        <w:bottom w:val="none" w:sz="0" w:space="0" w:color="auto"/>
        <w:right w:val="none" w:sz="0" w:space="0" w:color="auto"/>
      </w:divBdr>
    </w:div>
    <w:div w:id="198779667">
      <w:bodyDiv w:val="1"/>
      <w:marLeft w:val="0"/>
      <w:marRight w:val="0"/>
      <w:marTop w:val="0"/>
      <w:marBottom w:val="0"/>
      <w:divBdr>
        <w:top w:val="none" w:sz="0" w:space="0" w:color="auto"/>
        <w:left w:val="none" w:sz="0" w:space="0" w:color="auto"/>
        <w:bottom w:val="none" w:sz="0" w:space="0" w:color="auto"/>
        <w:right w:val="none" w:sz="0" w:space="0" w:color="auto"/>
      </w:divBdr>
    </w:div>
    <w:div w:id="259072854">
      <w:bodyDiv w:val="1"/>
      <w:marLeft w:val="0"/>
      <w:marRight w:val="0"/>
      <w:marTop w:val="0"/>
      <w:marBottom w:val="0"/>
      <w:divBdr>
        <w:top w:val="none" w:sz="0" w:space="0" w:color="auto"/>
        <w:left w:val="none" w:sz="0" w:space="0" w:color="auto"/>
        <w:bottom w:val="none" w:sz="0" w:space="0" w:color="auto"/>
        <w:right w:val="none" w:sz="0" w:space="0" w:color="auto"/>
      </w:divBdr>
    </w:div>
    <w:div w:id="315035835">
      <w:bodyDiv w:val="1"/>
      <w:marLeft w:val="0"/>
      <w:marRight w:val="0"/>
      <w:marTop w:val="0"/>
      <w:marBottom w:val="0"/>
      <w:divBdr>
        <w:top w:val="none" w:sz="0" w:space="0" w:color="auto"/>
        <w:left w:val="none" w:sz="0" w:space="0" w:color="auto"/>
        <w:bottom w:val="none" w:sz="0" w:space="0" w:color="auto"/>
        <w:right w:val="none" w:sz="0" w:space="0" w:color="auto"/>
      </w:divBdr>
      <w:divsChild>
        <w:div w:id="1963266038">
          <w:marLeft w:val="0"/>
          <w:marRight w:val="0"/>
          <w:marTop w:val="0"/>
          <w:marBottom w:val="0"/>
          <w:divBdr>
            <w:top w:val="none" w:sz="0" w:space="0" w:color="auto"/>
            <w:left w:val="none" w:sz="0" w:space="0" w:color="auto"/>
            <w:bottom w:val="none" w:sz="0" w:space="0" w:color="auto"/>
            <w:right w:val="none" w:sz="0" w:space="0" w:color="auto"/>
          </w:divBdr>
        </w:div>
      </w:divsChild>
    </w:div>
    <w:div w:id="567887243">
      <w:bodyDiv w:val="1"/>
      <w:marLeft w:val="0"/>
      <w:marRight w:val="0"/>
      <w:marTop w:val="0"/>
      <w:marBottom w:val="0"/>
      <w:divBdr>
        <w:top w:val="none" w:sz="0" w:space="0" w:color="auto"/>
        <w:left w:val="none" w:sz="0" w:space="0" w:color="auto"/>
        <w:bottom w:val="none" w:sz="0" w:space="0" w:color="auto"/>
        <w:right w:val="none" w:sz="0" w:space="0" w:color="auto"/>
      </w:divBdr>
      <w:divsChild>
        <w:div w:id="200822591">
          <w:marLeft w:val="0"/>
          <w:marRight w:val="0"/>
          <w:marTop w:val="0"/>
          <w:marBottom w:val="0"/>
          <w:divBdr>
            <w:top w:val="none" w:sz="0" w:space="0" w:color="auto"/>
            <w:left w:val="none" w:sz="0" w:space="0" w:color="auto"/>
            <w:bottom w:val="none" w:sz="0" w:space="0" w:color="auto"/>
            <w:right w:val="none" w:sz="0" w:space="0" w:color="auto"/>
          </w:divBdr>
        </w:div>
      </w:divsChild>
    </w:div>
    <w:div w:id="874467428">
      <w:bodyDiv w:val="1"/>
      <w:marLeft w:val="0"/>
      <w:marRight w:val="0"/>
      <w:marTop w:val="0"/>
      <w:marBottom w:val="0"/>
      <w:divBdr>
        <w:top w:val="none" w:sz="0" w:space="0" w:color="auto"/>
        <w:left w:val="none" w:sz="0" w:space="0" w:color="auto"/>
        <w:bottom w:val="none" w:sz="0" w:space="0" w:color="auto"/>
        <w:right w:val="none" w:sz="0" w:space="0" w:color="auto"/>
      </w:divBdr>
    </w:div>
    <w:div w:id="1059672569">
      <w:bodyDiv w:val="1"/>
      <w:marLeft w:val="0"/>
      <w:marRight w:val="0"/>
      <w:marTop w:val="0"/>
      <w:marBottom w:val="0"/>
      <w:divBdr>
        <w:top w:val="none" w:sz="0" w:space="0" w:color="auto"/>
        <w:left w:val="none" w:sz="0" w:space="0" w:color="auto"/>
        <w:bottom w:val="none" w:sz="0" w:space="0" w:color="auto"/>
        <w:right w:val="none" w:sz="0" w:space="0" w:color="auto"/>
      </w:divBdr>
    </w:div>
    <w:div w:id="1079257498">
      <w:bodyDiv w:val="1"/>
      <w:marLeft w:val="0"/>
      <w:marRight w:val="0"/>
      <w:marTop w:val="0"/>
      <w:marBottom w:val="0"/>
      <w:divBdr>
        <w:top w:val="none" w:sz="0" w:space="0" w:color="auto"/>
        <w:left w:val="none" w:sz="0" w:space="0" w:color="auto"/>
        <w:bottom w:val="none" w:sz="0" w:space="0" w:color="auto"/>
        <w:right w:val="none" w:sz="0" w:space="0" w:color="auto"/>
      </w:divBdr>
    </w:div>
    <w:div w:id="1095634773">
      <w:bodyDiv w:val="1"/>
      <w:marLeft w:val="0"/>
      <w:marRight w:val="0"/>
      <w:marTop w:val="0"/>
      <w:marBottom w:val="0"/>
      <w:divBdr>
        <w:top w:val="none" w:sz="0" w:space="0" w:color="auto"/>
        <w:left w:val="none" w:sz="0" w:space="0" w:color="auto"/>
        <w:bottom w:val="none" w:sz="0" w:space="0" w:color="auto"/>
        <w:right w:val="none" w:sz="0" w:space="0" w:color="auto"/>
      </w:divBdr>
    </w:div>
    <w:div w:id="1271820999">
      <w:bodyDiv w:val="1"/>
      <w:marLeft w:val="0"/>
      <w:marRight w:val="0"/>
      <w:marTop w:val="0"/>
      <w:marBottom w:val="0"/>
      <w:divBdr>
        <w:top w:val="none" w:sz="0" w:space="0" w:color="auto"/>
        <w:left w:val="none" w:sz="0" w:space="0" w:color="auto"/>
        <w:bottom w:val="none" w:sz="0" w:space="0" w:color="auto"/>
        <w:right w:val="none" w:sz="0" w:space="0" w:color="auto"/>
      </w:divBdr>
    </w:div>
    <w:div w:id="1359427367">
      <w:bodyDiv w:val="1"/>
      <w:marLeft w:val="0"/>
      <w:marRight w:val="0"/>
      <w:marTop w:val="0"/>
      <w:marBottom w:val="0"/>
      <w:divBdr>
        <w:top w:val="none" w:sz="0" w:space="0" w:color="auto"/>
        <w:left w:val="none" w:sz="0" w:space="0" w:color="auto"/>
        <w:bottom w:val="none" w:sz="0" w:space="0" w:color="auto"/>
        <w:right w:val="none" w:sz="0" w:space="0" w:color="auto"/>
      </w:divBdr>
    </w:div>
    <w:div w:id="1402950359">
      <w:bodyDiv w:val="1"/>
      <w:marLeft w:val="0"/>
      <w:marRight w:val="0"/>
      <w:marTop w:val="0"/>
      <w:marBottom w:val="0"/>
      <w:divBdr>
        <w:top w:val="none" w:sz="0" w:space="0" w:color="auto"/>
        <w:left w:val="none" w:sz="0" w:space="0" w:color="auto"/>
        <w:bottom w:val="none" w:sz="0" w:space="0" w:color="auto"/>
        <w:right w:val="none" w:sz="0" w:space="0" w:color="auto"/>
      </w:divBdr>
    </w:div>
    <w:div w:id="1472020494">
      <w:bodyDiv w:val="1"/>
      <w:marLeft w:val="0"/>
      <w:marRight w:val="0"/>
      <w:marTop w:val="0"/>
      <w:marBottom w:val="0"/>
      <w:divBdr>
        <w:top w:val="none" w:sz="0" w:space="0" w:color="auto"/>
        <w:left w:val="none" w:sz="0" w:space="0" w:color="auto"/>
        <w:bottom w:val="none" w:sz="0" w:space="0" w:color="auto"/>
        <w:right w:val="none" w:sz="0" w:space="0" w:color="auto"/>
      </w:divBdr>
    </w:div>
    <w:div w:id="1525750407">
      <w:bodyDiv w:val="1"/>
      <w:marLeft w:val="0"/>
      <w:marRight w:val="0"/>
      <w:marTop w:val="0"/>
      <w:marBottom w:val="0"/>
      <w:divBdr>
        <w:top w:val="none" w:sz="0" w:space="0" w:color="auto"/>
        <w:left w:val="none" w:sz="0" w:space="0" w:color="auto"/>
        <w:bottom w:val="none" w:sz="0" w:space="0" w:color="auto"/>
        <w:right w:val="none" w:sz="0" w:space="0" w:color="auto"/>
      </w:divBdr>
    </w:div>
    <w:div w:id="1717050628">
      <w:bodyDiv w:val="1"/>
      <w:marLeft w:val="0"/>
      <w:marRight w:val="0"/>
      <w:marTop w:val="0"/>
      <w:marBottom w:val="0"/>
      <w:divBdr>
        <w:top w:val="none" w:sz="0" w:space="0" w:color="auto"/>
        <w:left w:val="none" w:sz="0" w:space="0" w:color="auto"/>
        <w:bottom w:val="none" w:sz="0" w:space="0" w:color="auto"/>
        <w:right w:val="none" w:sz="0" w:space="0" w:color="auto"/>
      </w:divBdr>
    </w:div>
    <w:div w:id="1870147691">
      <w:bodyDiv w:val="1"/>
      <w:marLeft w:val="0"/>
      <w:marRight w:val="0"/>
      <w:marTop w:val="0"/>
      <w:marBottom w:val="0"/>
      <w:divBdr>
        <w:top w:val="none" w:sz="0" w:space="0" w:color="auto"/>
        <w:left w:val="none" w:sz="0" w:space="0" w:color="auto"/>
        <w:bottom w:val="none" w:sz="0" w:space="0" w:color="auto"/>
        <w:right w:val="none" w:sz="0" w:space="0" w:color="auto"/>
      </w:divBdr>
    </w:div>
    <w:div w:id="196399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0A4B-6FD0-4460-B8EB-B49D543A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5435</Words>
  <Characters>32073</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2023-12-21T14:46:00Z</dcterms:created>
  <dcterms:modified xsi:type="dcterms:W3CDTF">2023-12-21T14:46:00Z</dcterms:modified>
</cp:coreProperties>
</file>