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CE71" w14:textId="77777777" w:rsid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lang w:val="cs-CZ" w:eastAsia="en-US"/>
        </w:rPr>
      </w:pPr>
    </w:p>
    <w:p w14:paraId="2A226012" w14:textId="1F5D32EF" w:rsidR="006B61FC" w:rsidRP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shd w:val="clear" w:color="auto" w:fill="FFFFFF"/>
          <w:lang w:val="cs-CZ" w:eastAsia="en-US"/>
        </w:rPr>
      </w:pPr>
      <w:r w:rsidRPr="006B61FC">
        <w:rPr>
          <w:rFonts w:eastAsia="Calibri"/>
          <w:b/>
          <w:szCs w:val="24"/>
          <w:u w:val="single"/>
          <w:lang w:val="cs-CZ" w:eastAsia="en-US"/>
        </w:rPr>
        <w:t>Čestné prohlášení k o</w:t>
      </w:r>
      <w:r w:rsidRPr="006B61FC">
        <w:rPr>
          <w:rFonts w:eastAsia="Times New Roman"/>
          <w:b/>
          <w:color w:val="333333"/>
          <w:szCs w:val="24"/>
          <w:u w:val="single"/>
          <w:lang w:val="cs-CZ"/>
        </w:rPr>
        <w:t>mezujícím opatřením ve vztahu k sankcím spojeným s porušováním mezinárodních práv a konfliktem na Ukrajině</w:t>
      </w:r>
    </w:p>
    <w:p w14:paraId="03CC6CAF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</w:p>
    <w:p w14:paraId="54721664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  <w:r w:rsidRPr="006B61FC">
        <w:rPr>
          <w:b/>
          <w:sz w:val="22"/>
          <w:szCs w:val="22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6B61FC" w:rsidRPr="006B61FC" w14:paraId="68F72E5D" w14:textId="77777777" w:rsidTr="005A58F5">
        <w:tc>
          <w:tcPr>
            <w:tcW w:w="3227" w:type="dxa"/>
            <w:shd w:val="clear" w:color="auto" w:fill="D9D9D9"/>
          </w:tcPr>
          <w:p w14:paraId="37D1E999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0AFB624F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24E5B422" w14:textId="77777777" w:rsidTr="005A58F5">
        <w:tc>
          <w:tcPr>
            <w:tcW w:w="3227" w:type="dxa"/>
            <w:shd w:val="clear" w:color="auto" w:fill="D9D9D9"/>
          </w:tcPr>
          <w:p w14:paraId="6DBA926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29906E56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470D85D9" w14:textId="77777777" w:rsidTr="005A58F5">
        <w:tc>
          <w:tcPr>
            <w:tcW w:w="3227" w:type="dxa"/>
            <w:shd w:val="clear" w:color="auto" w:fill="D9D9D9"/>
          </w:tcPr>
          <w:p w14:paraId="1B3C3C7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70E973D4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</w:tbl>
    <w:p w14:paraId="6CD4BD28" w14:textId="791F59CB" w:rsidR="006B61FC" w:rsidRPr="006B61FC" w:rsidRDefault="006B61FC" w:rsidP="006B61FC">
      <w:pPr>
        <w:widowControl w:val="0"/>
        <w:spacing w:before="240" w:after="120" w:line="276" w:lineRule="auto"/>
        <w:rPr>
          <w:rFonts w:eastAsia="Calibri"/>
          <w:bCs/>
          <w:color w:val="000000" w:themeColor="text1"/>
          <w:sz w:val="22"/>
          <w:szCs w:val="22"/>
          <w:lang w:val="cs-CZ" w:eastAsia="en-US"/>
        </w:rPr>
      </w:pPr>
      <w:r w:rsidRPr="006B61FC">
        <w:rPr>
          <w:rFonts w:eastAsia="Calibri"/>
          <w:bCs/>
          <w:sz w:val="22"/>
          <w:szCs w:val="22"/>
          <w:lang w:val="cs-CZ" w:eastAsia="en-US"/>
        </w:rPr>
        <w:t>tímto ve vztahu k veřejné zakázce s názvem „</w:t>
      </w:r>
      <w:r w:rsidR="00DD1879" w:rsidRPr="00DD1879">
        <w:rPr>
          <w:rFonts w:eastAsia="Calibri"/>
          <w:b/>
          <w:bCs/>
          <w:sz w:val="22"/>
          <w:szCs w:val="22"/>
          <w:lang w:eastAsia="en-US"/>
        </w:rPr>
        <w:t>Dětská skupina Starý Mateřov – gastro</w:t>
      </w:r>
      <w:r w:rsidRPr="006B61FC">
        <w:rPr>
          <w:rFonts w:eastAsia="Calibri"/>
          <w:sz w:val="22"/>
          <w:szCs w:val="22"/>
          <w:lang w:val="cs-CZ" w:eastAsia="en-US"/>
        </w:rPr>
        <w:t>“</w:t>
      </w:r>
      <w:r w:rsidRPr="006B61FC">
        <w:rPr>
          <w:rFonts w:eastAsia="Calibri"/>
          <w:bCs/>
          <w:sz w:val="22"/>
          <w:szCs w:val="22"/>
          <w:lang w:val="cs-CZ" w:eastAsia="en-US"/>
        </w:rPr>
        <w:t xml:space="preserve"> prohlašuje, že:</w:t>
      </w:r>
    </w:p>
    <w:p w14:paraId="386993E1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bCs/>
          <w:color w:val="000000" w:themeColor="text1"/>
          <w:sz w:val="22"/>
          <w:szCs w:val="22"/>
          <w:lang w:val="cs-CZ"/>
        </w:rPr>
        <w:t xml:space="preserve">není osobou </w:t>
      </w: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6B61FC">
        <w:rPr>
          <w:rFonts w:eastAsia="Calibri"/>
          <w:color w:val="000000" w:themeColor="text1"/>
          <w:sz w:val="22"/>
          <w:szCs w:val="22"/>
          <w:vertAlign w:val="superscript"/>
          <w:lang w:val="cs-CZ" w:eastAsia="en-US"/>
        </w:rPr>
        <w:footnoteReference w:id="2"/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.</w:t>
      </w:r>
    </w:p>
    <w:p w14:paraId="455AEB64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žádné finanční prostředky, které obdrží za plnění veřejné zakázky, přímo ani nepřímo nezpřístupní fyzickým nebo právnickým osobám, subjektům či orgánům s nimi spojeným nebo v jejich prospěch uvedeným v sankčním seznamu v příloze nařízení Rady (EU) č. 269/2014 ze dne 17. března 2014, o omezujících opatřeních vzhledem k činnostem narušujícím nebo ohrožujícím územní celistvost, svrchovanost a 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 765/2006 ze dne 18. května 2006 o omezujících opatřeních vůči prezidentu Lukašenkovi a některým představitelům Běloruska (ve znění pozdějších aktualizací).</w:t>
      </w:r>
    </w:p>
    <w:p w14:paraId="4C052E33" w14:textId="77777777" w:rsidR="006B61FC" w:rsidRPr="006B61FC" w:rsidRDefault="006B61FC" w:rsidP="006B61FC">
      <w:pPr>
        <w:widowControl w:val="0"/>
        <w:spacing w:before="600" w:after="12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lang w:val="cs-CZ"/>
        </w:rPr>
        <w:t xml:space="preserve">V </w:t>
      </w: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dne </w:t>
      </w:r>
      <w:r w:rsidRPr="006B61FC">
        <w:rPr>
          <w:sz w:val="22"/>
          <w:szCs w:val="22"/>
          <w:highlight w:val="yellow"/>
          <w:lang w:val="cs-CZ"/>
        </w:rPr>
        <w:t>[DOPLNÍ ÚČASTNÍK]</w:t>
      </w:r>
    </w:p>
    <w:p w14:paraId="7DCA3051" w14:textId="77777777" w:rsidR="006B61FC" w:rsidRPr="006B61FC" w:rsidRDefault="006B61FC" w:rsidP="006B61FC">
      <w:pPr>
        <w:widowControl w:val="0"/>
        <w:spacing w:before="48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</w:t>
      </w:r>
    </w:p>
    <w:p w14:paraId="50AC92CE" w14:textId="77777777" w:rsidR="006B61FC" w:rsidRPr="006B61FC" w:rsidRDefault="006B61FC" w:rsidP="006B61FC">
      <w:pPr>
        <w:rPr>
          <w:sz w:val="20"/>
          <w:lang w:val="cs-CZ"/>
        </w:rPr>
      </w:pPr>
      <w:r w:rsidRPr="006B61FC">
        <w:rPr>
          <w:sz w:val="22"/>
          <w:szCs w:val="22"/>
          <w:lang w:val="cs-CZ"/>
        </w:rPr>
        <w:t>[jméno oprávněné osoby / označení funkce]</w:t>
      </w:r>
    </w:p>
    <w:p w14:paraId="6B966303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D396" w14:textId="77777777" w:rsidR="006B61FC" w:rsidRDefault="006B61FC" w:rsidP="006B61FC">
      <w:r>
        <w:separator/>
      </w:r>
    </w:p>
  </w:endnote>
  <w:endnote w:type="continuationSeparator" w:id="0">
    <w:p w14:paraId="40119831" w14:textId="77777777" w:rsidR="006B61FC" w:rsidRDefault="006B61FC" w:rsidP="006B61FC">
      <w:r>
        <w:continuationSeparator/>
      </w:r>
    </w:p>
  </w:endnote>
  <w:endnote w:type="continuationNotice" w:id="1">
    <w:p w14:paraId="2D7C90C5" w14:textId="77777777" w:rsidR="006A7DA1" w:rsidRDefault="006A7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45F" w14:textId="77777777" w:rsidR="006F3437" w:rsidRDefault="006F34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086132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97A98D9" w14:textId="77777777" w:rsidR="006B61FC" w:rsidRPr="00B25CA6" w:rsidRDefault="006B61FC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25CA6">
          <w:rPr>
            <w:rFonts w:ascii="Segoe UI" w:hAnsi="Segoe UI" w:cs="Segoe UI"/>
            <w:sz w:val="22"/>
            <w:szCs w:val="22"/>
          </w:rPr>
          <w:fldChar w:fldCharType="begin"/>
        </w:r>
        <w:r w:rsidRPr="00B25CA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25CA6">
          <w:rPr>
            <w:rFonts w:ascii="Segoe UI" w:hAnsi="Segoe UI" w:cs="Segoe UI"/>
            <w:sz w:val="22"/>
            <w:szCs w:val="22"/>
          </w:rPr>
          <w:fldChar w:fldCharType="separate"/>
        </w:r>
        <w:r w:rsidRPr="00B25CA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25CA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F467C26" w14:textId="77777777" w:rsidR="006B61FC" w:rsidRDefault="006B61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3F69" w14:textId="77777777" w:rsidR="006F3437" w:rsidRDefault="006F34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9F9F" w14:textId="77777777" w:rsidR="006B61FC" w:rsidRDefault="006B61FC" w:rsidP="006B61FC">
      <w:r>
        <w:separator/>
      </w:r>
    </w:p>
  </w:footnote>
  <w:footnote w:type="continuationSeparator" w:id="0">
    <w:p w14:paraId="28F20578" w14:textId="77777777" w:rsidR="006B61FC" w:rsidRDefault="006B61FC" w:rsidP="006B61FC">
      <w:r>
        <w:continuationSeparator/>
      </w:r>
    </w:p>
  </w:footnote>
  <w:footnote w:type="continuationNotice" w:id="1">
    <w:p w14:paraId="1418E168" w14:textId="77777777" w:rsidR="006A7DA1" w:rsidRDefault="006A7DA1"/>
  </w:footnote>
  <w:footnote w:id="2">
    <w:p w14:paraId="0788BA96" w14:textId="77777777" w:rsidR="006B61FC" w:rsidRPr="00B560BC" w:rsidRDefault="006B61FC" w:rsidP="006B61FC">
      <w:pPr>
        <w:pStyle w:val="Textpoznpodarou"/>
        <w:spacing w:before="120"/>
        <w:jc w:val="both"/>
        <w:rPr>
          <w:rFonts w:ascii="Segoe UI" w:hAnsi="Segoe UI" w:cs="Segoe UI"/>
        </w:rPr>
      </w:pPr>
      <w:r w:rsidRPr="00B560BC">
        <w:rPr>
          <w:rStyle w:val="Znakapoznpodarou"/>
          <w:rFonts w:ascii="Segoe UI" w:hAnsi="Segoe UI" w:cs="Segoe UI"/>
        </w:rPr>
        <w:footnoteRef/>
      </w:r>
      <w:r w:rsidRPr="00B560BC">
        <w:rPr>
          <w:rFonts w:ascii="Segoe UI" w:hAnsi="Segoe UI" w:cs="Segoe UI"/>
        </w:rPr>
        <w:t xml:space="preserve"> Aktualizovaný seznam sankcionovaných osob je uveden například na internetových stránkách Finančního analytického úřadu zde </w:t>
      </w:r>
      <w:hyperlink r:id="rId1" w:anchor="rusko-seznam-sankcionovanych-osob" w:history="1">
        <w:r w:rsidRPr="00B560BC">
          <w:rPr>
            <w:rStyle w:val="Hypertextovodkaz"/>
            <w:rFonts w:ascii="Segoe UI" w:hAnsi="Segoe UI" w:cs="Segoe UI"/>
          </w:rPr>
          <w:t>https://www.financnianalytickyurad.cz/povinne-osoby-dle-zakona-c-2532008-sb#rusko-seznam-sankcionovanych-osob</w:t>
        </w:r>
      </w:hyperlink>
      <w:r w:rsidRPr="00B560BC">
        <w:rPr>
          <w:rFonts w:ascii="Segoe UI" w:hAnsi="Segoe UI" w:cs="Segoe U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EC14" w14:textId="77777777" w:rsidR="006F3437" w:rsidRDefault="006F34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C67D" w14:textId="77777777" w:rsidR="006B61FC" w:rsidRDefault="006B61FC" w:rsidP="00857BC9">
    <w:pPr>
      <w:pStyle w:val="Zhlav"/>
      <w:jc w:val="center"/>
      <w:rPr>
        <w:rFonts w:ascii="Segoe UI" w:hAnsi="Segoe UI" w:cs="Segoe UI"/>
        <w:sz w:val="22"/>
        <w:szCs w:val="22"/>
        <w:lang w:val="cs-CZ"/>
      </w:rPr>
    </w:pPr>
    <w:r>
      <w:rPr>
        <w:noProof/>
      </w:rPr>
      <w:drawing>
        <wp:inline distT="0" distB="0" distL="0" distR="0" wp14:anchorId="3A7368A0" wp14:editId="7881A52D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55B16" w14:textId="4A6F49F7" w:rsidR="006B61FC" w:rsidRPr="00EC5E93" w:rsidRDefault="006B61FC" w:rsidP="00EC5E93">
    <w:pPr>
      <w:pStyle w:val="Zhlav"/>
      <w:rPr>
        <w:rFonts w:ascii="Segoe UI" w:hAnsi="Segoe UI" w:cs="Segoe UI"/>
        <w:sz w:val="22"/>
        <w:szCs w:val="22"/>
        <w:lang w:val="cs-CZ"/>
      </w:rPr>
    </w:pPr>
    <w:r w:rsidRPr="00A95000">
      <w:rPr>
        <w:rFonts w:ascii="Segoe UI" w:hAnsi="Segoe UI" w:cs="Segoe UI"/>
        <w:sz w:val="22"/>
        <w:szCs w:val="22"/>
        <w:lang w:val="cs-CZ"/>
      </w:rPr>
      <w:t xml:space="preserve">Příloha </w:t>
    </w:r>
    <w:r>
      <w:rPr>
        <w:rFonts w:ascii="Segoe UI" w:hAnsi="Segoe UI" w:cs="Segoe UI"/>
        <w:sz w:val="22"/>
        <w:szCs w:val="22"/>
        <w:lang w:val="cs-CZ"/>
      </w:rPr>
      <w:t xml:space="preserve">č. </w:t>
    </w:r>
    <w:r w:rsidR="00FB1B26">
      <w:rPr>
        <w:rFonts w:ascii="Segoe UI" w:hAnsi="Segoe UI" w:cs="Segoe UI"/>
        <w:sz w:val="22"/>
        <w:szCs w:val="22"/>
        <w:lang w:val="cs-CZ"/>
      </w:rPr>
      <w:t>6</w:t>
    </w:r>
    <w:r>
      <w:rPr>
        <w:rFonts w:ascii="Segoe UI" w:hAnsi="Segoe UI" w:cs="Segoe UI"/>
        <w:sz w:val="22"/>
        <w:szCs w:val="22"/>
        <w:lang w:val="cs-CZ"/>
      </w:rPr>
      <w:t xml:space="preserve"> </w:t>
    </w:r>
    <w:r w:rsidR="00FB1B26">
      <w:rPr>
        <w:rFonts w:ascii="Segoe UI" w:hAnsi="Segoe UI" w:cs="Segoe UI"/>
        <w:sz w:val="22"/>
        <w:szCs w:val="22"/>
        <w:lang w:val="cs-CZ"/>
      </w:rPr>
      <w:t>výzvy</w:t>
    </w:r>
    <w:r>
      <w:rPr>
        <w:rFonts w:ascii="Segoe UI" w:hAnsi="Segoe UI" w:cs="Segoe UI"/>
        <w:sz w:val="22"/>
        <w:szCs w:val="22"/>
        <w:lang w:val="cs-CZ"/>
      </w:rPr>
      <w:t xml:space="preserve"> -</w:t>
    </w:r>
    <w:r w:rsidRPr="00A95000">
      <w:rPr>
        <w:rFonts w:ascii="Segoe UI" w:hAnsi="Segoe UI" w:cs="Segoe UI"/>
        <w:sz w:val="22"/>
        <w:szCs w:val="22"/>
        <w:lang w:val="cs-CZ"/>
      </w:rPr>
      <w:t xml:space="preserve"> Čestné prohlášení k</w:t>
    </w:r>
    <w:r w:rsidR="006F3437">
      <w:rPr>
        <w:rFonts w:ascii="Segoe UI" w:hAnsi="Segoe UI" w:cs="Segoe UI"/>
        <w:sz w:val="22"/>
        <w:szCs w:val="22"/>
        <w:lang w:val="cs-CZ"/>
      </w:rPr>
      <w:t xml:space="preserve"> mezinárodním </w:t>
    </w:r>
    <w:r>
      <w:rPr>
        <w:rFonts w:ascii="Segoe UI" w:hAnsi="Segoe UI" w:cs="Segoe UI"/>
        <w:sz w:val="22"/>
        <w:szCs w:val="22"/>
        <w:lang w:val="cs-CZ"/>
      </w:rPr>
      <w:t>sankcím</w:t>
    </w:r>
  </w:p>
  <w:p w14:paraId="6593FD15" w14:textId="77777777" w:rsidR="006B61FC" w:rsidRDefault="006B61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1B8" w14:textId="77777777" w:rsidR="006F3437" w:rsidRDefault="006F34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1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FC"/>
    <w:rsid w:val="000710B7"/>
    <w:rsid w:val="00204C93"/>
    <w:rsid w:val="00303448"/>
    <w:rsid w:val="004558D1"/>
    <w:rsid w:val="006A7DA1"/>
    <w:rsid w:val="006B61FC"/>
    <w:rsid w:val="006F3437"/>
    <w:rsid w:val="006F6401"/>
    <w:rsid w:val="00886CB5"/>
    <w:rsid w:val="00995527"/>
    <w:rsid w:val="00A4716C"/>
    <w:rsid w:val="00A67216"/>
    <w:rsid w:val="00AC5D4C"/>
    <w:rsid w:val="00C74A05"/>
    <w:rsid w:val="00CF604F"/>
    <w:rsid w:val="00DD1879"/>
    <w:rsid w:val="00F42941"/>
    <w:rsid w:val="00F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69D"/>
  <w15:chartTrackingRefBased/>
  <w15:docId w15:val="{1DFB3045-E1A8-434C-98BA-6B465E80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F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B61F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1FC"/>
    <w:pPr>
      <w:jc w:val="left"/>
    </w:pPr>
    <w:rPr>
      <w:rFonts w:ascii="Calibri" w:eastAsia="Calibri" w:hAnsi="Calibri"/>
      <w:sz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1F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B61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61FC"/>
    <w:pPr>
      <w:ind w:left="720"/>
      <w:contextualSpacing/>
    </w:pPr>
  </w:style>
  <w:style w:type="paragraph" w:styleId="Zhlav">
    <w:name w:val="header"/>
    <w:aliases w:val="záhlaví"/>
    <w:basedOn w:val="Normln"/>
    <w:link w:val="ZhlavChar"/>
    <w:unhideWhenUsed/>
    <w:rsid w:val="006B61F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61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povinne-osoby-dle-zakona-c-2532008-s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992353-7945-4727-A8BF-E055061B7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8ED33-D333-45E0-AE8D-04A3F76AB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FD5E6E-F3ED-459E-81D1-E0D5FE61AC29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obec Starý Mateřov - starosta</cp:lastModifiedBy>
  <cp:revision>9</cp:revision>
  <dcterms:created xsi:type="dcterms:W3CDTF">2025-04-17T19:17:00Z</dcterms:created>
  <dcterms:modified xsi:type="dcterms:W3CDTF">2025-05-29T15:17:00Z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