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D331" w14:textId="2B216B93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C96CBD">
        <w:rPr>
          <w:rFonts w:ascii="Palatino Linotype" w:eastAsiaTheme="minorEastAsia" w:hAnsi="Palatino Linotype" w:cs="Arial"/>
          <w:b/>
          <w:bCs/>
          <w:sz w:val="20"/>
          <w:szCs w:val="20"/>
        </w:rPr>
        <w:t>3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618E4994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CF4D8D">
        <w:rPr>
          <w:rFonts w:ascii="Palatino Linotype" w:eastAsiaTheme="minorEastAsia" w:hAnsi="Palatino Linotype" w:cs="Arial"/>
          <w:b/>
          <w:bCs/>
          <w:sz w:val="28"/>
          <w:szCs w:val="28"/>
        </w:rPr>
        <w:t>-</w:t>
      </w: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 ZÁKLADNÍ ZPŮSOBILOST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49EDBBEC" w:rsidR="00C0169B" w:rsidRPr="00627C0D" w:rsidRDefault="00486150" w:rsidP="00627C0D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486150">
              <w:rPr>
                <w:rFonts w:ascii="Palatino Linotype" w:eastAsiaTheme="minorEastAsia" w:hAnsi="Palatino Linotype" w:cs="Arial"/>
                <w:b/>
              </w:rPr>
              <w:t>Multifunkční hřiště s ledovou plochou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3ABA6E50" w:rsidR="00C0169B" w:rsidRPr="007B4B68" w:rsidRDefault="00486150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otevřené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18189595" w:rsidR="007B4B68" w:rsidRPr="007B4B68" w:rsidRDefault="00C96CBD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B4B68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51246124" w:rsidR="007B4B68" w:rsidRPr="007B4B68" w:rsidRDefault="00C96CBD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C96CBD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7B4B68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54AADB55" w:rsidR="007B4B68" w:rsidRPr="007B4B68" w:rsidRDefault="00C96CBD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C96CBD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7B4B68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FFE4013" w14:textId="226094FF" w:rsidR="007B4B68" w:rsidRPr="007B4B68" w:rsidRDefault="00C96CBD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C96CBD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CZ00279072</w:t>
            </w:r>
          </w:p>
        </w:tc>
      </w:tr>
      <w:tr w:rsidR="007B4B68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3164C058" w:rsidR="007B4B68" w:rsidRPr="007B4B68" w:rsidRDefault="00E42DF2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Ing. Václav Kubín</w:t>
            </w:r>
            <w:r w:rsidR="00C96CBD">
              <w:rPr>
                <w:rFonts w:ascii="Palatino Linotype" w:hAnsi="Palatino Linotype"/>
                <w:sz w:val="20"/>
                <w:szCs w:val="20"/>
              </w:rPr>
              <w:t>, starosta</w:t>
            </w:r>
            <w:r w:rsidR="00C96CBD" w:rsidRPr="00C96CBD">
              <w:rPr>
                <w:rFonts w:ascii="Palatino Linotype" w:hAnsi="Palatino Linotype"/>
                <w:sz w:val="20"/>
                <w:szCs w:val="20"/>
              </w:rPr>
              <w:t xml:space="preserve">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5922F21C" w14:textId="1F4413E6" w:rsidR="00486150" w:rsidRPr="00CF178F" w:rsidRDefault="00486150" w:rsidP="00486150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</w:t>
      </w:r>
      <w:r w:rsidRPr="00231049">
        <w:rPr>
          <w:rFonts w:ascii="Palatino Linotype" w:hAnsi="Palatino Linotype" w:cs="Arial"/>
          <w:b/>
          <w:sz w:val="20"/>
          <w:szCs w:val="20"/>
        </w:rPr>
        <w:t>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14:paraId="41FEA5A6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a)</w:t>
      </w:r>
      <w:r w:rsidRPr="000D409C">
        <w:rPr>
          <w:rFonts w:ascii="Palatino Linotype" w:hAnsi="Palatino Linotype" w:cs="Arial"/>
          <w:sz w:val="20"/>
          <w:szCs w:val="20"/>
        </w:rPr>
        <w:tab/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6125B76E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I.</w:t>
      </w:r>
      <w:r w:rsidRPr="000D409C">
        <w:rPr>
          <w:rFonts w:ascii="Palatino Linotype" w:hAnsi="Palatino Linotype" w:cs="Arial"/>
          <w:sz w:val="20"/>
          <w:szCs w:val="20"/>
        </w:rPr>
        <w:tab/>
        <w:t>trestný čin spáchaný ve prospěch organizované zločinecké skupiny nebo trestný čin účasti na organizované zločinecké skupině,</w:t>
      </w:r>
    </w:p>
    <w:p w14:paraId="7EFAE6E6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II.</w:t>
      </w:r>
      <w:r w:rsidRPr="000D409C">
        <w:rPr>
          <w:rFonts w:ascii="Palatino Linotype" w:hAnsi="Palatino Linotype" w:cs="Arial"/>
          <w:sz w:val="20"/>
          <w:szCs w:val="20"/>
        </w:rPr>
        <w:tab/>
        <w:t>trestný čin obchodování s lidmi,</w:t>
      </w:r>
    </w:p>
    <w:p w14:paraId="7A7913FD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III.</w:t>
      </w:r>
      <w:r w:rsidRPr="000D409C">
        <w:rPr>
          <w:rFonts w:ascii="Palatino Linotype" w:hAnsi="Palatino Linotype" w:cs="Arial"/>
          <w:sz w:val="20"/>
          <w:szCs w:val="20"/>
        </w:rPr>
        <w:tab/>
        <w:t>tyto trestné činy proti majetku:</w:t>
      </w:r>
    </w:p>
    <w:p w14:paraId="1200DCA8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1.</w:t>
      </w:r>
      <w:r w:rsidRPr="000D409C">
        <w:rPr>
          <w:rFonts w:ascii="Palatino Linotype" w:hAnsi="Palatino Linotype" w:cs="Arial"/>
          <w:sz w:val="20"/>
          <w:szCs w:val="20"/>
        </w:rPr>
        <w:tab/>
        <w:t>podvod,</w:t>
      </w:r>
    </w:p>
    <w:p w14:paraId="461DC35E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2.</w:t>
      </w:r>
      <w:r w:rsidRPr="000D409C">
        <w:rPr>
          <w:rFonts w:ascii="Palatino Linotype" w:hAnsi="Palatino Linotype" w:cs="Arial"/>
          <w:sz w:val="20"/>
          <w:szCs w:val="20"/>
        </w:rPr>
        <w:tab/>
        <w:t>úvěrový podvod,</w:t>
      </w:r>
    </w:p>
    <w:p w14:paraId="7EDCB8AC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3.</w:t>
      </w:r>
      <w:r w:rsidRPr="000D409C">
        <w:rPr>
          <w:rFonts w:ascii="Palatino Linotype" w:hAnsi="Palatino Linotype" w:cs="Arial"/>
          <w:sz w:val="20"/>
          <w:szCs w:val="20"/>
        </w:rPr>
        <w:tab/>
        <w:t>dotační podvod,</w:t>
      </w:r>
    </w:p>
    <w:p w14:paraId="74A5A248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4.</w:t>
      </w:r>
      <w:r w:rsidRPr="000D409C">
        <w:rPr>
          <w:rFonts w:ascii="Palatino Linotype" w:hAnsi="Palatino Linotype" w:cs="Arial"/>
          <w:sz w:val="20"/>
          <w:szCs w:val="20"/>
        </w:rPr>
        <w:tab/>
        <w:t>podílnictví,</w:t>
      </w:r>
    </w:p>
    <w:p w14:paraId="114F917B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5.</w:t>
      </w:r>
      <w:r w:rsidRPr="000D409C">
        <w:rPr>
          <w:rFonts w:ascii="Palatino Linotype" w:hAnsi="Palatino Linotype" w:cs="Arial"/>
          <w:sz w:val="20"/>
          <w:szCs w:val="20"/>
        </w:rPr>
        <w:tab/>
        <w:t>podílnictví z nedbalosti,</w:t>
      </w:r>
    </w:p>
    <w:p w14:paraId="348CCFC3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6.</w:t>
      </w:r>
      <w:r w:rsidRPr="000D409C">
        <w:rPr>
          <w:rFonts w:ascii="Palatino Linotype" w:hAnsi="Palatino Linotype" w:cs="Arial"/>
          <w:sz w:val="20"/>
          <w:szCs w:val="20"/>
        </w:rPr>
        <w:tab/>
        <w:t>legalizace výnosů z trestné činnosti,</w:t>
      </w:r>
    </w:p>
    <w:p w14:paraId="190B2889" w14:textId="77777777" w:rsidR="000D409C" w:rsidRPr="000D409C" w:rsidRDefault="000D409C" w:rsidP="000D409C">
      <w:pPr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7.</w:t>
      </w:r>
      <w:r w:rsidRPr="000D409C">
        <w:rPr>
          <w:rFonts w:ascii="Palatino Linotype" w:hAnsi="Palatino Linotype" w:cs="Arial"/>
          <w:sz w:val="20"/>
          <w:szCs w:val="20"/>
        </w:rPr>
        <w:tab/>
        <w:t>legalizace výnosů z trestné činnosti z nedbalosti,</w:t>
      </w:r>
    </w:p>
    <w:p w14:paraId="5C1EC830" w14:textId="77777777" w:rsidR="000D409C" w:rsidRPr="000D409C" w:rsidRDefault="000D409C" w:rsidP="000D409C">
      <w:pPr>
        <w:ind w:left="567" w:hanging="284"/>
        <w:jc w:val="both"/>
        <w:rPr>
          <w:rFonts w:ascii="Palatino Linotype" w:hAnsi="Palatino Linotype" w:cs="Arial"/>
          <w:sz w:val="20"/>
          <w:szCs w:val="20"/>
        </w:rPr>
      </w:pPr>
      <w:r w:rsidRPr="000D409C">
        <w:rPr>
          <w:rFonts w:ascii="Palatino Linotype" w:hAnsi="Palatino Linotype" w:cs="Arial"/>
          <w:sz w:val="20"/>
          <w:szCs w:val="20"/>
        </w:rPr>
        <w:t>IV.</w:t>
      </w:r>
      <w:r w:rsidRPr="000D409C">
        <w:rPr>
          <w:rFonts w:ascii="Palatino Linotype" w:hAnsi="Palatino Linotype" w:cs="Arial"/>
          <w:sz w:val="20"/>
          <w:szCs w:val="20"/>
        </w:rPr>
        <w:tab/>
        <w:t>tyto trestné činy hospodářské:</w:t>
      </w:r>
    </w:p>
    <w:p w14:paraId="23F2D106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1.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zneužití informace a postavení v obchodním styku,</w:t>
      </w:r>
    </w:p>
    <w:p w14:paraId="3549A920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2.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sjednání výhody při zadání veřejné zakázky, při veřejné soutěži a veřejné dražbě,</w:t>
      </w:r>
    </w:p>
    <w:p w14:paraId="65E9F136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3.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pletichy při zadání veřejné zakázky a při veřejné soutěži,</w:t>
      </w:r>
    </w:p>
    <w:p w14:paraId="5AD7947C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4.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pletichy při veřejné dražbě,</w:t>
      </w:r>
    </w:p>
    <w:p w14:paraId="1B683A28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5.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poškození finančních zájmů Evropské unie,</w:t>
      </w:r>
    </w:p>
    <w:p w14:paraId="088BD399" w14:textId="77777777" w:rsidR="000D409C" w:rsidRPr="000D409C" w:rsidRDefault="000D409C" w:rsidP="000D409C">
      <w:pPr>
        <w:ind w:left="567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obecně nebezpečné,</w:t>
      </w:r>
    </w:p>
    <w:p w14:paraId="7741377F" w14:textId="77777777" w:rsidR="000D409C" w:rsidRPr="000D409C" w:rsidRDefault="000D409C" w:rsidP="000D409C">
      <w:pPr>
        <w:ind w:left="567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VI.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proti České republice, cizímu státu a mezinárodní organizaci,</w:t>
      </w:r>
    </w:p>
    <w:p w14:paraId="1BFAF5B4" w14:textId="77777777" w:rsidR="000D409C" w:rsidRPr="000D409C" w:rsidRDefault="000D409C" w:rsidP="000D409C">
      <w:pPr>
        <w:ind w:left="567" w:hanging="425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VII.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tyto trestné činy proti pořádku ve věcech veřejných</w:t>
      </w:r>
    </w:p>
    <w:p w14:paraId="05B0C9E5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1.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proti výkonu pravomoci orgánu veřejné moci a úřední osoby,</w:t>
      </w:r>
    </w:p>
    <w:p w14:paraId="6A3DFEF3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2.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trestné činy úředních osob,</w:t>
      </w:r>
    </w:p>
    <w:p w14:paraId="676AA949" w14:textId="77777777" w:rsidR="000D409C" w:rsidRPr="000D409C" w:rsidRDefault="000D409C" w:rsidP="000D409C">
      <w:pPr>
        <w:tabs>
          <w:tab w:val="left" w:pos="708"/>
          <w:tab w:val="left" w:pos="1416"/>
          <w:tab w:val="left" w:pos="2595"/>
        </w:tabs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3.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úplatkářství,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</w:r>
    </w:p>
    <w:p w14:paraId="01ED3CC6" w14:textId="77777777" w:rsidR="000D409C" w:rsidRPr="000D409C" w:rsidRDefault="000D409C" w:rsidP="000D409C">
      <w:pPr>
        <w:ind w:left="851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4.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jiná rušení činnosti orgánu veřejné moci.</w:t>
      </w:r>
    </w:p>
    <w:p w14:paraId="054136F3" w14:textId="77777777" w:rsidR="000D409C" w:rsidRPr="000D409C" w:rsidRDefault="000D409C" w:rsidP="000D409C">
      <w:pPr>
        <w:ind w:left="227"/>
        <w:contextualSpacing/>
        <w:jc w:val="both"/>
        <w:rPr>
          <w:rFonts w:ascii="Palatino Linotype" w:hAnsi="Palatino Linotype" w:cs="Calibri"/>
          <w:i/>
          <w:sz w:val="20"/>
          <w:szCs w:val="20"/>
          <w:lang w:eastAsia="ar-SA"/>
        </w:rPr>
      </w:pPr>
      <w:r w:rsidRPr="000D409C">
        <w:rPr>
          <w:rFonts w:ascii="Palatino Linotype" w:hAnsi="Palatino Linotype" w:cs="Calibri"/>
          <w:i/>
          <w:sz w:val="20"/>
          <w:szCs w:val="20"/>
          <w:lang w:eastAsia="ar-SA"/>
        </w:rPr>
        <w:t xml:space="preserve">Je-li dodavatelem (účastníkem) právnická osoba, musí podmínku podle tohoto písm. a) splňovat tato právnická osoba a zároveň každý člen statutárního orgánu. Je-li členem statutárního orgánu dodavatele právnická osoba, musí podmínku </w:t>
      </w:r>
      <w:r w:rsidRPr="000D409C">
        <w:rPr>
          <w:rFonts w:ascii="Palatino Linotype" w:hAnsi="Palatino Linotype" w:cs="Calibri"/>
          <w:i/>
          <w:sz w:val="20"/>
          <w:szCs w:val="20"/>
          <w:lang w:eastAsia="ar-SA"/>
        </w:rPr>
        <w:lastRenderedPageBreak/>
        <w:t>podle tohoto písm. a) splňovat tato právnická osoba, každý člen statutárního orgánu této právnické osoby a osoba zastupující tuto právnickou osobu v statutárním orgánu dodavatele.</w:t>
      </w:r>
    </w:p>
    <w:p w14:paraId="31E5B28A" w14:textId="7B96484E" w:rsidR="000D409C" w:rsidRPr="000D409C" w:rsidRDefault="000D409C" w:rsidP="000D409C">
      <w:pPr>
        <w:ind w:left="227"/>
        <w:contextualSpacing/>
        <w:jc w:val="both"/>
        <w:rPr>
          <w:rFonts w:ascii="Palatino Linotype" w:hAnsi="Palatino Linotype" w:cs="Calibri"/>
          <w:i/>
          <w:sz w:val="20"/>
          <w:szCs w:val="20"/>
          <w:lang w:eastAsia="ar-SA"/>
        </w:rPr>
      </w:pPr>
      <w:r w:rsidRPr="000D409C">
        <w:rPr>
          <w:rFonts w:ascii="Palatino Linotype" w:hAnsi="Palatino Linotype" w:cs="Calibri"/>
          <w:i/>
          <w:sz w:val="20"/>
          <w:szCs w:val="20"/>
          <w:lang w:eastAsia="ar-SA"/>
        </w:rPr>
        <w:t>Účastní-li se výběrového řízení pobočka závodu zahraniční právnické osoby</w:t>
      </w:r>
      <w:r w:rsidR="00486150">
        <w:rPr>
          <w:rFonts w:ascii="Palatino Linotype" w:hAnsi="Palatino Linotype" w:cs="Calibri"/>
          <w:i/>
          <w:sz w:val="20"/>
          <w:szCs w:val="20"/>
          <w:lang w:eastAsia="ar-SA"/>
        </w:rPr>
        <w:t>,</w:t>
      </w:r>
      <w:bookmarkStart w:id="0" w:name="_GoBack"/>
      <w:bookmarkEnd w:id="0"/>
      <w:r w:rsidRPr="000D409C">
        <w:rPr>
          <w:rFonts w:ascii="Palatino Linotype" w:hAnsi="Palatino Linotype" w:cs="Calibri"/>
          <w:i/>
          <w:sz w:val="20"/>
          <w:szCs w:val="20"/>
          <w:lang w:eastAsia="ar-SA"/>
        </w:rPr>
        <w:t xml:space="preserve"> musí podmínku podle tohoto písm. a) splňovat tato právnická osoba a vedoucí pobočky závodu. </w:t>
      </w:r>
    </w:p>
    <w:p w14:paraId="53FF33AF" w14:textId="77777777" w:rsidR="000D409C" w:rsidRPr="000D409C" w:rsidRDefault="000D409C" w:rsidP="000D409C">
      <w:pPr>
        <w:ind w:left="284"/>
        <w:jc w:val="both"/>
        <w:rPr>
          <w:rFonts w:ascii="Palatino Linotype" w:eastAsia="Calibri" w:hAnsi="Palatino Linotype" w:cs="Arial"/>
          <w:i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Calibri"/>
          <w:i/>
          <w:sz w:val="20"/>
          <w:szCs w:val="20"/>
          <w:lang w:eastAsia="en-US"/>
        </w:rPr>
        <w:t>Účastní-li se zadávacího řízení pobočka závodu české právnické osoby,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</w:t>
      </w:r>
      <w:r w:rsidRPr="000D409C">
        <w:rPr>
          <w:rFonts w:ascii="Palatino Linotype" w:eastAsia="Calibri" w:hAnsi="Palatino Linotype" w:cs="Arial"/>
          <w:i/>
          <w:sz w:val="20"/>
          <w:szCs w:val="20"/>
          <w:lang w:eastAsia="en-US"/>
        </w:rPr>
        <w:t>.</w:t>
      </w:r>
    </w:p>
    <w:p w14:paraId="006EB02F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b)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 xml:space="preserve">nemá v České republice nebo v zemi svého sídla v evidenci daní zachycen splatný daňový nedoplatek </w:t>
      </w:r>
      <w:r w:rsidRPr="000D409C">
        <w:rPr>
          <w:rFonts w:ascii="Palatino Linotype" w:eastAsia="Calibri" w:hAnsi="Palatino Linotype" w:cs="Calibri"/>
          <w:sz w:val="20"/>
          <w:szCs w:val="20"/>
          <w:lang w:eastAsia="en-US"/>
        </w:rPr>
        <w:t>a zároveň nemá zejména splatný daňový nedoplatek ve vztahu ke spotřební dani,</w:t>
      </w:r>
    </w:p>
    <w:p w14:paraId="3169B093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c)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nemá v České republice nebo v zemi svého sídla splatný nedoplatek na pojistném nebo na penále na veřejné zdravotní pojištění,</w:t>
      </w:r>
    </w:p>
    <w:p w14:paraId="3EA7C567" w14:textId="77777777" w:rsidR="000D409C" w:rsidRPr="000D409C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sz w:val="20"/>
          <w:szCs w:val="20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d)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nemá v České republice nebo v zemi svého sídla splatný nedoplatek na pojistném nebo na penále na sociální zabezpečení a příspěvku na státní politiku zaměstnanosti.</w:t>
      </w:r>
    </w:p>
    <w:p w14:paraId="454CE921" w14:textId="77777777" w:rsidR="000D409C" w:rsidRPr="007B188F" w:rsidRDefault="000D409C" w:rsidP="000D409C">
      <w:pPr>
        <w:spacing w:before="60" w:after="60"/>
        <w:ind w:left="284" w:hanging="284"/>
        <w:jc w:val="both"/>
        <w:rPr>
          <w:rFonts w:ascii="Palatino Linotype" w:eastAsia="Calibri" w:hAnsi="Palatino Linotype" w:cs="Arial"/>
          <w:lang w:eastAsia="en-US"/>
        </w:rPr>
      </w:pP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e)</w:t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ab/>
        <w:t>není v likvidaci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1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, proti němuž bylo vydáno rozhodnutí o úpadku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2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>, vůči němuž byla nařízena nucená správa podle jiného právního předpisu</w:t>
      </w:r>
      <w:r w:rsidRPr="000D409C">
        <w:rPr>
          <w:rFonts w:ascii="Palatino Linotype" w:eastAsia="Calibri" w:hAnsi="Palatino Linotype" w:cs="Arial"/>
          <w:sz w:val="20"/>
          <w:szCs w:val="20"/>
          <w:vertAlign w:val="superscript"/>
          <w:lang w:eastAsia="en-US"/>
        </w:rPr>
        <w:footnoteReference w:id="3"/>
      </w:r>
      <w:r w:rsidRPr="000D409C">
        <w:rPr>
          <w:rFonts w:ascii="Palatino Linotype" w:eastAsia="Calibri" w:hAnsi="Palatino Linotype" w:cs="Arial"/>
          <w:sz w:val="20"/>
          <w:szCs w:val="20"/>
          <w:lang w:eastAsia="en-US"/>
        </w:rPr>
        <w:t xml:space="preserve"> nebo v obdobné situaci podle právního řádu země sídla dodavatele.</w:t>
      </w:r>
      <w:r w:rsidRPr="007B188F">
        <w:rPr>
          <w:rFonts w:ascii="Palatino Linotype" w:eastAsia="Calibri" w:hAnsi="Palatino Linotype" w:cs="Arial"/>
          <w:noProof/>
        </w:rPr>
        <w:drawing>
          <wp:anchor distT="0" distB="0" distL="114300" distR="114300" simplePos="0" relativeHeight="251659264" behindDoc="0" locked="1" layoutInCell="1" allowOverlap="1" wp14:anchorId="32987DF1" wp14:editId="1F24500F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0" b="0"/>
            <wp:wrapNone/>
            <wp:docPr id="33" name="Obrázek 3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14E2A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405A5A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E42DF2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486150">
      <w:headerReference w:type="default" r:id="rId11"/>
      <w:footerReference w:type="default" r:id="rId12"/>
      <w:pgSz w:w="11906" w:h="16838"/>
      <w:pgMar w:top="1633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4462" w14:textId="77777777" w:rsidR="00B20147" w:rsidRDefault="00B20147" w:rsidP="00193245">
      <w:r>
        <w:separator/>
      </w:r>
    </w:p>
  </w:endnote>
  <w:endnote w:type="continuationSeparator" w:id="0">
    <w:p w14:paraId="78F31220" w14:textId="77777777" w:rsidR="00B20147" w:rsidRDefault="00B20147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6FE" w14:textId="1DCD530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6E80" w14:textId="77777777" w:rsidR="00B20147" w:rsidRDefault="00B20147" w:rsidP="00193245">
      <w:r>
        <w:separator/>
      </w:r>
    </w:p>
  </w:footnote>
  <w:footnote w:type="continuationSeparator" w:id="0">
    <w:p w14:paraId="77D95002" w14:textId="77777777" w:rsidR="00B20147" w:rsidRDefault="00B20147" w:rsidP="00193245">
      <w:r>
        <w:continuationSeparator/>
      </w:r>
    </w:p>
  </w:footnote>
  <w:footnote w:id="1">
    <w:p w14:paraId="4F200A31" w14:textId="77777777" w:rsidR="000D409C" w:rsidRPr="00736510" w:rsidRDefault="000D409C" w:rsidP="000D409C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dle ustanovení § 187 zákona č. 89/2012 Sb., o</w:t>
      </w:r>
      <w:r>
        <w:rPr>
          <w:rFonts w:cs="Calibri"/>
          <w:sz w:val="18"/>
          <w:szCs w:val="18"/>
        </w:rPr>
        <w:t>b</w:t>
      </w:r>
      <w:r w:rsidRPr="00736510">
        <w:rPr>
          <w:rFonts w:cs="Calibri"/>
          <w:sz w:val="18"/>
          <w:szCs w:val="18"/>
        </w:rPr>
        <w:t>čanský zákoník, ve znění pozdějších předpisů.</w:t>
      </w:r>
    </w:p>
  </w:footnote>
  <w:footnote w:id="2">
    <w:p w14:paraId="1B33E33A" w14:textId="77777777" w:rsidR="000D409C" w:rsidRPr="00736510" w:rsidRDefault="000D409C" w:rsidP="000D409C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30A0F15A" w14:textId="77777777" w:rsidR="000D409C" w:rsidRPr="00736510" w:rsidRDefault="000D409C" w:rsidP="000D409C">
      <w:pPr>
        <w:pStyle w:val="Textpoznpodarou"/>
        <w:jc w:val="both"/>
        <w:rPr>
          <w:rFonts w:cs="Calibri"/>
          <w:sz w:val="18"/>
          <w:szCs w:val="18"/>
        </w:rPr>
      </w:pPr>
      <w:r w:rsidRPr="00736510">
        <w:rPr>
          <w:rStyle w:val="Znakapoznpodarou"/>
          <w:rFonts w:cs="Calibri"/>
          <w:sz w:val="18"/>
          <w:szCs w:val="18"/>
        </w:rPr>
        <w:footnoteRef/>
      </w:r>
      <w:r w:rsidRPr="00736510">
        <w:rPr>
          <w:rFonts w:cs="Calibr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45DCC" w14:textId="695AEA1F" w:rsidR="00486150" w:rsidRDefault="00486150" w:rsidP="00486150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18CA1AD7" wp14:editId="7DBE4115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689610" cy="812165"/>
          <wp:effectExtent l="0" t="0" r="0" b="6985"/>
          <wp:wrapTight wrapText="bothSides">
            <wp:wrapPolygon edited="0">
              <wp:start x="0" y="0"/>
              <wp:lineTo x="0" y="21279"/>
              <wp:lineTo x="20884" y="21279"/>
              <wp:lineTo x="20884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F4AA8" w14:textId="77777777" w:rsidR="00486150" w:rsidRDefault="00486150" w:rsidP="00486150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  <w:sz w:val="20"/>
      </w:rPr>
    </w:pPr>
  </w:p>
  <w:p w14:paraId="44CF57DD" w14:textId="39C8D9DE" w:rsidR="00486150" w:rsidRPr="00486150" w:rsidRDefault="00486150" w:rsidP="00486150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0"/>
      </w:rPr>
    </w:pPr>
    <w:r w:rsidRPr="00486150">
      <w:rPr>
        <w:rFonts w:ascii="Palatino Linotype" w:hAnsi="Palatino Linotype"/>
        <w:i/>
        <w:color w:val="808080"/>
        <w:sz w:val="20"/>
      </w:rPr>
      <w:t>Veřejná</w:t>
    </w:r>
    <w:r w:rsidRPr="00486150">
      <w:rPr>
        <w:rFonts w:ascii="Palatino Linotype" w:hAnsi="Palatino Linotype"/>
        <w:i/>
        <w:color w:val="808080"/>
        <w:sz w:val="18"/>
      </w:rPr>
      <w:t xml:space="preserve"> zakázka:</w:t>
    </w:r>
    <w:r w:rsidRPr="00486150">
      <w:rPr>
        <w:noProof/>
        <w:color w:val="808080"/>
        <w:sz w:val="18"/>
      </w:rPr>
      <w:t xml:space="preserve"> </w:t>
    </w:r>
    <w:r w:rsidRPr="00486150">
      <w:rPr>
        <w:noProof/>
        <w:color w:val="808080"/>
        <w:sz w:val="20"/>
      </w:rPr>
      <w:tab/>
    </w:r>
  </w:p>
  <w:p w14:paraId="616AA3AE" w14:textId="77777777" w:rsidR="00486150" w:rsidRDefault="00486150" w:rsidP="00486150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</w:rPr>
    </w:pPr>
    <w:r w:rsidRPr="00486150">
      <w:rPr>
        <w:rFonts w:ascii="Palatino Linotype" w:hAnsi="Palatino Linotype"/>
        <w:b/>
        <w:bCs/>
        <w:i/>
        <w:iCs/>
        <w:color w:val="808080"/>
        <w:sz w:val="20"/>
      </w:rPr>
      <w:t>„Multifunkční hřiště s ledovou plochou“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531647B7" w14:textId="77777777" w:rsidR="00486150" w:rsidRDefault="00486150" w:rsidP="00486150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20876"/>
    <w:rsid w:val="00026A29"/>
    <w:rsid w:val="00051E26"/>
    <w:rsid w:val="000720B7"/>
    <w:rsid w:val="000D409C"/>
    <w:rsid w:val="000F3B38"/>
    <w:rsid w:val="00101695"/>
    <w:rsid w:val="001062A0"/>
    <w:rsid w:val="00163FD1"/>
    <w:rsid w:val="00193245"/>
    <w:rsid w:val="001A4F81"/>
    <w:rsid w:val="001C676D"/>
    <w:rsid w:val="001E2C68"/>
    <w:rsid w:val="002B70EF"/>
    <w:rsid w:val="00330CF2"/>
    <w:rsid w:val="00365F4F"/>
    <w:rsid w:val="00392A9E"/>
    <w:rsid w:val="00395CD4"/>
    <w:rsid w:val="003D06D3"/>
    <w:rsid w:val="003E269B"/>
    <w:rsid w:val="003F0C77"/>
    <w:rsid w:val="0040280C"/>
    <w:rsid w:val="00404AE0"/>
    <w:rsid w:val="00405A5A"/>
    <w:rsid w:val="004375AD"/>
    <w:rsid w:val="004475DA"/>
    <w:rsid w:val="00486150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7425B3"/>
    <w:rsid w:val="00765701"/>
    <w:rsid w:val="00795F2B"/>
    <w:rsid w:val="007B4B68"/>
    <w:rsid w:val="007C1442"/>
    <w:rsid w:val="007E4D1B"/>
    <w:rsid w:val="00853BDB"/>
    <w:rsid w:val="00881B18"/>
    <w:rsid w:val="00890E88"/>
    <w:rsid w:val="00955768"/>
    <w:rsid w:val="00991A04"/>
    <w:rsid w:val="009D0797"/>
    <w:rsid w:val="009E1167"/>
    <w:rsid w:val="009E6AF3"/>
    <w:rsid w:val="00A05FA8"/>
    <w:rsid w:val="00A5028B"/>
    <w:rsid w:val="00A61F69"/>
    <w:rsid w:val="00A705EB"/>
    <w:rsid w:val="00AF0256"/>
    <w:rsid w:val="00B20147"/>
    <w:rsid w:val="00B432E4"/>
    <w:rsid w:val="00B52F52"/>
    <w:rsid w:val="00BB5E5D"/>
    <w:rsid w:val="00C0169B"/>
    <w:rsid w:val="00C31308"/>
    <w:rsid w:val="00C31F4A"/>
    <w:rsid w:val="00C43944"/>
    <w:rsid w:val="00C51E08"/>
    <w:rsid w:val="00C9266C"/>
    <w:rsid w:val="00C96CBD"/>
    <w:rsid w:val="00CE4914"/>
    <w:rsid w:val="00CF4D8D"/>
    <w:rsid w:val="00D05E4A"/>
    <w:rsid w:val="00D067A0"/>
    <w:rsid w:val="00D144D0"/>
    <w:rsid w:val="00D4785E"/>
    <w:rsid w:val="00D55A51"/>
    <w:rsid w:val="00D92DBF"/>
    <w:rsid w:val="00DE0EF4"/>
    <w:rsid w:val="00E0558A"/>
    <w:rsid w:val="00E25A3A"/>
    <w:rsid w:val="00E31AE7"/>
    <w:rsid w:val="00E42DF2"/>
    <w:rsid w:val="00E550A5"/>
    <w:rsid w:val="00E81513"/>
    <w:rsid w:val="00EB0B64"/>
    <w:rsid w:val="00EE66D2"/>
    <w:rsid w:val="00F05BC4"/>
    <w:rsid w:val="00F57CDC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81B18"/>
    <w:rPr>
      <w:vertAlign w:val="superscript"/>
    </w:rPr>
  </w:style>
  <w:style w:type="character" w:customStyle="1" w:styleId="ZhlavChar1">
    <w:name w:val="Záhlaví Char1"/>
    <w:uiPriority w:val="99"/>
    <w:locked/>
    <w:rsid w:val="00C96CBD"/>
  </w:style>
  <w:style w:type="character" w:customStyle="1" w:styleId="TextpoznpodarouChar1">
    <w:name w:val="Text pozn. pod čarou Char1"/>
    <w:uiPriority w:val="99"/>
    <w:locked/>
    <w:rsid w:val="000D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</cp:lastModifiedBy>
  <cp:revision>30</cp:revision>
  <dcterms:created xsi:type="dcterms:W3CDTF">2017-09-22T08:59:00Z</dcterms:created>
  <dcterms:modified xsi:type="dcterms:W3CDTF">2021-06-21T09:35:00Z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