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F3" w:rsidRDefault="00D579F3" w:rsidP="00A11F5D">
      <w:pPr>
        <w:jc w:val="center"/>
        <w:rPr>
          <w:b/>
        </w:rPr>
      </w:pPr>
      <w:bookmarkStart w:id="0" w:name="_Hlk492655904"/>
      <w:r>
        <w:rPr>
          <w:b/>
        </w:rPr>
        <w:t>PŘÍLOHA Č. 1</w:t>
      </w:r>
      <w:r w:rsidR="00C52B12">
        <w:rPr>
          <w:b/>
        </w:rPr>
        <w:t xml:space="preserve"> </w:t>
      </w:r>
    </w:p>
    <w:p w:rsidR="00646E5C" w:rsidRPr="00A11F5D" w:rsidRDefault="00D44C6C" w:rsidP="00A11F5D">
      <w:pPr>
        <w:jc w:val="center"/>
        <w:rPr>
          <w:b/>
        </w:rPr>
      </w:pPr>
      <w:r>
        <w:rPr>
          <w:b/>
        </w:rPr>
        <w:t xml:space="preserve">ZÁKLADNÍ PRINCIPY </w:t>
      </w:r>
      <w:r w:rsidR="00C52B12">
        <w:rPr>
          <w:b/>
        </w:rPr>
        <w:t>REALIZACE</w:t>
      </w:r>
      <w:r w:rsidR="00A11F5D" w:rsidRPr="00A11F5D">
        <w:rPr>
          <w:b/>
        </w:rPr>
        <w:t xml:space="preserve"> PROJEKTU „VÝSTAVBY BYTOVÝCH DOMŮ NA POZEMCÍCH MČ PRAHA 6“</w:t>
      </w:r>
    </w:p>
    <w:bookmarkEnd w:id="0"/>
    <w:p w:rsidR="009E27DD" w:rsidRDefault="009E27D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7796"/>
        <w:gridCol w:w="3969"/>
      </w:tblGrid>
      <w:tr w:rsidR="009E27DD" w:rsidRPr="009E27DD" w:rsidTr="009E27DD">
        <w:tc>
          <w:tcPr>
            <w:tcW w:w="2122" w:type="dxa"/>
            <w:shd w:val="clear" w:color="auto" w:fill="C00000"/>
          </w:tcPr>
          <w:p w:rsidR="009E27DD" w:rsidRPr="009E27DD" w:rsidRDefault="009E27DD">
            <w:pPr>
              <w:rPr>
                <w:b/>
              </w:rPr>
            </w:pPr>
          </w:p>
        </w:tc>
        <w:tc>
          <w:tcPr>
            <w:tcW w:w="7796" w:type="dxa"/>
            <w:shd w:val="clear" w:color="auto" w:fill="C00000"/>
          </w:tcPr>
          <w:p w:rsidR="009E27DD" w:rsidRPr="009E27DD" w:rsidRDefault="009E27DD" w:rsidP="00F54423">
            <w:pPr>
              <w:jc w:val="both"/>
              <w:rPr>
                <w:b/>
              </w:rPr>
            </w:pPr>
            <w:r w:rsidRPr="009E27DD">
              <w:rPr>
                <w:b/>
              </w:rPr>
              <w:t>Popis</w:t>
            </w:r>
          </w:p>
        </w:tc>
        <w:tc>
          <w:tcPr>
            <w:tcW w:w="3969" w:type="dxa"/>
            <w:shd w:val="clear" w:color="auto" w:fill="C00000"/>
          </w:tcPr>
          <w:p w:rsidR="009E27DD" w:rsidRPr="009E27DD" w:rsidRDefault="00C52B12" w:rsidP="00F54423">
            <w:pPr>
              <w:jc w:val="both"/>
              <w:rPr>
                <w:b/>
              </w:rPr>
            </w:pPr>
            <w:r>
              <w:rPr>
                <w:b/>
              </w:rPr>
              <w:t>Komentář</w:t>
            </w:r>
          </w:p>
        </w:tc>
      </w:tr>
      <w:tr w:rsidR="009E27DD" w:rsidTr="009E27DD">
        <w:tc>
          <w:tcPr>
            <w:tcW w:w="2122" w:type="dxa"/>
            <w:shd w:val="clear" w:color="auto" w:fill="C00000"/>
          </w:tcPr>
          <w:p w:rsidR="009E27DD" w:rsidRPr="009E27DD" w:rsidRDefault="009E27DD" w:rsidP="009E27DD">
            <w:pPr>
              <w:rPr>
                <w:b/>
              </w:rPr>
            </w:pPr>
            <w:r w:rsidRPr="009E27DD">
              <w:rPr>
                <w:b/>
              </w:rPr>
              <w:t>Cíl Projektu</w:t>
            </w:r>
          </w:p>
        </w:tc>
        <w:tc>
          <w:tcPr>
            <w:tcW w:w="7796" w:type="dxa"/>
          </w:tcPr>
          <w:p w:rsidR="009E27DD" w:rsidRDefault="008E29C4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Optimalizace využití majetku MČ Praha 6 (dále jen „MČ“) – využití existujících stavebních parcel ve vlastnictví MČ</w:t>
            </w:r>
            <w:r w:rsidR="009B0F61">
              <w:rPr>
                <w:rStyle w:val="Znakapoznpodarou"/>
              </w:rPr>
              <w:footnoteReference w:id="1"/>
            </w:r>
          </w:p>
          <w:p w:rsidR="008E29C4" w:rsidRDefault="008E29C4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Územní rozvoj MČ formou rezidenční výstavby</w:t>
            </w:r>
          </w:p>
          <w:p w:rsidR="008E29C4" w:rsidRDefault="008E29C4" w:rsidP="00625462">
            <w:pPr>
              <w:pStyle w:val="Odstavecseseznamem"/>
              <w:jc w:val="both"/>
            </w:pPr>
          </w:p>
        </w:tc>
        <w:tc>
          <w:tcPr>
            <w:tcW w:w="3969" w:type="dxa"/>
          </w:tcPr>
          <w:p w:rsidR="00D579F3" w:rsidRDefault="00C52B12" w:rsidP="00F54423">
            <w:pPr>
              <w:jc w:val="both"/>
            </w:pPr>
            <w:r>
              <w:t>Cílem projektu</w:t>
            </w:r>
            <w:r w:rsidR="00495819">
              <w:t xml:space="preserve"> </w:t>
            </w:r>
            <w:r w:rsidR="008E29C4">
              <w:t>je zhodnocení majetku MČ a územní rozvoj MČ, nikoli získání startovacích či sociálních bytů</w:t>
            </w:r>
            <w:r>
              <w:t xml:space="preserve">. </w:t>
            </w:r>
            <w:r w:rsidR="00495819">
              <w:t xml:space="preserve"> </w:t>
            </w:r>
          </w:p>
          <w:p w:rsidR="00D579F3" w:rsidRDefault="00D579F3" w:rsidP="00F54423">
            <w:pPr>
              <w:jc w:val="both"/>
            </w:pPr>
          </w:p>
          <w:p w:rsidR="00495819" w:rsidRDefault="00495819" w:rsidP="00F54423">
            <w:pPr>
              <w:jc w:val="both"/>
            </w:pPr>
            <w:r>
              <w:t xml:space="preserve">Projekt by tedy měl být koncipován a realizován zásadně na komerčních principech. </w:t>
            </w:r>
          </w:p>
          <w:p w:rsidR="009E27DD" w:rsidRDefault="009E27DD" w:rsidP="00F54423">
            <w:pPr>
              <w:jc w:val="both"/>
            </w:pPr>
          </w:p>
        </w:tc>
      </w:tr>
      <w:tr w:rsidR="009E27DD" w:rsidTr="009E27DD">
        <w:tc>
          <w:tcPr>
            <w:tcW w:w="2122" w:type="dxa"/>
            <w:shd w:val="clear" w:color="auto" w:fill="C00000"/>
          </w:tcPr>
          <w:p w:rsidR="009E27DD" w:rsidRPr="009E27DD" w:rsidRDefault="009E27DD" w:rsidP="009E27DD">
            <w:pPr>
              <w:rPr>
                <w:b/>
              </w:rPr>
            </w:pPr>
            <w:r w:rsidRPr="009E27DD">
              <w:rPr>
                <w:b/>
              </w:rPr>
              <w:t xml:space="preserve">Základní popis projektu </w:t>
            </w:r>
          </w:p>
        </w:tc>
        <w:tc>
          <w:tcPr>
            <w:tcW w:w="7796" w:type="dxa"/>
          </w:tcPr>
          <w:p w:rsidR="009E27DD" w:rsidRDefault="008E29C4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MČ </w:t>
            </w:r>
            <w:r w:rsidR="00F6461C">
              <w:t>vykonává práva a povinnosti vlastníka k pozemkům</w:t>
            </w:r>
            <w:r>
              <w:t xml:space="preserve"> – stavební</w:t>
            </w:r>
            <w:r w:rsidR="00F6461C">
              <w:t>m</w:t>
            </w:r>
            <w:r>
              <w:t xml:space="preserve"> parcel</w:t>
            </w:r>
            <w:r w:rsidR="00F6461C">
              <w:t>ám</w:t>
            </w:r>
            <w:r>
              <w:t xml:space="preserve">, </w:t>
            </w:r>
            <w:r w:rsidR="00533728">
              <w:t>na kterých hodlá realizovat rezidenční výstavbu (domy s bytovými jednotkami)</w:t>
            </w:r>
            <w:r w:rsidR="00A11F5D">
              <w:t>.</w:t>
            </w:r>
          </w:p>
          <w:p w:rsidR="00533728" w:rsidRDefault="00533728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MČ hledá investora, který </w:t>
            </w:r>
            <w:r w:rsidR="00D579F3">
              <w:t>realizuje projekt</w:t>
            </w:r>
            <w:r>
              <w:t xml:space="preserve"> </w:t>
            </w:r>
            <w:r w:rsidR="00D579F3">
              <w:t xml:space="preserve">„na klíč“, </w:t>
            </w:r>
            <w:r>
              <w:t xml:space="preserve">včetně </w:t>
            </w:r>
            <w:r w:rsidR="00F6461C">
              <w:t xml:space="preserve">zajištění </w:t>
            </w:r>
            <w:r>
              <w:t>financování</w:t>
            </w:r>
            <w:r w:rsidR="00A11F5D">
              <w:t>.</w:t>
            </w:r>
          </w:p>
          <w:p w:rsidR="00533728" w:rsidRDefault="00DF2558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Investor provede výstavbu a zajistí kolaudaci </w:t>
            </w:r>
            <w:r w:rsidR="00F6461C">
              <w:t xml:space="preserve">bytového domu či </w:t>
            </w:r>
            <w:r>
              <w:t>bytových domů</w:t>
            </w:r>
            <w:r w:rsidR="00A11F5D">
              <w:t>.</w:t>
            </w:r>
          </w:p>
          <w:p w:rsidR="00DF2558" w:rsidRDefault="00DF2558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MČ namísto finanční platby převede investorovi do vlastnictví předem určený počet bytových jednotek, tedy „zaplatí“ částí vybudovaných </w:t>
            </w:r>
            <w:r w:rsidR="00F6461C">
              <w:t>bytových jednotek</w:t>
            </w:r>
            <w:r>
              <w:t>. Počet bytových jednotek nárokovaných investorem (popř. rozloha obytné plochy nárokované investorem) bude předmětem hodnocení (půjde de facto o ekvivalent nabídkové ceny)</w:t>
            </w:r>
            <w:r w:rsidR="00A11F5D">
              <w:t>.</w:t>
            </w:r>
          </w:p>
          <w:p w:rsidR="00DF2558" w:rsidRDefault="00DF2558">
            <w:pPr>
              <w:pStyle w:val="Odstavecseseznamem"/>
              <w:jc w:val="both"/>
            </w:pPr>
          </w:p>
        </w:tc>
        <w:tc>
          <w:tcPr>
            <w:tcW w:w="3969" w:type="dxa"/>
          </w:tcPr>
          <w:p w:rsidR="00F54423" w:rsidRPr="00625462" w:rsidRDefault="00C52B12" w:rsidP="00F54423">
            <w:pPr>
              <w:jc w:val="both"/>
            </w:pPr>
            <w:r w:rsidRPr="00625462">
              <w:t>V rámci určitého objektu</w:t>
            </w:r>
            <w:r w:rsidR="00495819">
              <w:t xml:space="preserve"> (budovy)</w:t>
            </w:r>
            <w:r w:rsidRPr="00625462">
              <w:t xml:space="preserve"> budou jak jednotky</w:t>
            </w:r>
            <w:r w:rsidR="00F54423" w:rsidRPr="00625462">
              <w:t xml:space="preserve"> MČ a investora</w:t>
            </w:r>
            <w:r w:rsidRPr="00625462">
              <w:t xml:space="preserve">. </w:t>
            </w:r>
            <w:r w:rsidR="00495819">
              <w:t xml:space="preserve">Tím pádem bude vyloučeno riziko rozdílné kvality provedení. </w:t>
            </w:r>
          </w:p>
          <w:p w:rsidR="00F54423" w:rsidRPr="00625462" w:rsidRDefault="00F54423" w:rsidP="00F54423">
            <w:pPr>
              <w:jc w:val="both"/>
            </w:pPr>
          </w:p>
          <w:p w:rsidR="00F54423" w:rsidRPr="00625462" w:rsidRDefault="00C52B12" w:rsidP="00F54423">
            <w:pPr>
              <w:jc w:val="both"/>
            </w:pPr>
            <w:r w:rsidRPr="00625462">
              <w:t xml:space="preserve">Obsazenost bytů MČ (jejich využití nebo dispozice s nimi) bude zajišťovat primárně MČ. </w:t>
            </w:r>
          </w:p>
          <w:p w:rsidR="00F54423" w:rsidRPr="00F54423" w:rsidRDefault="00F54423" w:rsidP="00F54423">
            <w:pPr>
              <w:jc w:val="both"/>
              <w:rPr>
                <w:b/>
              </w:rPr>
            </w:pPr>
          </w:p>
        </w:tc>
      </w:tr>
      <w:tr w:rsidR="00DF2558" w:rsidTr="009E27DD">
        <w:tc>
          <w:tcPr>
            <w:tcW w:w="2122" w:type="dxa"/>
            <w:shd w:val="clear" w:color="auto" w:fill="C00000"/>
          </w:tcPr>
          <w:p w:rsidR="00DF2558" w:rsidRPr="009E27DD" w:rsidRDefault="00DF2558" w:rsidP="009E27DD">
            <w:pPr>
              <w:rPr>
                <w:b/>
              </w:rPr>
            </w:pPr>
            <w:r>
              <w:rPr>
                <w:b/>
              </w:rPr>
              <w:t>Majetkoprávní vztahy</w:t>
            </w:r>
          </w:p>
        </w:tc>
        <w:tc>
          <w:tcPr>
            <w:tcW w:w="7796" w:type="dxa"/>
          </w:tcPr>
          <w:p w:rsidR="00DF2558" w:rsidRDefault="00DF2558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Pozemky budou a zůstanou </w:t>
            </w:r>
            <w:r w:rsidR="00F6461C">
              <w:t>ve vlastnictví</w:t>
            </w:r>
            <w:r>
              <w:t xml:space="preserve"> MČ, s výjimkou spoluvlastnického podílu na pozemku vážícího se k vlastnictví bytových jednotek převáděných investorovi jako odměna za provedenou výstavbu</w:t>
            </w:r>
            <w:r w:rsidR="00A11F5D">
              <w:t>.</w:t>
            </w:r>
          </w:p>
          <w:p w:rsidR="00DF2558" w:rsidRDefault="00DF2558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Část bytových jednotek bude po kolaudaci a úplném dokončení stavby převedena investorovi jako odměna za vybudování </w:t>
            </w:r>
            <w:r w:rsidR="00F6461C">
              <w:t>bytového domu (</w:t>
            </w:r>
            <w:r>
              <w:t>bytových domů</w:t>
            </w:r>
            <w:r w:rsidR="00F6461C">
              <w:t>)</w:t>
            </w:r>
            <w:bookmarkStart w:id="1" w:name="_GoBack"/>
            <w:bookmarkEnd w:id="1"/>
            <w:r>
              <w:t>. Investor bude tyto „své“ bytové jednotky prodávat / pronajímat rezidentům</w:t>
            </w:r>
            <w:r w:rsidR="00A11F5D">
              <w:t xml:space="preserve">. </w:t>
            </w:r>
          </w:p>
          <w:p w:rsidR="00DF2558" w:rsidRDefault="00DF2558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Bytové jednotky vlastněné MČ budou pronajímány. </w:t>
            </w:r>
          </w:p>
          <w:p w:rsidR="00FD2E86" w:rsidRDefault="00FD2E86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V případě smíšeného vlastnictví v rámci jedné budovy budou poměry upraveny v rámci stanov společenství vlastníků bytových jednotek</w:t>
            </w:r>
            <w:r w:rsidR="00A11F5D">
              <w:t>.</w:t>
            </w:r>
          </w:p>
        </w:tc>
        <w:tc>
          <w:tcPr>
            <w:tcW w:w="3969" w:type="dxa"/>
          </w:tcPr>
          <w:p w:rsidR="00DF2558" w:rsidRDefault="00DF2558" w:rsidP="00F54423">
            <w:pPr>
              <w:jc w:val="both"/>
            </w:pPr>
          </w:p>
        </w:tc>
      </w:tr>
      <w:tr w:rsidR="009E27DD" w:rsidTr="009E27DD">
        <w:tc>
          <w:tcPr>
            <w:tcW w:w="2122" w:type="dxa"/>
            <w:shd w:val="clear" w:color="auto" w:fill="C00000"/>
          </w:tcPr>
          <w:p w:rsidR="009E27DD" w:rsidRPr="009E27DD" w:rsidRDefault="00DF2558" w:rsidP="009E27DD">
            <w:pPr>
              <w:rPr>
                <w:b/>
              </w:rPr>
            </w:pPr>
            <w:r>
              <w:rPr>
                <w:b/>
              </w:rPr>
              <w:t>Fáze výstavby</w:t>
            </w:r>
          </w:p>
        </w:tc>
        <w:tc>
          <w:tcPr>
            <w:tcW w:w="7796" w:type="dxa"/>
          </w:tcPr>
          <w:p w:rsidR="00FD2E86" w:rsidRDefault="00FD2E86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Projekt bude realizován formou tzv. design &amp; build, tedy MČ určí </w:t>
            </w:r>
            <w:r w:rsidR="006415BB">
              <w:t>dispozici domů a</w:t>
            </w:r>
            <w:r>
              <w:t xml:space="preserve"> požadavky na vlastnosti bytových domů a bytů („požadavky zadavatele“). </w:t>
            </w:r>
          </w:p>
          <w:p w:rsidR="00495819" w:rsidRDefault="00FD2E86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Investor zajistí kompletní projektovou přípravu, včetně nezbytného napojení na dopravní a inženýrské sítě, veškerou projektovou činnost a obstará veškerá povolení. </w:t>
            </w:r>
          </w:p>
          <w:p w:rsidR="009E27DD" w:rsidRDefault="00FD2E86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Veškerá projektová dokumentace a na jejím základě provedená výstavba bude muset být v souladu s požadavky zadavatele stanovenými již ve fázi zadávacího řízení. Soulad bude </w:t>
            </w:r>
            <w:r w:rsidR="00495819">
              <w:t xml:space="preserve">ze strany MČ </w:t>
            </w:r>
            <w:r>
              <w:t>průběžně kontrolován. Dokumentace pro provedení stavby bude muset být před zahájením výstavby odsouhlasena zástupcem MČ (technickým poradcem/technickým dozorem MČ)</w:t>
            </w:r>
            <w:r w:rsidR="00A11F5D">
              <w:t>.</w:t>
            </w:r>
          </w:p>
          <w:p w:rsidR="00FD2E86" w:rsidRDefault="00A11F5D" w:rsidP="00625462">
            <w:pPr>
              <w:pStyle w:val="Odstavecseseznamem"/>
              <w:jc w:val="both"/>
            </w:pPr>
            <w:r>
              <w:t xml:space="preserve"> </w:t>
            </w:r>
          </w:p>
        </w:tc>
        <w:tc>
          <w:tcPr>
            <w:tcW w:w="3969" w:type="dxa"/>
          </w:tcPr>
          <w:p w:rsidR="00C52B12" w:rsidRDefault="00C52B12" w:rsidP="00625462">
            <w:pPr>
              <w:jc w:val="both"/>
            </w:pPr>
            <w:r>
              <w:t xml:space="preserve">MČ bude garantovat soulad záměru s územním plánem. </w:t>
            </w:r>
          </w:p>
          <w:p w:rsidR="00C52B12" w:rsidRDefault="00C52B12" w:rsidP="00625462">
            <w:pPr>
              <w:jc w:val="both"/>
            </w:pPr>
          </w:p>
          <w:p w:rsidR="00C52B12" w:rsidRDefault="00C52B12" w:rsidP="00625462">
            <w:pPr>
              <w:jc w:val="both"/>
            </w:pPr>
            <w:r>
              <w:t>Investor zajistí z vlastních či externích zdrojů financování výstavby</w:t>
            </w:r>
            <w:r w:rsidR="00495819">
              <w:t>.</w:t>
            </w:r>
          </w:p>
          <w:p w:rsidR="00495819" w:rsidRDefault="00495819" w:rsidP="00625462">
            <w:pPr>
              <w:jc w:val="both"/>
            </w:pPr>
          </w:p>
          <w:p w:rsidR="009E27DD" w:rsidRPr="00A11F5D" w:rsidRDefault="00C52B12" w:rsidP="00C52B12">
            <w:pPr>
              <w:jc w:val="both"/>
              <w:rPr>
                <w:b/>
              </w:rPr>
            </w:pPr>
            <w:r>
              <w:t xml:space="preserve">Investor zajistí kolaudaci a úplné dokončení stavby. </w:t>
            </w:r>
          </w:p>
        </w:tc>
      </w:tr>
      <w:tr w:rsidR="00533728" w:rsidTr="009E27DD">
        <w:tc>
          <w:tcPr>
            <w:tcW w:w="2122" w:type="dxa"/>
            <w:shd w:val="clear" w:color="auto" w:fill="C00000"/>
          </w:tcPr>
          <w:p w:rsidR="00533728" w:rsidRPr="009E27DD" w:rsidRDefault="00DF2558" w:rsidP="009E27DD">
            <w:pPr>
              <w:rPr>
                <w:b/>
              </w:rPr>
            </w:pPr>
            <w:r>
              <w:rPr>
                <w:b/>
              </w:rPr>
              <w:t>Fáze provozu</w:t>
            </w:r>
          </w:p>
        </w:tc>
        <w:tc>
          <w:tcPr>
            <w:tcW w:w="7796" w:type="dxa"/>
          </w:tcPr>
          <w:p w:rsidR="00495819" w:rsidRDefault="00FD2E86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Po kolaudaci a odstranění případných vad investor převezme bytové domy do správy, která bude zahrnovat, úklid, údržbu, běžné opravy, odstraňování závad. </w:t>
            </w:r>
          </w:p>
          <w:p w:rsidR="00C52B12" w:rsidRDefault="00FD2E86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MČ bude hradit výhradně náklady na práce mající charakter investice, reinvestice či rekonstrukce, a to jen těch, které budou zahrnuty v dlouhodobém plánu investic, který budou uchazeči předkládat již v nabídkách. </w:t>
            </w:r>
          </w:p>
          <w:p w:rsidR="00533728" w:rsidRDefault="00533728" w:rsidP="00625462">
            <w:pPr>
              <w:pStyle w:val="Odstavecseseznamem"/>
              <w:jc w:val="both"/>
            </w:pPr>
          </w:p>
          <w:p w:rsidR="00614F09" w:rsidRDefault="00614F09" w:rsidP="00625462">
            <w:pPr>
              <w:pStyle w:val="Odstavecseseznamem"/>
              <w:jc w:val="both"/>
            </w:pPr>
          </w:p>
        </w:tc>
        <w:tc>
          <w:tcPr>
            <w:tcW w:w="3969" w:type="dxa"/>
          </w:tcPr>
          <w:p w:rsidR="002D3113" w:rsidRPr="002D3113" w:rsidRDefault="002D3113" w:rsidP="00F54423">
            <w:pPr>
              <w:jc w:val="both"/>
              <w:rPr>
                <w:b/>
              </w:rPr>
            </w:pPr>
            <w:r w:rsidRPr="002D3113">
              <w:rPr>
                <w:b/>
              </w:rPr>
              <w:t xml:space="preserve"> </w:t>
            </w:r>
            <w:r w:rsidR="00C52B12">
              <w:t xml:space="preserve">Odměna za správu by byla hrazena z poplatků hrazených rezidenty. Investor by tak měl být motivován k maximální snaze dosáhnout plné obsazenosti objektu. </w:t>
            </w:r>
          </w:p>
        </w:tc>
      </w:tr>
      <w:tr w:rsidR="009E27DD" w:rsidTr="009E27DD">
        <w:tc>
          <w:tcPr>
            <w:tcW w:w="2122" w:type="dxa"/>
            <w:shd w:val="clear" w:color="auto" w:fill="C00000"/>
          </w:tcPr>
          <w:p w:rsidR="009E27DD" w:rsidRPr="008E29C4" w:rsidRDefault="008E29C4">
            <w:pPr>
              <w:rPr>
                <w:b/>
              </w:rPr>
            </w:pPr>
            <w:r w:rsidRPr="008E29C4">
              <w:rPr>
                <w:b/>
              </w:rPr>
              <w:t>Zadání projektu</w:t>
            </w:r>
          </w:p>
        </w:tc>
        <w:tc>
          <w:tcPr>
            <w:tcW w:w="7796" w:type="dxa"/>
          </w:tcPr>
          <w:p w:rsidR="009E27DD" w:rsidRDefault="00374157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Veřejná zakázka na </w:t>
            </w:r>
            <w:r w:rsidR="00D579F3">
              <w:t>stavební práce</w:t>
            </w:r>
            <w:r>
              <w:t xml:space="preserve"> </w:t>
            </w:r>
            <w:r w:rsidR="00D579F3">
              <w:t>formou projektu</w:t>
            </w:r>
            <w:r>
              <w:t xml:space="preserve"> DBFO (desi</w:t>
            </w:r>
            <w:r w:rsidR="00054949">
              <w:t>gn</w:t>
            </w:r>
            <w:r>
              <w:t>, build, finance &amp; operate)</w:t>
            </w:r>
            <w:r w:rsidR="00A11F5D">
              <w:t xml:space="preserve">. </w:t>
            </w:r>
          </w:p>
          <w:p w:rsidR="00374157" w:rsidRDefault="00D579F3" w:rsidP="00F54423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Stavba nebude v zadávací dokumentaci definována formou projektové dokumentace pro provedení stavby a výkazem výměr, nýbrž formou </w:t>
            </w:r>
            <w:r>
              <w:lastRenderedPageBreak/>
              <w:t xml:space="preserve">požadavků na výkon a funkci.  V příloze č. 2 je formou příkladu uvedeno, jakým způsobem budou definovány požadavky zadavatele a vstupní informace o zpracování nabídky.  </w:t>
            </w:r>
          </w:p>
        </w:tc>
        <w:tc>
          <w:tcPr>
            <w:tcW w:w="3969" w:type="dxa"/>
          </w:tcPr>
          <w:p w:rsidR="009E27DD" w:rsidRDefault="009E27DD" w:rsidP="00F54423">
            <w:pPr>
              <w:jc w:val="both"/>
            </w:pPr>
          </w:p>
        </w:tc>
      </w:tr>
    </w:tbl>
    <w:p w:rsidR="009E27DD" w:rsidRDefault="009E27DD"/>
    <w:sectPr w:rsidR="009E27DD" w:rsidSect="009E27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61" w:rsidRDefault="009B0F61" w:rsidP="009B0F61">
      <w:pPr>
        <w:spacing w:after="0" w:line="240" w:lineRule="auto"/>
      </w:pPr>
      <w:r>
        <w:separator/>
      </w:r>
    </w:p>
  </w:endnote>
  <w:endnote w:type="continuationSeparator" w:id="0">
    <w:p w:rsidR="009B0F61" w:rsidRDefault="009B0F61" w:rsidP="009B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61" w:rsidRDefault="009B0F61" w:rsidP="009B0F61">
      <w:pPr>
        <w:spacing w:after="0" w:line="240" w:lineRule="auto"/>
      </w:pPr>
      <w:r>
        <w:separator/>
      </w:r>
    </w:p>
  </w:footnote>
  <w:footnote w:type="continuationSeparator" w:id="0">
    <w:p w:rsidR="009B0F61" w:rsidRDefault="009B0F61" w:rsidP="009B0F61">
      <w:pPr>
        <w:spacing w:after="0" w:line="240" w:lineRule="auto"/>
      </w:pPr>
      <w:r>
        <w:continuationSeparator/>
      </w:r>
    </w:p>
  </w:footnote>
  <w:footnote w:id="1">
    <w:p w:rsidR="009B0F61" w:rsidRDefault="009B0F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B0F61">
        <w:rPr>
          <w:rStyle w:val="Zdraznn"/>
          <w:rFonts w:cstheme="minorHAnsi"/>
          <w:bCs/>
          <w:i w:val="0"/>
          <w:color w:val="6A6A6A"/>
          <w:shd w:val="clear" w:color="auto" w:fill="FFFFFF"/>
        </w:rPr>
        <w:t xml:space="preserve">Pokud je odkazováno na vlastnictví MČ, je tím myšlen majetek </w:t>
      </w:r>
      <w:r w:rsidRPr="009B0F61">
        <w:rPr>
          <w:rStyle w:val="Zdraznn"/>
          <w:rFonts w:cstheme="minorHAnsi"/>
          <w:bCs/>
          <w:i w:val="0"/>
          <w:iCs w:val="0"/>
          <w:color w:val="6A6A6A"/>
          <w:shd w:val="clear" w:color="auto" w:fill="FFFFFF"/>
        </w:rPr>
        <w:t>hlavního města</w:t>
      </w:r>
      <w:r w:rsidRPr="009B0F61">
        <w:rPr>
          <w:rStyle w:val="Zdraznn"/>
          <w:rFonts w:cstheme="minorHAnsi"/>
          <w:bCs/>
          <w:i w:val="0"/>
          <w:color w:val="6A6A6A"/>
        </w:rPr>
        <w:t> Prahy</w:t>
      </w:r>
      <w:r w:rsidRPr="009B0F61">
        <w:rPr>
          <w:rFonts w:cstheme="minorHAnsi"/>
          <w:color w:val="545454"/>
          <w:shd w:val="clear" w:color="auto" w:fill="FFFFFF"/>
        </w:rPr>
        <w:t xml:space="preserve"> svěřený </w:t>
      </w:r>
      <w:r>
        <w:rPr>
          <w:rFonts w:cstheme="minorHAnsi"/>
          <w:color w:val="545454"/>
          <w:shd w:val="clear" w:color="auto" w:fill="FFFFFF"/>
        </w:rPr>
        <w:t xml:space="preserve">MČ.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E7883"/>
    <w:multiLevelType w:val="hybridMultilevel"/>
    <w:tmpl w:val="A934BF56"/>
    <w:lvl w:ilvl="0" w:tplc="BC186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DD"/>
    <w:rsid w:val="00034100"/>
    <w:rsid w:val="00054949"/>
    <w:rsid w:val="001F5DDB"/>
    <w:rsid w:val="002D3113"/>
    <w:rsid w:val="00374157"/>
    <w:rsid w:val="00495819"/>
    <w:rsid w:val="004A68F3"/>
    <w:rsid w:val="004D139F"/>
    <w:rsid w:val="00533728"/>
    <w:rsid w:val="00614F09"/>
    <w:rsid w:val="00625462"/>
    <w:rsid w:val="006415BB"/>
    <w:rsid w:val="00646E5C"/>
    <w:rsid w:val="008E29C4"/>
    <w:rsid w:val="009B0F61"/>
    <w:rsid w:val="009E27DD"/>
    <w:rsid w:val="00A11F5D"/>
    <w:rsid w:val="00AA26D5"/>
    <w:rsid w:val="00C52B12"/>
    <w:rsid w:val="00C5478A"/>
    <w:rsid w:val="00D44C6C"/>
    <w:rsid w:val="00D579F3"/>
    <w:rsid w:val="00D85714"/>
    <w:rsid w:val="00DD0935"/>
    <w:rsid w:val="00DF2558"/>
    <w:rsid w:val="00EB1814"/>
    <w:rsid w:val="00F54423"/>
    <w:rsid w:val="00F6461C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FB0"/>
  <w15:chartTrackingRefBased/>
  <w15:docId w15:val="{1C57D50E-8E9A-4BD9-B54B-B5D9875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29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15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15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15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5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5B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5B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F6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F6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F6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9B0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3BB1-0465-4BA4-94EB-9AD24205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Kruták</dc:creator>
  <cp:keywords/>
  <dc:description/>
  <cp:lastModifiedBy>Dell</cp:lastModifiedBy>
  <cp:revision>3</cp:revision>
  <cp:lastPrinted>2017-09-08T15:51:00Z</cp:lastPrinted>
  <dcterms:created xsi:type="dcterms:W3CDTF">2017-09-08T16:32:00Z</dcterms:created>
  <dcterms:modified xsi:type="dcterms:W3CDTF">2017-11-01T16:45:00Z</dcterms:modified>
</cp:coreProperties>
</file>