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F4" w:rsidRDefault="00D47CF4" w:rsidP="00D47CF4">
      <w:pPr>
        <w:rPr>
          <w:b/>
          <w:bCs/>
          <w:sz w:val="28"/>
        </w:rPr>
      </w:pPr>
    </w:p>
    <w:p w:rsidR="00171C89" w:rsidRDefault="00171C89" w:rsidP="00D47CF4">
      <w:pPr>
        <w:rPr>
          <w:b/>
          <w:bCs/>
          <w:sz w:val="28"/>
        </w:rPr>
      </w:pPr>
    </w:p>
    <w:p w:rsidR="00171C89" w:rsidRDefault="00171C89" w:rsidP="00D47CF4">
      <w:pPr>
        <w:rPr>
          <w:b/>
          <w:bCs/>
          <w:sz w:val="28"/>
        </w:rPr>
      </w:pPr>
    </w:p>
    <w:p w:rsidR="00171C89" w:rsidRDefault="00171C89" w:rsidP="00D47CF4">
      <w:pPr>
        <w:rPr>
          <w:b/>
          <w:bCs/>
          <w:sz w:val="28"/>
        </w:rPr>
      </w:pPr>
    </w:p>
    <w:p w:rsidR="00171C89" w:rsidRPr="00387BA8" w:rsidRDefault="00171C89" w:rsidP="00D47CF4">
      <w:pPr>
        <w:rPr>
          <w:b/>
          <w:bCs/>
          <w:sz w:val="28"/>
        </w:rPr>
      </w:pPr>
    </w:p>
    <w:p w:rsidR="00D47CF4" w:rsidRPr="00387BA8" w:rsidRDefault="00D47CF4" w:rsidP="00D47CF4">
      <w:pPr>
        <w:rPr>
          <w:b/>
          <w:bCs/>
          <w:sz w:val="28"/>
        </w:rPr>
      </w:pPr>
    </w:p>
    <w:p w:rsidR="00D47CF4" w:rsidRPr="00387BA8" w:rsidRDefault="00171C89" w:rsidP="00D47CF4">
      <w:pPr>
        <w:jc w:val="center"/>
        <w:rPr>
          <w:b/>
          <w:bCs/>
          <w:sz w:val="36"/>
        </w:rPr>
      </w:pPr>
      <w:r>
        <w:rPr>
          <w:b/>
          <w:bCs/>
          <w:sz w:val="36"/>
        </w:rPr>
        <w:t>Specifikace požadovaného pojištění</w:t>
      </w:r>
    </w:p>
    <w:p w:rsidR="00D47CF4" w:rsidRDefault="00D47CF4" w:rsidP="00171C89">
      <w:pPr>
        <w:rPr>
          <w:b/>
          <w:bCs/>
          <w:sz w:val="28"/>
        </w:rPr>
      </w:pPr>
    </w:p>
    <w:p w:rsidR="00171C89" w:rsidRPr="00171C89" w:rsidRDefault="00171C89" w:rsidP="00171C89">
      <w:pPr>
        <w:rPr>
          <w:b/>
          <w:bCs/>
          <w:sz w:val="28"/>
        </w:rPr>
      </w:pPr>
    </w:p>
    <w:p w:rsidR="00D47CF4" w:rsidRPr="00387BA8" w:rsidRDefault="00D47CF4" w:rsidP="00171C89">
      <w:pPr>
        <w:rPr>
          <w:b/>
          <w:bCs/>
          <w:sz w:val="28"/>
        </w:rPr>
      </w:pPr>
    </w:p>
    <w:p w:rsidR="00D47CF4" w:rsidRPr="00387BA8" w:rsidRDefault="00D47CF4" w:rsidP="00D47CF4">
      <w:pPr>
        <w:spacing w:line="360" w:lineRule="auto"/>
        <w:jc w:val="center"/>
        <w:rPr>
          <w:b/>
          <w:bCs/>
          <w:sz w:val="28"/>
          <w:szCs w:val="28"/>
        </w:rPr>
      </w:pPr>
      <w:bookmarkStart w:id="0" w:name="_GoBack"/>
      <w:bookmarkEnd w:id="0"/>
      <w:r w:rsidRPr="00387BA8">
        <w:rPr>
          <w:b/>
          <w:bCs/>
          <w:sz w:val="28"/>
          <w:szCs w:val="28"/>
        </w:rPr>
        <w:t>pro návrh smlouvy</w:t>
      </w:r>
    </w:p>
    <w:p w:rsidR="007D4956" w:rsidRPr="00387BA8" w:rsidRDefault="00D47CF4" w:rsidP="007D4956">
      <w:pPr>
        <w:spacing w:line="360" w:lineRule="auto"/>
        <w:jc w:val="center"/>
        <w:rPr>
          <w:b/>
          <w:bCs/>
          <w:sz w:val="28"/>
          <w:szCs w:val="28"/>
        </w:rPr>
      </w:pPr>
      <w:r w:rsidRPr="00387BA8">
        <w:rPr>
          <w:b/>
          <w:bCs/>
          <w:sz w:val="28"/>
          <w:szCs w:val="28"/>
        </w:rPr>
        <w:t xml:space="preserve">k veřejné zakázce zadávané </w:t>
      </w:r>
    </w:p>
    <w:p w:rsidR="007D4956" w:rsidRPr="00387BA8" w:rsidRDefault="007D4956" w:rsidP="00D47CF4">
      <w:pPr>
        <w:spacing w:line="360" w:lineRule="auto"/>
        <w:jc w:val="center"/>
        <w:rPr>
          <w:b/>
          <w:bCs/>
          <w:sz w:val="28"/>
          <w:szCs w:val="28"/>
        </w:rPr>
      </w:pPr>
      <w:r w:rsidRPr="00387BA8">
        <w:rPr>
          <w:b/>
          <w:bCs/>
          <w:sz w:val="28"/>
          <w:szCs w:val="28"/>
        </w:rPr>
        <w:t xml:space="preserve">ve zjednodušeném podlimitním řízení dle zákona </w:t>
      </w:r>
      <w:r w:rsidRPr="00387BA8">
        <w:rPr>
          <w:b/>
          <w:bCs/>
          <w:sz w:val="28"/>
          <w:szCs w:val="28"/>
        </w:rPr>
        <w:br/>
        <w:t xml:space="preserve">č. 137/2006 Sb., o veřejných zakázkách, </w:t>
      </w:r>
      <w:r w:rsidR="00171C89">
        <w:rPr>
          <w:b/>
          <w:bCs/>
          <w:sz w:val="28"/>
          <w:szCs w:val="28"/>
        </w:rPr>
        <w:t xml:space="preserve">ve znění pozdějších předpisů </w:t>
      </w:r>
    </w:p>
    <w:p w:rsidR="00D47CF4" w:rsidRPr="00387BA8" w:rsidRDefault="00D47CF4" w:rsidP="00D47CF4">
      <w:pPr>
        <w:spacing w:line="360" w:lineRule="auto"/>
        <w:jc w:val="center"/>
        <w:rPr>
          <w:b/>
          <w:bCs/>
          <w:sz w:val="28"/>
          <w:szCs w:val="28"/>
        </w:rPr>
      </w:pPr>
      <w:r w:rsidRPr="00387BA8">
        <w:rPr>
          <w:b/>
          <w:bCs/>
          <w:sz w:val="28"/>
          <w:szCs w:val="28"/>
        </w:rPr>
        <w:t>(dále jen „zákon“)</w:t>
      </w: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D47CF4">
      <w:pPr>
        <w:rPr>
          <w:b/>
          <w:bCs/>
          <w:sz w:val="28"/>
        </w:rPr>
      </w:pPr>
    </w:p>
    <w:p w:rsidR="00D47CF4" w:rsidRPr="00387BA8" w:rsidRDefault="00D47CF4" w:rsidP="00D47CF4">
      <w:pPr>
        <w:jc w:val="center"/>
        <w:rPr>
          <w:b/>
          <w:bCs/>
          <w:sz w:val="36"/>
        </w:rPr>
      </w:pPr>
      <w:r w:rsidRPr="00387BA8">
        <w:rPr>
          <w:b/>
          <w:bCs/>
          <w:sz w:val="36"/>
          <w:szCs w:val="40"/>
        </w:rPr>
        <w:t>“</w:t>
      </w:r>
      <w:r w:rsidRPr="00387BA8">
        <w:rPr>
          <w:b/>
          <w:bCs/>
          <w:sz w:val="36"/>
        </w:rPr>
        <w:t xml:space="preserve">Pojištění majetku </w:t>
      </w:r>
      <w:r w:rsidR="008F69C7" w:rsidRPr="00387BA8">
        <w:rPr>
          <w:b/>
          <w:bCs/>
          <w:sz w:val="36"/>
        </w:rPr>
        <w:t xml:space="preserve">a odpovědnosti </w:t>
      </w:r>
      <w:r w:rsidR="00B33BD2" w:rsidRPr="00387BA8">
        <w:rPr>
          <w:b/>
          <w:bCs/>
          <w:sz w:val="36"/>
        </w:rPr>
        <w:t>m</w:t>
      </w:r>
      <w:r w:rsidR="007D4956" w:rsidRPr="00387BA8">
        <w:rPr>
          <w:b/>
          <w:bCs/>
          <w:sz w:val="36"/>
        </w:rPr>
        <w:t>ěsta Znojma a příspěvkových organizací</w:t>
      </w:r>
      <w:r w:rsidRPr="00387BA8">
        <w:rPr>
          <w:b/>
          <w:bCs/>
          <w:sz w:val="36"/>
        </w:rPr>
        <w:t xml:space="preserve">“ </w:t>
      </w: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171C89" w:rsidRDefault="00D47CF4" w:rsidP="00171C89">
      <w:pPr>
        <w:rPr>
          <w:b/>
          <w:bCs/>
          <w:sz w:val="28"/>
        </w:rPr>
      </w:pPr>
    </w:p>
    <w:p w:rsidR="00D47CF4" w:rsidRPr="00387BA8" w:rsidRDefault="00D47CF4" w:rsidP="00D47CF4">
      <w:pPr>
        <w:ind w:left="360"/>
        <w:rPr>
          <w:b/>
          <w:bCs/>
          <w:caps/>
          <w:sz w:val="24"/>
        </w:rPr>
      </w:pPr>
      <w:r w:rsidRPr="00387BA8">
        <w:rPr>
          <w:b/>
          <w:bCs/>
          <w:caps/>
          <w:sz w:val="24"/>
        </w:rPr>
        <w:lastRenderedPageBreak/>
        <w:t>OBSAH</w:t>
      </w:r>
    </w:p>
    <w:p w:rsidR="00D47CF4" w:rsidRPr="00387BA8" w:rsidRDefault="00D47CF4" w:rsidP="00D47CF4">
      <w:pPr>
        <w:ind w:left="360"/>
        <w:rPr>
          <w:bCs/>
          <w:sz w:val="20"/>
        </w:rPr>
      </w:pPr>
    </w:p>
    <w:p w:rsidR="00D8707D" w:rsidRPr="00162DAF" w:rsidRDefault="00D47CF4">
      <w:pPr>
        <w:pStyle w:val="Obsah1"/>
        <w:rPr>
          <w:rFonts w:ascii="Calibri" w:hAnsi="Calibri" w:cs="Times New Roman"/>
          <w:sz w:val="22"/>
          <w:szCs w:val="22"/>
        </w:rPr>
      </w:pPr>
      <w:r w:rsidRPr="00387BA8">
        <w:fldChar w:fldCharType="begin"/>
      </w:r>
      <w:r w:rsidRPr="00387BA8">
        <w:instrText xml:space="preserve"> TOC \o "1-2" \h \z </w:instrText>
      </w:r>
      <w:r w:rsidRPr="00387BA8">
        <w:fldChar w:fldCharType="separate"/>
      </w:r>
      <w:hyperlink w:anchor="_Toc450552705" w:history="1">
        <w:r w:rsidR="00D8707D" w:rsidRPr="00E256A3">
          <w:rPr>
            <w:rStyle w:val="Hypertextovodkaz"/>
          </w:rPr>
          <w:t>1. Identifikace pojistníka a pojištěných subjektů</w:t>
        </w:r>
        <w:r w:rsidR="00D8707D">
          <w:rPr>
            <w:webHidden/>
          </w:rPr>
          <w:tab/>
        </w:r>
        <w:r w:rsidR="00D8707D">
          <w:rPr>
            <w:webHidden/>
          </w:rPr>
          <w:fldChar w:fldCharType="begin"/>
        </w:r>
        <w:r w:rsidR="00D8707D">
          <w:rPr>
            <w:webHidden/>
          </w:rPr>
          <w:instrText xml:space="preserve"> PAGEREF _Toc450552705 \h </w:instrText>
        </w:r>
        <w:r w:rsidR="00D8707D">
          <w:rPr>
            <w:webHidden/>
          </w:rPr>
        </w:r>
        <w:r w:rsidR="00D8707D">
          <w:rPr>
            <w:webHidden/>
          </w:rPr>
          <w:fldChar w:fldCharType="separate"/>
        </w:r>
        <w:r w:rsidR="00171C89">
          <w:rPr>
            <w:webHidden/>
          </w:rPr>
          <w:t>3</w:t>
        </w:r>
        <w:r w:rsidR="00D8707D">
          <w:rPr>
            <w:webHidden/>
          </w:rPr>
          <w:fldChar w:fldCharType="end"/>
        </w:r>
      </w:hyperlink>
    </w:p>
    <w:p w:rsidR="00D8707D" w:rsidRPr="00162DAF" w:rsidRDefault="00D8707D">
      <w:pPr>
        <w:pStyle w:val="Obsah2"/>
        <w:rPr>
          <w:rFonts w:ascii="Calibri" w:hAnsi="Calibri" w:cs="Times New Roman"/>
          <w:sz w:val="22"/>
          <w:szCs w:val="22"/>
        </w:rPr>
      </w:pPr>
      <w:hyperlink w:anchor="_Toc450552706" w:history="1">
        <w:r w:rsidRPr="00E256A3">
          <w:rPr>
            <w:rStyle w:val="Hypertextovodkaz"/>
          </w:rPr>
          <w:t>1.1 Pojistník a pojištěný</w:t>
        </w:r>
        <w:r>
          <w:rPr>
            <w:webHidden/>
          </w:rPr>
          <w:tab/>
        </w:r>
        <w:r>
          <w:rPr>
            <w:webHidden/>
          </w:rPr>
          <w:fldChar w:fldCharType="begin"/>
        </w:r>
        <w:r>
          <w:rPr>
            <w:webHidden/>
          </w:rPr>
          <w:instrText xml:space="preserve"> PAGEREF _Toc450552706 \h </w:instrText>
        </w:r>
        <w:r>
          <w:rPr>
            <w:webHidden/>
          </w:rPr>
        </w:r>
        <w:r>
          <w:rPr>
            <w:webHidden/>
          </w:rPr>
          <w:fldChar w:fldCharType="separate"/>
        </w:r>
        <w:r w:rsidR="00171C89">
          <w:rPr>
            <w:webHidden/>
          </w:rPr>
          <w:t>3</w:t>
        </w:r>
        <w:r>
          <w:rPr>
            <w:webHidden/>
          </w:rPr>
          <w:fldChar w:fldCharType="end"/>
        </w:r>
      </w:hyperlink>
    </w:p>
    <w:p w:rsidR="00D8707D" w:rsidRPr="00162DAF" w:rsidRDefault="00D8707D">
      <w:pPr>
        <w:pStyle w:val="Obsah2"/>
        <w:rPr>
          <w:rFonts w:ascii="Calibri" w:hAnsi="Calibri" w:cs="Times New Roman"/>
          <w:sz w:val="22"/>
          <w:szCs w:val="22"/>
        </w:rPr>
      </w:pPr>
      <w:hyperlink w:anchor="_Toc450552707" w:history="1">
        <w:r w:rsidRPr="00E256A3">
          <w:rPr>
            <w:rStyle w:val="Hypertextovodkaz"/>
          </w:rPr>
          <w:t>1.2 Spolupojištěné subjekty</w:t>
        </w:r>
        <w:r>
          <w:rPr>
            <w:webHidden/>
          </w:rPr>
          <w:tab/>
        </w:r>
        <w:r>
          <w:rPr>
            <w:webHidden/>
          </w:rPr>
          <w:fldChar w:fldCharType="begin"/>
        </w:r>
        <w:r>
          <w:rPr>
            <w:webHidden/>
          </w:rPr>
          <w:instrText xml:space="preserve"> PAGEREF _Toc450552707 \h </w:instrText>
        </w:r>
        <w:r>
          <w:rPr>
            <w:webHidden/>
          </w:rPr>
        </w:r>
        <w:r>
          <w:rPr>
            <w:webHidden/>
          </w:rPr>
          <w:fldChar w:fldCharType="separate"/>
        </w:r>
        <w:r w:rsidR="00171C89">
          <w:rPr>
            <w:webHidden/>
          </w:rPr>
          <w:t>3</w:t>
        </w:r>
        <w:r>
          <w:rPr>
            <w:webHidden/>
          </w:rPr>
          <w:fldChar w:fldCharType="end"/>
        </w:r>
      </w:hyperlink>
    </w:p>
    <w:p w:rsidR="00D8707D" w:rsidRPr="00162DAF" w:rsidRDefault="00D8707D">
      <w:pPr>
        <w:pStyle w:val="Obsah1"/>
        <w:rPr>
          <w:rFonts w:ascii="Calibri" w:hAnsi="Calibri" w:cs="Times New Roman"/>
          <w:sz w:val="22"/>
          <w:szCs w:val="22"/>
        </w:rPr>
      </w:pPr>
      <w:hyperlink w:anchor="_Toc450552708" w:history="1">
        <w:r w:rsidRPr="00E256A3">
          <w:rPr>
            <w:rStyle w:val="Hypertextovodkaz"/>
          </w:rPr>
          <w:t>2. Škodové pojištění majetku – živelní pojištění</w:t>
        </w:r>
        <w:r>
          <w:rPr>
            <w:webHidden/>
          </w:rPr>
          <w:tab/>
        </w:r>
        <w:r>
          <w:rPr>
            <w:webHidden/>
          </w:rPr>
          <w:fldChar w:fldCharType="begin"/>
        </w:r>
        <w:r>
          <w:rPr>
            <w:webHidden/>
          </w:rPr>
          <w:instrText xml:space="preserve"> PAGEREF _Toc450552708 \h </w:instrText>
        </w:r>
        <w:r>
          <w:rPr>
            <w:webHidden/>
          </w:rPr>
        </w:r>
        <w:r>
          <w:rPr>
            <w:webHidden/>
          </w:rPr>
          <w:fldChar w:fldCharType="separate"/>
        </w:r>
        <w:r w:rsidR="00171C89">
          <w:rPr>
            <w:webHidden/>
          </w:rPr>
          <w:t>6</w:t>
        </w:r>
        <w:r>
          <w:rPr>
            <w:webHidden/>
          </w:rPr>
          <w:fldChar w:fldCharType="end"/>
        </w:r>
      </w:hyperlink>
    </w:p>
    <w:p w:rsidR="00D8707D" w:rsidRPr="00162DAF" w:rsidRDefault="00D8707D">
      <w:pPr>
        <w:pStyle w:val="Obsah2"/>
        <w:rPr>
          <w:rFonts w:ascii="Calibri" w:hAnsi="Calibri" w:cs="Times New Roman"/>
          <w:sz w:val="22"/>
          <w:szCs w:val="22"/>
        </w:rPr>
      </w:pPr>
      <w:hyperlink w:anchor="_Toc450552709" w:history="1">
        <w:r w:rsidRPr="00E256A3">
          <w:rPr>
            <w:rStyle w:val="Hypertextovodkaz"/>
          </w:rPr>
          <w:t>2.1 Místo pojištění</w:t>
        </w:r>
        <w:r>
          <w:rPr>
            <w:webHidden/>
          </w:rPr>
          <w:tab/>
        </w:r>
        <w:r>
          <w:rPr>
            <w:webHidden/>
          </w:rPr>
          <w:fldChar w:fldCharType="begin"/>
        </w:r>
        <w:r>
          <w:rPr>
            <w:webHidden/>
          </w:rPr>
          <w:instrText xml:space="preserve"> PAGEREF _Toc450552709 \h </w:instrText>
        </w:r>
        <w:r>
          <w:rPr>
            <w:webHidden/>
          </w:rPr>
        </w:r>
        <w:r>
          <w:rPr>
            <w:webHidden/>
          </w:rPr>
          <w:fldChar w:fldCharType="separate"/>
        </w:r>
        <w:r w:rsidR="00171C89">
          <w:rPr>
            <w:webHidden/>
          </w:rPr>
          <w:t>6</w:t>
        </w:r>
        <w:r>
          <w:rPr>
            <w:webHidden/>
          </w:rPr>
          <w:fldChar w:fldCharType="end"/>
        </w:r>
      </w:hyperlink>
    </w:p>
    <w:p w:rsidR="00D8707D" w:rsidRPr="00162DAF" w:rsidRDefault="00D8707D">
      <w:pPr>
        <w:pStyle w:val="Obsah2"/>
        <w:rPr>
          <w:rFonts w:ascii="Calibri" w:hAnsi="Calibri" w:cs="Times New Roman"/>
          <w:sz w:val="22"/>
          <w:szCs w:val="22"/>
        </w:rPr>
      </w:pPr>
      <w:hyperlink w:anchor="_Toc450552710" w:history="1">
        <w:r w:rsidRPr="00E256A3">
          <w:rPr>
            <w:rStyle w:val="Hypertextovodkaz"/>
          </w:rPr>
          <w:t>2.2 Předmět pojištění, pojistná hodnota, pojistná částka, limit plnění</w:t>
        </w:r>
        <w:r>
          <w:rPr>
            <w:webHidden/>
          </w:rPr>
          <w:tab/>
        </w:r>
        <w:r>
          <w:rPr>
            <w:webHidden/>
          </w:rPr>
          <w:fldChar w:fldCharType="begin"/>
        </w:r>
        <w:r>
          <w:rPr>
            <w:webHidden/>
          </w:rPr>
          <w:instrText xml:space="preserve"> PAGEREF _Toc450552710 \h </w:instrText>
        </w:r>
        <w:r>
          <w:rPr>
            <w:webHidden/>
          </w:rPr>
        </w:r>
        <w:r>
          <w:rPr>
            <w:webHidden/>
          </w:rPr>
          <w:fldChar w:fldCharType="separate"/>
        </w:r>
        <w:r w:rsidR="00171C89">
          <w:rPr>
            <w:webHidden/>
          </w:rPr>
          <w:t>6</w:t>
        </w:r>
        <w:r>
          <w:rPr>
            <w:webHidden/>
          </w:rPr>
          <w:fldChar w:fldCharType="end"/>
        </w:r>
      </w:hyperlink>
    </w:p>
    <w:p w:rsidR="00D8707D" w:rsidRPr="00162DAF" w:rsidRDefault="00D8707D">
      <w:pPr>
        <w:pStyle w:val="Obsah2"/>
        <w:rPr>
          <w:rFonts w:ascii="Calibri" w:hAnsi="Calibri" w:cs="Times New Roman"/>
          <w:sz w:val="22"/>
          <w:szCs w:val="22"/>
        </w:rPr>
      </w:pPr>
      <w:hyperlink w:anchor="_Toc450552711" w:history="1">
        <w:r w:rsidRPr="00E256A3">
          <w:rPr>
            <w:rStyle w:val="Hypertextovodkaz"/>
          </w:rPr>
          <w:t>2.3 Pojistná nebezpečí, limity plnění a spoluúčasti</w:t>
        </w:r>
        <w:r>
          <w:rPr>
            <w:webHidden/>
          </w:rPr>
          <w:tab/>
        </w:r>
        <w:r>
          <w:rPr>
            <w:webHidden/>
          </w:rPr>
          <w:fldChar w:fldCharType="begin"/>
        </w:r>
        <w:r>
          <w:rPr>
            <w:webHidden/>
          </w:rPr>
          <w:instrText xml:space="preserve"> PAGEREF _Toc450552711 \h </w:instrText>
        </w:r>
        <w:r>
          <w:rPr>
            <w:webHidden/>
          </w:rPr>
        </w:r>
        <w:r>
          <w:rPr>
            <w:webHidden/>
          </w:rPr>
          <w:fldChar w:fldCharType="separate"/>
        </w:r>
        <w:r w:rsidR="00171C89">
          <w:rPr>
            <w:webHidden/>
          </w:rPr>
          <w:t>7</w:t>
        </w:r>
        <w:r>
          <w:rPr>
            <w:webHidden/>
          </w:rPr>
          <w:fldChar w:fldCharType="end"/>
        </w:r>
      </w:hyperlink>
    </w:p>
    <w:p w:rsidR="00D8707D" w:rsidRPr="00162DAF" w:rsidRDefault="00D8707D">
      <w:pPr>
        <w:pStyle w:val="Obsah2"/>
        <w:rPr>
          <w:rFonts w:ascii="Calibri" w:hAnsi="Calibri" w:cs="Times New Roman"/>
          <w:sz w:val="22"/>
          <w:szCs w:val="22"/>
        </w:rPr>
      </w:pPr>
      <w:hyperlink w:anchor="_Toc450552712" w:history="1">
        <w:r w:rsidRPr="00E256A3">
          <w:rPr>
            <w:rStyle w:val="Hypertextovodkaz"/>
          </w:rPr>
          <w:t>2.4 Zvláštní ujednání k živelnímu pojištění</w:t>
        </w:r>
        <w:r>
          <w:rPr>
            <w:webHidden/>
          </w:rPr>
          <w:tab/>
        </w:r>
        <w:r>
          <w:rPr>
            <w:webHidden/>
          </w:rPr>
          <w:fldChar w:fldCharType="begin"/>
        </w:r>
        <w:r>
          <w:rPr>
            <w:webHidden/>
          </w:rPr>
          <w:instrText xml:space="preserve"> PAGEREF _Toc450552712 \h </w:instrText>
        </w:r>
        <w:r>
          <w:rPr>
            <w:webHidden/>
          </w:rPr>
        </w:r>
        <w:r>
          <w:rPr>
            <w:webHidden/>
          </w:rPr>
          <w:fldChar w:fldCharType="separate"/>
        </w:r>
        <w:r w:rsidR="00171C89">
          <w:rPr>
            <w:webHidden/>
          </w:rPr>
          <w:t>8</w:t>
        </w:r>
        <w:r>
          <w:rPr>
            <w:webHidden/>
          </w:rPr>
          <w:fldChar w:fldCharType="end"/>
        </w:r>
      </w:hyperlink>
    </w:p>
    <w:p w:rsidR="00D8707D" w:rsidRPr="00162DAF" w:rsidRDefault="00D8707D">
      <w:pPr>
        <w:pStyle w:val="Obsah1"/>
        <w:rPr>
          <w:rFonts w:ascii="Calibri" w:hAnsi="Calibri" w:cs="Times New Roman"/>
          <w:sz w:val="22"/>
          <w:szCs w:val="22"/>
        </w:rPr>
      </w:pPr>
      <w:hyperlink w:anchor="_Toc450552713" w:history="1">
        <w:r w:rsidRPr="00E256A3">
          <w:rPr>
            <w:rStyle w:val="Hypertextovodkaz"/>
          </w:rPr>
          <w:t>3. Škodové pojištění pro případ odcizení a vandalismu</w:t>
        </w:r>
        <w:r>
          <w:rPr>
            <w:webHidden/>
          </w:rPr>
          <w:tab/>
        </w:r>
        <w:r>
          <w:rPr>
            <w:webHidden/>
          </w:rPr>
          <w:fldChar w:fldCharType="begin"/>
        </w:r>
        <w:r>
          <w:rPr>
            <w:webHidden/>
          </w:rPr>
          <w:instrText xml:space="preserve"> PAGEREF _Toc450552713 \h </w:instrText>
        </w:r>
        <w:r>
          <w:rPr>
            <w:webHidden/>
          </w:rPr>
        </w:r>
        <w:r>
          <w:rPr>
            <w:webHidden/>
          </w:rPr>
          <w:fldChar w:fldCharType="separate"/>
        </w:r>
        <w:r w:rsidR="00171C89">
          <w:rPr>
            <w:webHidden/>
          </w:rPr>
          <w:t>9</w:t>
        </w:r>
        <w:r>
          <w:rPr>
            <w:webHidden/>
          </w:rPr>
          <w:fldChar w:fldCharType="end"/>
        </w:r>
      </w:hyperlink>
    </w:p>
    <w:p w:rsidR="00D8707D" w:rsidRPr="00162DAF" w:rsidRDefault="00D8707D">
      <w:pPr>
        <w:pStyle w:val="Obsah2"/>
        <w:rPr>
          <w:rFonts w:ascii="Calibri" w:hAnsi="Calibri" w:cs="Times New Roman"/>
          <w:sz w:val="22"/>
          <w:szCs w:val="22"/>
        </w:rPr>
      </w:pPr>
      <w:hyperlink w:anchor="_Toc450552714" w:history="1">
        <w:r w:rsidRPr="00E256A3">
          <w:rPr>
            <w:rStyle w:val="Hypertextovodkaz"/>
          </w:rPr>
          <w:t>3.1 Předmět pojištění, pojistná hodnota, pojistná částka,</w:t>
        </w:r>
        <w:r>
          <w:rPr>
            <w:webHidden/>
          </w:rPr>
          <w:tab/>
        </w:r>
        <w:r>
          <w:rPr>
            <w:webHidden/>
          </w:rPr>
          <w:fldChar w:fldCharType="begin"/>
        </w:r>
        <w:r>
          <w:rPr>
            <w:webHidden/>
          </w:rPr>
          <w:instrText xml:space="preserve"> PAGEREF _Toc450552714 \h </w:instrText>
        </w:r>
        <w:r>
          <w:rPr>
            <w:webHidden/>
          </w:rPr>
        </w:r>
        <w:r>
          <w:rPr>
            <w:webHidden/>
          </w:rPr>
          <w:fldChar w:fldCharType="separate"/>
        </w:r>
        <w:r w:rsidR="00171C89">
          <w:rPr>
            <w:webHidden/>
          </w:rPr>
          <w:t>9</w:t>
        </w:r>
        <w:r>
          <w:rPr>
            <w:webHidden/>
          </w:rPr>
          <w:fldChar w:fldCharType="end"/>
        </w:r>
      </w:hyperlink>
    </w:p>
    <w:p w:rsidR="00D8707D" w:rsidRPr="00162DAF" w:rsidRDefault="00D8707D">
      <w:pPr>
        <w:pStyle w:val="Obsah2"/>
        <w:rPr>
          <w:rFonts w:ascii="Calibri" w:hAnsi="Calibri" w:cs="Times New Roman"/>
          <w:sz w:val="22"/>
          <w:szCs w:val="22"/>
        </w:rPr>
      </w:pPr>
      <w:hyperlink w:anchor="_Toc450552715" w:history="1">
        <w:r w:rsidRPr="00E256A3">
          <w:rPr>
            <w:rStyle w:val="Hypertextovodkaz"/>
          </w:rPr>
          <w:t>3.2 Pojistná nebezpečí,  limity plnění a spoluúčasti</w:t>
        </w:r>
        <w:r>
          <w:rPr>
            <w:webHidden/>
          </w:rPr>
          <w:tab/>
        </w:r>
        <w:r>
          <w:rPr>
            <w:webHidden/>
          </w:rPr>
          <w:fldChar w:fldCharType="begin"/>
        </w:r>
        <w:r>
          <w:rPr>
            <w:webHidden/>
          </w:rPr>
          <w:instrText xml:space="preserve"> PAGEREF _Toc450552715 \h </w:instrText>
        </w:r>
        <w:r>
          <w:rPr>
            <w:webHidden/>
          </w:rPr>
        </w:r>
        <w:r>
          <w:rPr>
            <w:webHidden/>
          </w:rPr>
          <w:fldChar w:fldCharType="separate"/>
        </w:r>
        <w:r w:rsidR="00171C89">
          <w:rPr>
            <w:webHidden/>
          </w:rPr>
          <w:t>10</w:t>
        </w:r>
        <w:r>
          <w:rPr>
            <w:webHidden/>
          </w:rPr>
          <w:fldChar w:fldCharType="end"/>
        </w:r>
      </w:hyperlink>
    </w:p>
    <w:p w:rsidR="00D8707D" w:rsidRPr="00162DAF" w:rsidRDefault="00D8707D">
      <w:pPr>
        <w:pStyle w:val="Obsah2"/>
        <w:rPr>
          <w:rFonts w:ascii="Calibri" w:hAnsi="Calibri" w:cs="Times New Roman"/>
          <w:sz w:val="22"/>
          <w:szCs w:val="22"/>
        </w:rPr>
      </w:pPr>
      <w:hyperlink w:anchor="_Toc450552716" w:history="1">
        <w:r w:rsidRPr="00E256A3">
          <w:rPr>
            <w:rStyle w:val="Hypertextovodkaz"/>
          </w:rPr>
          <w:t>3.3 Zvláštní ujednání k pojištění odcizení a vandalismu</w:t>
        </w:r>
        <w:r>
          <w:rPr>
            <w:webHidden/>
          </w:rPr>
          <w:tab/>
        </w:r>
        <w:r>
          <w:rPr>
            <w:webHidden/>
          </w:rPr>
          <w:fldChar w:fldCharType="begin"/>
        </w:r>
        <w:r>
          <w:rPr>
            <w:webHidden/>
          </w:rPr>
          <w:instrText xml:space="preserve"> PAGEREF _Toc450552716 \h </w:instrText>
        </w:r>
        <w:r>
          <w:rPr>
            <w:webHidden/>
          </w:rPr>
        </w:r>
        <w:r>
          <w:rPr>
            <w:webHidden/>
          </w:rPr>
          <w:fldChar w:fldCharType="separate"/>
        </w:r>
        <w:r w:rsidR="00171C89">
          <w:rPr>
            <w:webHidden/>
          </w:rPr>
          <w:t>10</w:t>
        </w:r>
        <w:r>
          <w:rPr>
            <w:webHidden/>
          </w:rPr>
          <w:fldChar w:fldCharType="end"/>
        </w:r>
      </w:hyperlink>
    </w:p>
    <w:p w:rsidR="00D8707D" w:rsidRPr="00162DAF" w:rsidRDefault="00D8707D">
      <w:pPr>
        <w:pStyle w:val="Obsah1"/>
        <w:rPr>
          <w:rFonts w:ascii="Calibri" w:hAnsi="Calibri" w:cs="Times New Roman"/>
          <w:sz w:val="22"/>
          <w:szCs w:val="22"/>
        </w:rPr>
      </w:pPr>
      <w:hyperlink w:anchor="_Toc450552717" w:history="1">
        <w:r w:rsidRPr="00E256A3">
          <w:rPr>
            <w:rStyle w:val="Hypertextovodkaz"/>
          </w:rPr>
          <w:t>4. Škodové pojištění skel</w:t>
        </w:r>
        <w:r>
          <w:rPr>
            <w:webHidden/>
          </w:rPr>
          <w:tab/>
        </w:r>
        <w:r>
          <w:rPr>
            <w:webHidden/>
          </w:rPr>
          <w:fldChar w:fldCharType="begin"/>
        </w:r>
        <w:r>
          <w:rPr>
            <w:webHidden/>
          </w:rPr>
          <w:instrText xml:space="preserve"> PAGEREF _Toc450552717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2"/>
        <w:rPr>
          <w:rFonts w:ascii="Calibri" w:hAnsi="Calibri" w:cs="Times New Roman"/>
          <w:sz w:val="22"/>
          <w:szCs w:val="22"/>
        </w:rPr>
      </w:pPr>
      <w:hyperlink w:anchor="_Toc450552718" w:history="1">
        <w:r w:rsidRPr="00E256A3">
          <w:rPr>
            <w:rStyle w:val="Hypertextovodkaz"/>
          </w:rPr>
          <w:t>4.1 Předmět pojištění, pojistná hodnota, pojistná částka</w:t>
        </w:r>
        <w:r>
          <w:rPr>
            <w:webHidden/>
          </w:rPr>
          <w:tab/>
        </w:r>
        <w:r>
          <w:rPr>
            <w:webHidden/>
          </w:rPr>
          <w:fldChar w:fldCharType="begin"/>
        </w:r>
        <w:r>
          <w:rPr>
            <w:webHidden/>
          </w:rPr>
          <w:instrText xml:space="preserve"> PAGEREF _Toc450552718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2"/>
        <w:rPr>
          <w:rFonts w:ascii="Calibri" w:hAnsi="Calibri" w:cs="Times New Roman"/>
          <w:sz w:val="22"/>
          <w:szCs w:val="22"/>
        </w:rPr>
      </w:pPr>
      <w:hyperlink w:anchor="_Toc450552719" w:history="1">
        <w:r w:rsidRPr="00E256A3">
          <w:rPr>
            <w:rStyle w:val="Hypertextovodkaz"/>
          </w:rPr>
          <w:t>4.2 Pojistná nebezpečí, limity plnění a spoluúčasti</w:t>
        </w:r>
        <w:r>
          <w:rPr>
            <w:webHidden/>
          </w:rPr>
          <w:tab/>
        </w:r>
        <w:r>
          <w:rPr>
            <w:webHidden/>
          </w:rPr>
          <w:fldChar w:fldCharType="begin"/>
        </w:r>
        <w:r>
          <w:rPr>
            <w:webHidden/>
          </w:rPr>
          <w:instrText xml:space="preserve"> PAGEREF _Toc450552719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2"/>
        <w:rPr>
          <w:rFonts w:ascii="Calibri" w:hAnsi="Calibri" w:cs="Times New Roman"/>
          <w:sz w:val="22"/>
          <w:szCs w:val="22"/>
        </w:rPr>
      </w:pPr>
      <w:hyperlink w:anchor="_Toc450552720" w:history="1">
        <w:r w:rsidRPr="00E256A3">
          <w:rPr>
            <w:rStyle w:val="Hypertextovodkaz"/>
          </w:rPr>
          <w:t>4.3 Zvláštní ujednání k pojištění skel</w:t>
        </w:r>
        <w:r>
          <w:rPr>
            <w:webHidden/>
          </w:rPr>
          <w:tab/>
        </w:r>
        <w:r>
          <w:rPr>
            <w:webHidden/>
          </w:rPr>
          <w:fldChar w:fldCharType="begin"/>
        </w:r>
        <w:r>
          <w:rPr>
            <w:webHidden/>
          </w:rPr>
          <w:instrText xml:space="preserve"> PAGEREF _Toc450552720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1"/>
        <w:rPr>
          <w:rFonts w:ascii="Calibri" w:hAnsi="Calibri" w:cs="Times New Roman"/>
          <w:sz w:val="22"/>
          <w:szCs w:val="22"/>
        </w:rPr>
      </w:pPr>
      <w:hyperlink w:anchor="_Toc450552721" w:history="1">
        <w:r w:rsidRPr="00E256A3">
          <w:rPr>
            <w:rStyle w:val="Hypertextovodkaz"/>
          </w:rPr>
          <w:t>5. Škodové pojištění elektroniky</w:t>
        </w:r>
        <w:r>
          <w:rPr>
            <w:webHidden/>
          </w:rPr>
          <w:tab/>
        </w:r>
        <w:r>
          <w:rPr>
            <w:webHidden/>
          </w:rPr>
          <w:fldChar w:fldCharType="begin"/>
        </w:r>
        <w:r>
          <w:rPr>
            <w:webHidden/>
          </w:rPr>
          <w:instrText xml:space="preserve"> PAGEREF _Toc450552721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2"/>
        <w:rPr>
          <w:rFonts w:ascii="Calibri" w:hAnsi="Calibri" w:cs="Times New Roman"/>
          <w:sz w:val="22"/>
          <w:szCs w:val="22"/>
        </w:rPr>
      </w:pPr>
      <w:hyperlink w:anchor="_Toc450552722" w:history="1">
        <w:r w:rsidRPr="00E256A3">
          <w:rPr>
            <w:rStyle w:val="Hypertextovodkaz"/>
          </w:rPr>
          <w:t>5.1 Předmět pojištění, pojistná hodnota, pojistná částka, spoluúčast</w:t>
        </w:r>
        <w:r>
          <w:rPr>
            <w:webHidden/>
          </w:rPr>
          <w:tab/>
        </w:r>
        <w:r>
          <w:rPr>
            <w:webHidden/>
          </w:rPr>
          <w:fldChar w:fldCharType="begin"/>
        </w:r>
        <w:r>
          <w:rPr>
            <w:webHidden/>
          </w:rPr>
          <w:instrText xml:space="preserve"> PAGEREF _Toc450552722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2"/>
        <w:rPr>
          <w:rFonts w:ascii="Calibri" w:hAnsi="Calibri" w:cs="Times New Roman"/>
          <w:sz w:val="22"/>
          <w:szCs w:val="22"/>
        </w:rPr>
      </w:pPr>
      <w:hyperlink w:anchor="_Toc450552723" w:history="1">
        <w:r w:rsidRPr="00E256A3">
          <w:rPr>
            <w:rStyle w:val="Hypertextovodkaz"/>
          </w:rPr>
          <w:t>5.2 Pojistná nebezpečí</w:t>
        </w:r>
        <w:r>
          <w:rPr>
            <w:webHidden/>
          </w:rPr>
          <w:tab/>
        </w:r>
        <w:r>
          <w:rPr>
            <w:webHidden/>
          </w:rPr>
          <w:fldChar w:fldCharType="begin"/>
        </w:r>
        <w:r>
          <w:rPr>
            <w:webHidden/>
          </w:rPr>
          <w:instrText xml:space="preserve"> PAGEREF _Toc450552723 \h </w:instrText>
        </w:r>
        <w:r>
          <w:rPr>
            <w:webHidden/>
          </w:rPr>
        </w:r>
        <w:r>
          <w:rPr>
            <w:webHidden/>
          </w:rPr>
          <w:fldChar w:fldCharType="separate"/>
        </w:r>
        <w:r w:rsidR="00171C89">
          <w:rPr>
            <w:webHidden/>
          </w:rPr>
          <w:t>13</w:t>
        </w:r>
        <w:r>
          <w:rPr>
            <w:webHidden/>
          </w:rPr>
          <w:fldChar w:fldCharType="end"/>
        </w:r>
      </w:hyperlink>
    </w:p>
    <w:p w:rsidR="00D8707D" w:rsidRPr="00162DAF" w:rsidRDefault="00D8707D">
      <w:pPr>
        <w:pStyle w:val="Obsah2"/>
        <w:rPr>
          <w:rFonts w:ascii="Calibri" w:hAnsi="Calibri" w:cs="Times New Roman"/>
          <w:sz w:val="22"/>
          <w:szCs w:val="22"/>
        </w:rPr>
      </w:pPr>
      <w:hyperlink w:anchor="_Toc450552724" w:history="1">
        <w:r w:rsidRPr="00E256A3">
          <w:rPr>
            <w:rStyle w:val="Hypertextovodkaz"/>
          </w:rPr>
          <w:t>5.3 Zvláštní ujednání k pojištění elektroniky</w:t>
        </w:r>
        <w:r>
          <w:rPr>
            <w:webHidden/>
          </w:rPr>
          <w:tab/>
        </w:r>
        <w:r>
          <w:rPr>
            <w:webHidden/>
          </w:rPr>
          <w:fldChar w:fldCharType="begin"/>
        </w:r>
        <w:r>
          <w:rPr>
            <w:webHidden/>
          </w:rPr>
          <w:instrText xml:space="preserve"> PAGEREF _Toc450552724 \h </w:instrText>
        </w:r>
        <w:r>
          <w:rPr>
            <w:webHidden/>
          </w:rPr>
        </w:r>
        <w:r>
          <w:rPr>
            <w:webHidden/>
          </w:rPr>
          <w:fldChar w:fldCharType="separate"/>
        </w:r>
        <w:r w:rsidR="00171C89">
          <w:rPr>
            <w:webHidden/>
          </w:rPr>
          <w:t>14</w:t>
        </w:r>
        <w:r>
          <w:rPr>
            <w:webHidden/>
          </w:rPr>
          <w:fldChar w:fldCharType="end"/>
        </w:r>
      </w:hyperlink>
    </w:p>
    <w:p w:rsidR="00D8707D" w:rsidRPr="00162DAF" w:rsidRDefault="00D8707D">
      <w:pPr>
        <w:pStyle w:val="Obsah1"/>
        <w:rPr>
          <w:rFonts w:ascii="Calibri" w:hAnsi="Calibri" w:cs="Times New Roman"/>
          <w:sz w:val="22"/>
          <w:szCs w:val="22"/>
        </w:rPr>
      </w:pPr>
      <w:hyperlink w:anchor="_Toc450552725" w:history="1">
        <w:r w:rsidRPr="00E256A3">
          <w:rPr>
            <w:rStyle w:val="Hypertextovodkaz"/>
          </w:rPr>
          <w:t>6. Škodové pojištění strojů</w:t>
        </w:r>
        <w:r>
          <w:rPr>
            <w:webHidden/>
          </w:rPr>
          <w:tab/>
        </w:r>
        <w:r>
          <w:rPr>
            <w:webHidden/>
          </w:rPr>
          <w:fldChar w:fldCharType="begin"/>
        </w:r>
        <w:r>
          <w:rPr>
            <w:webHidden/>
          </w:rPr>
          <w:instrText xml:space="preserve"> PAGEREF _Toc450552725 \h </w:instrText>
        </w:r>
        <w:r>
          <w:rPr>
            <w:webHidden/>
          </w:rPr>
        </w:r>
        <w:r>
          <w:rPr>
            <w:webHidden/>
          </w:rPr>
          <w:fldChar w:fldCharType="separate"/>
        </w:r>
        <w:r w:rsidR="00171C89">
          <w:rPr>
            <w:webHidden/>
          </w:rPr>
          <w:t>14</w:t>
        </w:r>
        <w:r>
          <w:rPr>
            <w:webHidden/>
          </w:rPr>
          <w:fldChar w:fldCharType="end"/>
        </w:r>
      </w:hyperlink>
    </w:p>
    <w:p w:rsidR="00D8707D" w:rsidRPr="00162DAF" w:rsidRDefault="00D8707D">
      <w:pPr>
        <w:pStyle w:val="Obsah2"/>
        <w:rPr>
          <w:rFonts w:ascii="Calibri" w:hAnsi="Calibri" w:cs="Times New Roman"/>
          <w:sz w:val="22"/>
          <w:szCs w:val="22"/>
        </w:rPr>
      </w:pPr>
      <w:hyperlink w:anchor="_Toc450552726" w:history="1">
        <w:r w:rsidRPr="00E256A3">
          <w:rPr>
            <w:rStyle w:val="Hypertextovodkaz"/>
          </w:rPr>
          <w:t>6.1 Předměty pojištění, pojistné částky, spoluúčasti</w:t>
        </w:r>
        <w:r>
          <w:rPr>
            <w:webHidden/>
          </w:rPr>
          <w:tab/>
        </w:r>
        <w:r>
          <w:rPr>
            <w:webHidden/>
          </w:rPr>
          <w:fldChar w:fldCharType="begin"/>
        </w:r>
        <w:r>
          <w:rPr>
            <w:webHidden/>
          </w:rPr>
          <w:instrText xml:space="preserve"> PAGEREF _Toc450552726 \h </w:instrText>
        </w:r>
        <w:r>
          <w:rPr>
            <w:webHidden/>
          </w:rPr>
        </w:r>
        <w:r>
          <w:rPr>
            <w:webHidden/>
          </w:rPr>
          <w:fldChar w:fldCharType="separate"/>
        </w:r>
        <w:r w:rsidR="00171C89">
          <w:rPr>
            <w:webHidden/>
          </w:rPr>
          <w:t>14</w:t>
        </w:r>
        <w:r>
          <w:rPr>
            <w:webHidden/>
          </w:rPr>
          <w:fldChar w:fldCharType="end"/>
        </w:r>
      </w:hyperlink>
    </w:p>
    <w:p w:rsidR="00D8707D" w:rsidRPr="00162DAF" w:rsidRDefault="00D8707D">
      <w:pPr>
        <w:pStyle w:val="Obsah2"/>
        <w:rPr>
          <w:rFonts w:ascii="Calibri" w:hAnsi="Calibri" w:cs="Times New Roman"/>
          <w:sz w:val="22"/>
          <w:szCs w:val="22"/>
        </w:rPr>
      </w:pPr>
      <w:hyperlink w:anchor="_Toc450552727" w:history="1">
        <w:r w:rsidRPr="00E256A3">
          <w:rPr>
            <w:rStyle w:val="Hypertextovodkaz"/>
          </w:rPr>
          <w:t>6.2 Pojistná nebezpečí, limity a spoluúčasti</w:t>
        </w:r>
        <w:r>
          <w:rPr>
            <w:webHidden/>
          </w:rPr>
          <w:tab/>
        </w:r>
        <w:r>
          <w:rPr>
            <w:webHidden/>
          </w:rPr>
          <w:fldChar w:fldCharType="begin"/>
        </w:r>
        <w:r>
          <w:rPr>
            <w:webHidden/>
          </w:rPr>
          <w:instrText xml:space="preserve"> PAGEREF _Toc450552727 \h </w:instrText>
        </w:r>
        <w:r>
          <w:rPr>
            <w:webHidden/>
          </w:rPr>
        </w:r>
        <w:r>
          <w:rPr>
            <w:webHidden/>
          </w:rPr>
          <w:fldChar w:fldCharType="separate"/>
        </w:r>
        <w:r w:rsidR="00171C89">
          <w:rPr>
            <w:webHidden/>
          </w:rPr>
          <w:t>14</w:t>
        </w:r>
        <w:r>
          <w:rPr>
            <w:webHidden/>
          </w:rPr>
          <w:fldChar w:fldCharType="end"/>
        </w:r>
      </w:hyperlink>
    </w:p>
    <w:p w:rsidR="00D8707D" w:rsidRPr="00162DAF" w:rsidRDefault="00D8707D">
      <w:pPr>
        <w:pStyle w:val="Obsah2"/>
        <w:rPr>
          <w:rFonts w:ascii="Calibri" w:hAnsi="Calibri" w:cs="Times New Roman"/>
          <w:sz w:val="22"/>
          <w:szCs w:val="22"/>
        </w:rPr>
      </w:pPr>
      <w:hyperlink w:anchor="_Toc450552728" w:history="1">
        <w:r w:rsidRPr="00E256A3">
          <w:rPr>
            <w:rStyle w:val="Hypertextovodkaz"/>
          </w:rPr>
          <w:t>6.3 Zvláštní ujednání k pojištění strojů</w:t>
        </w:r>
        <w:r>
          <w:rPr>
            <w:webHidden/>
          </w:rPr>
          <w:tab/>
        </w:r>
        <w:r>
          <w:rPr>
            <w:webHidden/>
          </w:rPr>
          <w:fldChar w:fldCharType="begin"/>
        </w:r>
        <w:r>
          <w:rPr>
            <w:webHidden/>
          </w:rPr>
          <w:instrText xml:space="preserve"> PAGEREF _Toc450552728 \h </w:instrText>
        </w:r>
        <w:r>
          <w:rPr>
            <w:webHidden/>
          </w:rPr>
        </w:r>
        <w:r>
          <w:rPr>
            <w:webHidden/>
          </w:rPr>
          <w:fldChar w:fldCharType="separate"/>
        </w:r>
        <w:r w:rsidR="00171C89">
          <w:rPr>
            <w:webHidden/>
          </w:rPr>
          <w:t>15</w:t>
        </w:r>
        <w:r>
          <w:rPr>
            <w:webHidden/>
          </w:rPr>
          <w:fldChar w:fldCharType="end"/>
        </w:r>
      </w:hyperlink>
    </w:p>
    <w:p w:rsidR="00D8707D" w:rsidRPr="00162DAF" w:rsidRDefault="00D8707D">
      <w:pPr>
        <w:pStyle w:val="Obsah1"/>
        <w:rPr>
          <w:rFonts w:ascii="Calibri" w:hAnsi="Calibri" w:cs="Times New Roman"/>
          <w:sz w:val="22"/>
          <w:szCs w:val="22"/>
        </w:rPr>
      </w:pPr>
      <w:hyperlink w:anchor="_Toc450552729" w:history="1">
        <w:r w:rsidRPr="00E256A3">
          <w:rPr>
            <w:rStyle w:val="Hypertextovodkaz"/>
          </w:rPr>
          <w:t>7. Škodové pojištění odpovědnosti</w:t>
        </w:r>
        <w:r>
          <w:rPr>
            <w:webHidden/>
          </w:rPr>
          <w:tab/>
        </w:r>
        <w:r>
          <w:rPr>
            <w:webHidden/>
          </w:rPr>
          <w:fldChar w:fldCharType="begin"/>
        </w:r>
        <w:r>
          <w:rPr>
            <w:webHidden/>
          </w:rPr>
          <w:instrText xml:space="preserve"> PAGEREF _Toc450552729 \h </w:instrText>
        </w:r>
        <w:r>
          <w:rPr>
            <w:webHidden/>
          </w:rPr>
        </w:r>
        <w:r>
          <w:rPr>
            <w:webHidden/>
          </w:rPr>
          <w:fldChar w:fldCharType="separate"/>
        </w:r>
        <w:r w:rsidR="00171C89">
          <w:rPr>
            <w:webHidden/>
          </w:rPr>
          <w:t>15</w:t>
        </w:r>
        <w:r>
          <w:rPr>
            <w:webHidden/>
          </w:rPr>
          <w:fldChar w:fldCharType="end"/>
        </w:r>
      </w:hyperlink>
    </w:p>
    <w:p w:rsidR="00D8707D" w:rsidRPr="00162DAF" w:rsidRDefault="00D8707D">
      <w:pPr>
        <w:pStyle w:val="Obsah2"/>
        <w:rPr>
          <w:rFonts w:ascii="Calibri" w:hAnsi="Calibri" w:cs="Times New Roman"/>
          <w:sz w:val="22"/>
          <w:szCs w:val="22"/>
        </w:rPr>
      </w:pPr>
      <w:hyperlink w:anchor="_Toc450552730" w:history="1">
        <w:r w:rsidRPr="00E256A3">
          <w:rPr>
            <w:rStyle w:val="Hypertextovodkaz"/>
          </w:rPr>
          <w:t>7.1 Pojištěná činnost</w:t>
        </w:r>
        <w:r>
          <w:rPr>
            <w:webHidden/>
          </w:rPr>
          <w:tab/>
        </w:r>
        <w:r>
          <w:rPr>
            <w:webHidden/>
          </w:rPr>
          <w:fldChar w:fldCharType="begin"/>
        </w:r>
        <w:r>
          <w:rPr>
            <w:webHidden/>
          </w:rPr>
          <w:instrText xml:space="preserve"> PAGEREF _Toc450552730 \h </w:instrText>
        </w:r>
        <w:r>
          <w:rPr>
            <w:webHidden/>
          </w:rPr>
        </w:r>
        <w:r>
          <w:rPr>
            <w:webHidden/>
          </w:rPr>
          <w:fldChar w:fldCharType="separate"/>
        </w:r>
        <w:r w:rsidR="00171C89">
          <w:rPr>
            <w:webHidden/>
          </w:rPr>
          <w:t>15</w:t>
        </w:r>
        <w:r>
          <w:rPr>
            <w:webHidden/>
          </w:rPr>
          <w:fldChar w:fldCharType="end"/>
        </w:r>
      </w:hyperlink>
    </w:p>
    <w:p w:rsidR="00D8707D" w:rsidRPr="00162DAF" w:rsidRDefault="00D8707D">
      <w:pPr>
        <w:pStyle w:val="Obsah2"/>
        <w:rPr>
          <w:rFonts w:ascii="Calibri" w:hAnsi="Calibri" w:cs="Times New Roman"/>
          <w:sz w:val="22"/>
          <w:szCs w:val="22"/>
        </w:rPr>
      </w:pPr>
      <w:hyperlink w:anchor="_Toc450552731" w:history="1">
        <w:r w:rsidRPr="00E256A3">
          <w:rPr>
            <w:rStyle w:val="Hypertextovodkaz"/>
          </w:rPr>
          <w:t>7.2 Základní parametry pojištění, předmět pojištění, limity pojistného plnění, spoluúčasti</w:t>
        </w:r>
        <w:r>
          <w:rPr>
            <w:webHidden/>
          </w:rPr>
          <w:tab/>
        </w:r>
        <w:r>
          <w:rPr>
            <w:webHidden/>
          </w:rPr>
          <w:fldChar w:fldCharType="begin"/>
        </w:r>
        <w:r>
          <w:rPr>
            <w:webHidden/>
          </w:rPr>
          <w:instrText xml:space="preserve"> PAGEREF _Toc450552731 \h </w:instrText>
        </w:r>
        <w:r>
          <w:rPr>
            <w:webHidden/>
          </w:rPr>
        </w:r>
        <w:r>
          <w:rPr>
            <w:webHidden/>
          </w:rPr>
          <w:fldChar w:fldCharType="separate"/>
        </w:r>
        <w:r w:rsidR="00171C89">
          <w:rPr>
            <w:webHidden/>
          </w:rPr>
          <w:t>16</w:t>
        </w:r>
        <w:r>
          <w:rPr>
            <w:webHidden/>
          </w:rPr>
          <w:fldChar w:fldCharType="end"/>
        </w:r>
      </w:hyperlink>
    </w:p>
    <w:p w:rsidR="00D8707D" w:rsidRPr="00162DAF" w:rsidRDefault="00D8707D">
      <w:pPr>
        <w:pStyle w:val="Obsah2"/>
        <w:rPr>
          <w:rFonts w:ascii="Calibri" w:hAnsi="Calibri" w:cs="Times New Roman"/>
          <w:sz w:val="22"/>
          <w:szCs w:val="22"/>
        </w:rPr>
      </w:pPr>
      <w:hyperlink w:anchor="_Toc450552732" w:history="1">
        <w:r w:rsidRPr="00E256A3">
          <w:rPr>
            <w:rStyle w:val="Hypertextovodkaz"/>
          </w:rPr>
          <w:t>7.3 Zvláštní ujednání k pojištění odpovědnosti</w:t>
        </w:r>
        <w:r>
          <w:rPr>
            <w:webHidden/>
          </w:rPr>
          <w:tab/>
        </w:r>
        <w:r>
          <w:rPr>
            <w:webHidden/>
          </w:rPr>
          <w:fldChar w:fldCharType="begin"/>
        </w:r>
        <w:r>
          <w:rPr>
            <w:webHidden/>
          </w:rPr>
          <w:instrText xml:space="preserve"> PAGEREF _Toc450552732 \h </w:instrText>
        </w:r>
        <w:r>
          <w:rPr>
            <w:webHidden/>
          </w:rPr>
        </w:r>
        <w:r>
          <w:rPr>
            <w:webHidden/>
          </w:rPr>
          <w:fldChar w:fldCharType="separate"/>
        </w:r>
        <w:r w:rsidR="00171C89">
          <w:rPr>
            <w:webHidden/>
          </w:rPr>
          <w:t>17</w:t>
        </w:r>
        <w:r>
          <w:rPr>
            <w:webHidden/>
          </w:rPr>
          <w:fldChar w:fldCharType="end"/>
        </w:r>
      </w:hyperlink>
    </w:p>
    <w:p w:rsidR="00D8707D" w:rsidRPr="00162DAF" w:rsidRDefault="00D8707D">
      <w:pPr>
        <w:pStyle w:val="Obsah1"/>
        <w:rPr>
          <w:rFonts w:ascii="Calibri" w:hAnsi="Calibri" w:cs="Times New Roman"/>
          <w:sz w:val="22"/>
          <w:szCs w:val="22"/>
        </w:rPr>
      </w:pPr>
      <w:hyperlink w:anchor="_Toc450552733" w:history="1">
        <w:r w:rsidRPr="00E256A3">
          <w:rPr>
            <w:rStyle w:val="Hypertextovodkaz"/>
          </w:rPr>
          <w:t>8. Povinná ujednání k pojistné smlouvě</w:t>
        </w:r>
        <w:r>
          <w:rPr>
            <w:webHidden/>
          </w:rPr>
          <w:tab/>
        </w:r>
        <w:r>
          <w:rPr>
            <w:webHidden/>
          </w:rPr>
          <w:fldChar w:fldCharType="begin"/>
        </w:r>
        <w:r>
          <w:rPr>
            <w:webHidden/>
          </w:rPr>
          <w:instrText xml:space="preserve"> PAGEREF _Toc450552733 \h </w:instrText>
        </w:r>
        <w:r>
          <w:rPr>
            <w:webHidden/>
          </w:rPr>
        </w:r>
        <w:r>
          <w:rPr>
            <w:webHidden/>
          </w:rPr>
          <w:fldChar w:fldCharType="separate"/>
        </w:r>
        <w:r w:rsidR="00171C89">
          <w:rPr>
            <w:webHidden/>
          </w:rPr>
          <w:t>18</w:t>
        </w:r>
        <w:r>
          <w:rPr>
            <w:webHidden/>
          </w:rPr>
          <w:fldChar w:fldCharType="end"/>
        </w:r>
      </w:hyperlink>
    </w:p>
    <w:p w:rsidR="00D8707D" w:rsidRPr="00162DAF" w:rsidRDefault="00D8707D">
      <w:pPr>
        <w:pStyle w:val="Obsah2"/>
        <w:rPr>
          <w:rFonts w:ascii="Calibri" w:hAnsi="Calibri" w:cs="Times New Roman"/>
          <w:sz w:val="22"/>
          <w:szCs w:val="22"/>
        </w:rPr>
      </w:pPr>
      <w:hyperlink w:anchor="_Toc450552734" w:history="1">
        <w:r w:rsidRPr="00E256A3">
          <w:rPr>
            <w:rStyle w:val="Hypertextovodkaz"/>
          </w:rPr>
          <w:t>8.1 Specifikace pojistné hodnoty</w:t>
        </w:r>
        <w:r>
          <w:rPr>
            <w:webHidden/>
          </w:rPr>
          <w:tab/>
        </w:r>
        <w:r>
          <w:rPr>
            <w:webHidden/>
          </w:rPr>
          <w:fldChar w:fldCharType="begin"/>
        </w:r>
        <w:r>
          <w:rPr>
            <w:webHidden/>
          </w:rPr>
          <w:instrText xml:space="preserve"> PAGEREF _Toc450552734 \h </w:instrText>
        </w:r>
        <w:r>
          <w:rPr>
            <w:webHidden/>
          </w:rPr>
        </w:r>
        <w:r>
          <w:rPr>
            <w:webHidden/>
          </w:rPr>
          <w:fldChar w:fldCharType="separate"/>
        </w:r>
        <w:r w:rsidR="00171C89">
          <w:rPr>
            <w:webHidden/>
          </w:rPr>
          <w:t>18</w:t>
        </w:r>
        <w:r>
          <w:rPr>
            <w:webHidden/>
          </w:rPr>
          <w:fldChar w:fldCharType="end"/>
        </w:r>
      </w:hyperlink>
    </w:p>
    <w:p w:rsidR="00D8707D" w:rsidRPr="00162DAF" w:rsidRDefault="00D8707D">
      <w:pPr>
        <w:pStyle w:val="Obsah2"/>
        <w:rPr>
          <w:rFonts w:ascii="Calibri" w:hAnsi="Calibri" w:cs="Times New Roman"/>
          <w:sz w:val="22"/>
          <w:szCs w:val="22"/>
        </w:rPr>
      </w:pPr>
      <w:hyperlink w:anchor="_Toc450552735" w:history="1">
        <w:r w:rsidRPr="00E256A3">
          <w:rPr>
            <w:rStyle w:val="Hypertextovodkaz"/>
          </w:rPr>
          <w:t>8.2 Pojistné plnění</w:t>
        </w:r>
        <w:r>
          <w:rPr>
            <w:webHidden/>
          </w:rPr>
          <w:tab/>
        </w:r>
        <w:r>
          <w:rPr>
            <w:webHidden/>
          </w:rPr>
          <w:fldChar w:fldCharType="begin"/>
        </w:r>
        <w:r>
          <w:rPr>
            <w:webHidden/>
          </w:rPr>
          <w:instrText xml:space="preserve"> PAGEREF _Toc450552735 \h </w:instrText>
        </w:r>
        <w:r>
          <w:rPr>
            <w:webHidden/>
          </w:rPr>
        </w:r>
        <w:r>
          <w:rPr>
            <w:webHidden/>
          </w:rPr>
          <w:fldChar w:fldCharType="separate"/>
        </w:r>
        <w:r w:rsidR="00171C89">
          <w:rPr>
            <w:webHidden/>
          </w:rPr>
          <w:t>18</w:t>
        </w:r>
        <w:r>
          <w:rPr>
            <w:webHidden/>
          </w:rPr>
          <w:fldChar w:fldCharType="end"/>
        </w:r>
      </w:hyperlink>
    </w:p>
    <w:p w:rsidR="00D8707D" w:rsidRPr="00162DAF" w:rsidRDefault="00D8707D">
      <w:pPr>
        <w:pStyle w:val="Obsah1"/>
        <w:rPr>
          <w:rFonts w:ascii="Calibri" w:hAnsi="Calibri" w:cs="Times New Roman"/>
          <w:sz w:val="22"/>
          <w:szCs w:val="22"/>
        </w:rPr>
      </w:pPr>
      <w:hyperlink w:anchor="_Toc450552736" w:history="1">
        <w:r w:rsidRPr="00E256A3">
          <w:rPr>
            <w:rStyle w:val="Hypertextovodkaz"/>
          </w:rPr>
          <w:t>9. Ostatní ujednání</w:t>
        </w:r>
        <w:r>
          <w:rPr>
            <w:webHidden/>
          </w:rPr>
          <w:tab/>
        </w:r>
        <w:r>
          <w:rPr>
            <w:webHidden/>
          </w:rPr>
          <w:fldChar w:fldCharType="begin"/>
        </w:r>
        <w:r>
          <w:rPr>
            <w:webHidden/>
          </w:rPr>
          <w:instrText xml:space="preserve"> PAGEREF _Toc450552736 \h </w:instrText>
        </w:r>
        <w:r>
          <w:rPr>
            <w:webHidden/>
          </w:rPr>
        </w:r>
        <w:r>
          <w:rPr>
            <w:webHidden/>
          </w:rPr>
          <w:fldChar w:fldCharType="separate"/>
        </w:r>
        <w:r w:rsidR="00171C89">
          <w:rPr>
            <w:webHidden/>
          </w:rPr>
          <w:t>19</w:t>
        </w:r>
        <w:r>
          <w:rPr>
            <w:webHidden/>
          </w:rPr>
          <w:fldChar w:fldCharType="end"/>
        </w:r>
      </w:hyperlink>
    </w:p>
    <w:p w:rsidR="00D8707D" w:rsidRPr="00162DAF" w:rsidRDefault="00D8707D">
      <w:pPr>
        <w:pStyle w:val="Obsah1"/>
        <w:rPr>
          <w:rFonts w:ascii="Calibri" w:hAnsi="Calibri" w:cs="Times New Roman"/>
          <w:sz w:val="22"/>
          <w:szCs w:val="22"/>
        </w:rPr>
      </w:pPr>
      <w:hyperlink w:anchor="_Toc450552737" w:history="1">
        <w:r w:rsidRPr="00E256A3">
          <w:rPr>
            <w:rStyle w:val="Hypertextovodkaz"/>
          </w:rPr>
          <w:t>10. Výklad pojmů</w:t>
        </w:r>
        <w:r>
          <w:rPr>
            <w:webHidden/>
          </w:rPr>
          <w:tab/>
        </w:r>
        <w:r>
          <w:rPr>
            <w:webHidden/>
          </w:rPr>
          <w:fldChar w:fldCharType="begin"/>
        </w:r>
        <w:r>
          <w:rPr>
            <w:webHidden/>
          </w:rPr>
          <w:instrText xml:space="preserve"> PAGEREF _Toc450552737 \h </w:instrText>
        </w:r>
        <w:r>
          <w:rPr>
            <w:webHidden/>
          </w:rPr>
        </w:r>
        <w:r>
          <w:rPr>
            <w:webHidden/>
          </w:rPr>
          <w:fldChar w:fldCharType="separate"/>
        </w:r>
        <w:r w:rsidR="00171C89">
          <w:rPr>
            <w:webHidden/>
          </w:rPr>
          <w:t>19</w:t>
        </w:r>
        <w:r>
          <w:rPr>
            <w:webHidden/>
          </w:rPr>
          <w:fldChar w:fldCharType="end"/>
        </w:r>
      </w:hyperlink>
    </w:p>
    <w:p w:rsidR="00D8707D" w:rsidRPr="00162DAF" w:rsidRDefault="00D8707D">
      <w:pPr>
        <w:pStyle w:val="Obsah1"/>
        <w:rPr>
          <w:rFonts w:ascii="Calibri" w:hAnsi="Calibri" w:cs="Times New Roman"/>
          <w:sz w:val="22"/>
          <w:szCs w:val="22"/>
        </w:rPr>
      </w:pPr>
      <w:hyperlink w:anchor="_Toc450552738" w:history="1">
        <w:r w:rsidRPr="00E256A3">
          <w:rPr>
            <w:rStyle w:val="Hypertextovodkaz"/>
          </w:rPr>
          <w:t>11. Místo pojištění</w:t>
        </w:r>
        <w:r>
          <w:rPr>
            <w:webHidden/>
          </w:rPr>
          <w:tab/>
        </w:r>
        <w:r>
          <w:rPr>
            <w:webHidden/>
          </w:rPr>
          <w:fldChar w:fldCharType="begin"/>
        </w:r>
        <w:r>
          <w:rPr>
            <w:webHidden/>
          </w:rPr>
          <w:instrText xml:space="preserve"> PAGEREF _Toc450552738 \h </w:instrText>
        </w:r>
        <w:r>
          <w:rPr>
            <w:webHidden/>
          </w:rPr>
        </w:r>
        <w:r>
          <w:rPr>
            <w:webHidden/>
          </w:rPr>
          <w:fldChar w:fldCharType="separate"/>
        </w:r>
        <w:r w:rsidR="00171C89">
          <w:rPr>
            <w:webHidden/>
          </w:rPr>
          <w:t>20</w:t>
        </w:r>
        <w:r>
          <w:rPr>
            <w:webHidden/>
          </w:rPr>
          <w:fldChar w:fldCharType="end"/>
        </w:r>
      </w:hyperlink>
    </w:p>
    <w:p w:rsidR="00D8707D" w:rsidRPr="00162DAF" w:rsidRDefault="00D8707D">
      <w:pPr>
        <w:pStyle w:val="Obsah1"/>
        <w:rPr>
          <w:rFonts w:ascii="Calibri" w:hAnsi="Calibri" w:cs="Times New Roman"/>
          <w:sz w:val="22"/>
          <w:szCs w:val="22"/>
        </w:rPr>
      </w:pPr>
      <w:hyperlink w:anchor="_Toc450552739" w:history="1">
        <w:r w:rsidRPr="00E256A3">
          <w:rPr>
            <w:rStyle w:val="Hypertextovodkaz"/>
          </w:rPr>
          <w:t>12. Makléřská doložka</w:t>
        </w:r>
        <w:r>
          <w:rPr>
            <w:webHidden/>
          </w:rPr>
          <w:tab/>
        </w:r>
        <w:r>
          <w:rPr>
            <w:webHidden/>
          </w:rPr>
          <w:fldChar w:fldCharType="begin"/>
        </w:r>
        <w:r>
          <w:rPr>
            <w:webHidden/>
          </w:rPr>
          <w:instrText xml:space="preserve"> PAGEREF _Toc450552739 \h </w:instrText>
        </w:r>
        <w:r>
          <w:rPr>
            <w:webHidden/>
          </w:rPr>
        </w:r>
        <w:r>
          <w:rPr>
            <w:webHidden/>
          </w:rPr>
          <w:fldChar w:fldCharType="separate"/>
        </w:r>
        <w:r w:rsidR="00171C89">
          <w:rPr>
            <w:webHidden/>
          </w:rPr>
          <w:t>20</w:t>
        </w:r>
        <w:r>
          <w:rPr>
            <w:webHidden/>
          </w:rPr>
          <w:fldChar w:fldCharType="end"/>
        </w:r>
      </w:hyperlink>
    </w:p>
    <w:p w:rsidR="00D8707D" w:rsidRPr="00162DAF" w:rsidRDefault="00D8707D">
      <w:pPr>
        <w:pStyle w:val="Obsah1"/>
        <w:rPr>
          <w:rFonts w:ascii="Calibri" w:hAnsi="Calibri" w:cs="Times New Roman"/>
          <w:sz w:val="22"/>
          <w:szCs w:val="22"/>
        </w:rPr>
      </w:pPr>
      <w:hyperlink w:anchor="_Toc450552740" w:history="1">
        <w:r w:rsidRPr="00E256A3">
          <w:rPr>
            <w:rStyle w:val="Hypertextovodkaz"/>
          </w:rPr>
          <w:t>13. Změna rozsahu pojištěni</w:t>
        </w:r>
        <w:r>
          <w:rPr>
            <w:webHidden/>
          </w:rPr>
          <w:tab/>
        </w:r>
        <w:r>
          <w:rPr>
            <w:webHidden/>
          </w:rPr>
          <w:fldChar w:fldCharType="begin"/>
        </w:r>
        <w:r>
          <w:rPr>
            <w:webHidden/>
          </w:rPr>
          <w:instrText xml:space="preserve"> PAGEREF _Toc450552740 \h </w:instrText>
        </w:r>
        <w:r>
          <w:rPr>
            <w:webHidden/>
          </w:rPr>
        </w:r>
        <w:r>
          <w:rPr>
            <w:webHidden/>
          </w:rPr>
          <w:fldChar w:fldCharType="separate"/>
        </w:r>
        <w:r w:rsidR="00171C89">
          <w:rPr>
            <w:webHidden/>
          </w:rPr>
          <w:t>20</w:t>
        </w:r>
        <w:r>
          <w:rPr>
            <w:webHidden/>
          </w:rPr>
          <w:fldChar w:fldCharType="end"/>
        </w:r>
      </w:hyperlink>
    </w:p>
    <w:p w:rsidR="00D8707D" w:rsidRPr="00162DAF" w:rsidRDefault="00D8707D">
      <w:pPr>
        <w:pStyle w:val="Obsah1"/>
        <w:rPr>
          <w:rFonts w:ascii="Calibri" w:hAnsi="Calibri" w:cs="Times New Roman"/>
          <w:sz w:val="22"/>
          <w:szCs w:val="22"/>
        </w:rPr>
      </w:pPr>
      <w:hyperlink w:anchor="_Toc450552741" w:history="1">
        <w:r w:rsidRPr="00E256A3">
          <w:rPr>
            <w:rStyle w:val="Hypertextovodkaz"/>
          </w:rPr>
          <w:t>14. Doba, na kterou se uzavírá pojistná smlouva (doba trvání pojištění), pojistné období</w:t>
        </w:r>
        <w:r>
          <w:rPr>
            <w:webHidden/>
          </w:rPr>
          <w:tab/>
        </w:r>
        <w:r>
          <w:rPr>
            <w:webHidden/>
          </w:rPr>
          <w:fldChar w:fldCharType="begin"/>
        </w:r>
        <w:r>
          <w:rPr>
            <w:webHidden/>
          </w:rPr>
          <w:instrText xml:space="preserve"> PAGEREF _Toc450552741 \h </w:instrText>
        </w:r>
        <w:r>
          <w:rPr>
            <w:webHidden/>
          </w:rPr>
        </w:r>
        <w:r>
          <w:rPr>
            <w:webHidden/>
          </w:rPr>
          <w:fldChar w:fldCharType="separate"/>
        </w:r>
        <w:r w:rsidR="00171C89">
          <w:rPr>
            <w:webHidden/>
          </w:rPr>
          <w:t>21</w:t>
        </w:r>
        <w:r>
          <w:rPr>
            <w:webHidden/>
          </w:rPr>
          <w:fldChar w:fldCharType="end"/>
        </w:r>
      </w:hyperlink>
    </w:p>
    <w:p w:rsidR="00D8707D" w:rsidRPr="00162DAF" w:rsidRDefault="00D8707D">
      <w:pPr>
        <w:pStyle w:val="Obsah1"/>
        <w:rPr>
          <w:rFonts w:ascii="Calibri" w:hAnsi="Calibri" w:cs="Times New Roman"/>
          <w:sz w:val="22"/>
          <w:szCs w:val="22"/>
        </w:rPr>
      </w:pPr>
      <w:hyperlink w:anchor="_Toc450552742" w:history="1">
        <w:r w:rsidRPr="00E256A3">
          <w:rPr>
            <w:rStyle w:val="Hypertextovodkaz"/>
          </w:rPr>
          <w:t>15. Cena a platební podmínky</w:t>
        </w:r>
        <w:r>
          <w:rPr>
            <w:webHidden/>
          </w:rPr>
          <w:tab/>
        </w:r>
        <w:r>
          <w:rPr>
            <w:webHidden/>
          </w:rPr>
          <w:fldChar w:fldCharType="begin"/>
        </w:r>
        <w:r>
          <w:rPr>
            <w:webHidden/>
          </w:rPr>
          <w:instrText xml:space="preserve"> PAGEREF _Toc450552742 \h </w:instrText>
        </w:r>
        <w:r>
          <w:rPr>
            <w:webHidden/>
          </w:rPr>
        </w:r>
        <w:r>
          <w:rPr>
            <w:webHidden/>
          </w:rPr>
          <w:fldChar w:fldCharType="separate"/>
        </w:r>
        <w:r w:rsidR="00171C89">
          <w:rPr>
            <w:webHidden/>
          </w:rPr>
          <w:t>21</w:t>
        </w:r>
        <w:r>
          <w:rPr>
            <w:webHidden/>
          </w:rPr>
          <w:fldChar w:fldCharType="end"/>
        </w:r>
      </w:hyperlink>
    </w:p>
    <w:p w:rsidR="00D8707D" w:rsidRPr="00162DAF" w:rsidRDefault="00D8707D">
      <w:pPr>
        <w:pStyle w:val="Obsah1"/>
        <w:rPr>
          <w:rFonts w:ascii="Calibri" w:hAnsi="Calibri" w:cs="Times New Roman"/>
          <w:sz w:val="22"/>
          <w:szCs w:val="22"/>
        </w:rPr>
      </w:pPr>
      <w:hyperlink w:anchor="_Toc450552743" w:history="1">
        <w:r w:rsidRPr="00E256A3">
          <w:rPr>
            <w:rStyle w:val="Hypertextovodkaz"/>
          </w:rPr>
          <w:t>16. Změny smluvních podmínek</w:t>
        </w:r>
        <w:r>
          <w:rPr>
            <w:webHidden/>
          </w:rPr>
          <w:tab/>
        </w:r>
        <w:r>
          <w:rPr>
            <w:webHidden/>
          </w:rPr>
          <w:fldChar w:fldCharType="begin"/>
        </w:r>
        <w:r>
          <w:rPr>
            <w:webHidden/>
          </w:rPr>
          <w:instrText xml:space="preserve"> PAGEREF _Toc450552743 \h </w:instrText>
        </w:r>
        <w:r>
          <w:rPr>
            <w:webHidden/>
          </w:rPr>
        </w:r>
        <w:r>
          <w:rPr>
            <w:webHidden/>
          </w:rPr>
          <w:fldChar w:fldCharType="separate"/>
        </w:r>
        <w:r w:rsidR="00171C89">
          <w:rPr>
            <w:webHidden/>
          </w:rPr>
          <w:t>21</w:t>
        </w:r>
        <w:r>
          <w:rPr>
            <w:webHidden/>
          </w:rPr>
          <w:fldChar w:fldCharType="end"/>
        </w:r>
      </w:hyperlink>
    </w:p>
    <w:p w:rsidR="00D8707D" w:rsidRPr="00162DAF" w:rsidRDefault="00D8707D">
      <w:pPr>
        <w:pStyle w:val="Obsah1"/>
        <w:rPr>
          <w:rFonts w:ascii="Calibri" w:hAnsi="Calibri" w:cs="Times New Roman"/>
          <w:sz w:val="22"/>
          <w:szCs w:val="22"/>
        </w:rPr>
      </w:pPr>
      <w:hyperlink w:anchor="_Toc450552744" w:history="1">
        <w:r w:rsidRPr="00E256A3">
          <w:rPr>
            <w:rStyle w:val="Hypertextovodkaz"/>
          </w:rPr>
          <w:t>17. Bonifikace za příznivý škodní průběh</w:t>
        </w:r>
        <w:r>
          <w:rPr>
            <w:webHidden/>
          </w:rPr>
          <w:tab/>
        </w:r>
        <w:r>
          <w:rPr>
            <w:webHidden/>
          </w:rPr>
          <w:fldChar w:fldCharType="begin"/>
        </w:r>
        <w:r>
          <w:rPr>
            <w:webHidden/>
          </w:rPr>
          <w:instrText xml:space="preserve"> PAGEREF _Toc450552744 \h </w:instrText>
        </w:r>
        <w:r>
          <w:rPr>
            <w:webHidden/>
          </w:rPr>
        </w:r>
        <w:r>
          <w:rPr>
            <w:webHidden/>
          </w:rPr>
          <w:fldChar w:fldCharType="separate"/>
        </w:r>
        <w:r w:rsidR="00171C89">
          <w:rPr>
            <w:webHidden/>
          </w:rPr>
          <w:t>21</w:t>
        </w:r>
        <w:r>
          <w:rPr>
            <w:webHidden/>
          </w:rPr>
          <w:fldChar w:fldCharType="end"/>
        </w:r>
      </w:hyperlink>
    </w:p>
    <w:p w:rsidR="00D8707D" w:rsidRPr="00162DAF" w:rsidRDefault="00D8707D">
      <w:pPr>
        <w:pStyle w:val="Obsah1"/>
        <w:rPr>
          <w:rFonts w:ascii="Calibri" w:hAnsi="Calibri" w:cs="Times New Roman"/>
          <w:sz w:val="22"/>
          <w:szCs w:val="22"/>
        </w:rPr>
      </w:pPr>
      <w:hyperlink w:anchor="_Toc450552745" w:history="1">
        <w:r w:rsidRPr="00E256A3">
          <w:rPr>
            <w:rStyle w:val="Hypertextovodkaz"/>
          </w:rPr>
          <w:t>18. Škodní průběh 2012-2015</w:t>
        </w:r>
        <w:r>
          <w:rPr>
            <w:webHidden/>
          </w:rPr>
          <w:tab/>
        </w:r>
        <w:r>
          <w:rPr>
            <w:webHidden/>
          </w:rPr>
          <w:fldChar w:fldCharType="begin"/>
        </w:r>
        <w:r>
          <w:rPr>
            <w:webHidden/>
          </w:rPr>
          <w:instrText xml:space="preserve"> PAGEREF _Toc450552745 \h </w:instrText>
        </w:r>
        <w:r>
          <w:rPr>
            <w:webHidden/>
          </w:rPr>
        </w:r>
        <w:r>
          <w:rPr>
            <w:webHidden/>
          </w:rPr>
          <w:fldChar w:fldCharType="separate"/>
        </w:r>
        <w:r w:rsidR="00171C89">
          <w:rPr>
            <w:webHidden/>
          </w:rPr>
          <w:t>22</w:t>
        </w:r>
        <w:r>
          <w:rPr>
            <w:webHidden/>
          </w:rPr>
          <w:fldChar w:fldCharType="end"/>
        </w:r>
      </w:hyperlink>
    </w:p>
    <w:p w:rsidR="00D8707D" w:rsidRPr="00162DAF" w:rsidRDefault="00D8707D">
      <w:pPr>
        <w:pStyle w:val="Obsah2"/>
        <w:rPr>
          <w:rFonts w:ascii="Calibri" w:hAnsi="Calibri" w:cs="Times New Roman"/>
          <w:sz w:val="22"/>
          <w:szCs w:val="22"/>
        </w:rPr>
      </w:pPr>
      <w:hyperlink w:anchor="_Toc450552746" w:history="1">
        <w:r w:rsidRPr="00E256A3">
          <w:rPr>
            <w:rStyle w:val="Hypertextovodkaz"/>
          </w:rPr>
          <w:t>18.1 Pojištění majetku</w:t>
        </w:r>
        <w:r>
          <w:rPr>
            <w:webHidden/>
          </w:rPr>
          <w:tab/>
        </w:r>
        <w:r>
          <w:rPr>
            <w:webHidden/>
          </w:rPr>
          <w:fldChar w:fldCharType="begin"/>
        </w:r>
        <w:r>
          <w:rPr>
            <w:webHidden/>
          </w:rPr>
          <w:instrText xml:space="preserve"> PAGEREF _Toc450552746 \h </w:instrText>
        </w:r>
        <w:r>
          <w:rPr>
            <w:webHidden/>
          </w:rPr>
        </w:r>
        <w:r>
          <w:rPr>
            <w:webHidden/>
          </w:rPr>
          <w:fldChar w:fldCharType="separate"/>
        </w:r>
        <w:r w:rsidR="00171C89">
          <w:rPr>
            <w:webHidden/>
          </w:rPr>
          <w:t>22</w:t>
        </w:r>
        <w:r>
          <w:rPr>
            <w:webHidden/>
          </w:rPr>
          <w:fldChar w:fldCharType="end"/>
        </w:r>
      </w:hyperlink>
    </w:p>
    <w:p w:rsidR="00D8707D" w:rsidRPr="00162DAF" w:rsidRDefault="00D8707D">
      <w:pPr>
        <w:pStyle w:val="Obsah2"/>
        <w:rPr>
          <w:rFonts w:ascii="Calibri" w:hAnsi="Calibri" w:cs="Times New Roman"/>
          <w:sz w:val="22"/>
          <w:szCs w:val="22"/>
        </w:rPr>
      </w:pPr>
      <w:hyperlink w:anchor="_Toc450552747" w:history="1">
        <w:r w:rsidRPr="00E256A3">
          <w:rPr>
            <w:rStyle w:val="Hypertextovodkaz"/>
          </w:rPr>
          <w:t>18.2 Pojištění odpovědnosti</w:t>
        </w:r>
        <w:r>
          <w:rPr>
            <w:webHidden/>
          </w:rPr>
          <w:tab/>
        </w:r>
        <w:r>
          <w:rPr>
            <w:webHidden/>
          </w:rPr>
          <w:fldChar w:fldCharType="begin"/>
        </w:r>
        <w:r>
          <w:rPr>
            <w:webHidden/>
          </w:rPr>
          <w:instrText xml:space="preserve"> PAGEREF _Toc450552747 \h </w:instrText>
        </w:r>
        <w:r>
          <w:rPr>
            <w:webHidden/>
          </w:rPr>
        </w:r>
        <w:r>
          <w:rPr>
            <w:webHidden/>
          </w:rPr>
          <w:fldChar w:fldCharType="separate"/>
        </w:r>
        <w:r w:rsidR="00171C89">
          <w:rPr>
            <w:webHidden/>
          </w:rPr>
          <w:t>22</w:t>
        </w:r>
        <w:r>
          <w:rPr>
            <w:webHidden/>
          </w:rPr>
          <w:fldChar w:fldCharType="end"/>
        </w:r>
      </w:hyperlink>
    </w:p>
    <w:p w:rsidR="00D47CF4" w:rsidRPr="00387BA8" w:rsidRDefault="00D47CF4" w:rsidP="00706E7B">
      <w:pPr>
        <w:pStyle w:val="Obsah1"/>
      </w:pPr>
      <w:r w:rsidRPr="00387BA8">
        <w:fldChar w:fldCharType="end"/>
      </w:r>
    </w:p>
    <w:p w:rsidR="00D47CF4" w:rsidRPr="00387BA8" w:rsidRDefault="00D47CF4" w:rsidP="00D47CF4">
      <w:pPr>
        <w:rPr>
          <w:sz w:val="20"/>
        </w:rPr>
      </w:pPr>
    </w:p>
    <w:p w:rsidR="00D47CF4" w:rsidRPr="00387BA8" w:rsidRDefault="00D47CF4" w:rsidP="00D47CF4">
      <w:pPr>
        <w:rPr>
          <w:sz w:val="20"/>
        </w:rPr>
      </w:pPr>
    </w:p>
    <w:p w:rsidR="00D47CF4" w:rsidRPr="00387BA8" w:rsidRDefault="005803D0" w:rsidP="009C76A7">
      <w:pPr>
        <w:pStyle w:val="Nadpis1"/>
        <w:pageBreakBefore/>
        <w:ind w:left="431" w:hanging="431"/>
      </w:pPr>
      <w:bookmarkStart w:id="1" w:name="_Toc450552705"/>
      <w:r w:rsidRPr="00387BA8">
        <w:lastRenderedPageBreak/>
        <w:t>Identifikace pojistníka a pojištěných subjektů</w:t>
      </w:r>
      <w:bookmarkEnd w:id="1"/>
    </w:p>
    <w:p w:rsidR="005803D0" w:rsidRDefault="005803D0" w:rsidP="00A83A3C">
      <w:pPr>
        <w:pStyle w:val="Nadpis2"/>
      </w:pPr>
      <w:bookmarkStart w:id="2" w:name="_Toc450552706"/>
      <w:r w:rsidRPr="00A83A3C">
        <w:t>Pojistník a pojištěný</w:t>
      </w:r>
      <w:bookmarkEnd w:id="2"/>
    </w:p>
    <w:p w:rsidR="005803D0" w:rsidRPr="00387BA8" w:rsidRDefault="005803D0" w:rsidP="005803D0">
      <w:pPr>
        <w:pStyle w:val="BodyText3"/>
        <w:spacing w:line="24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0"/>
        <w:gridCol w:w="7440"/>
      </w:tblGrid>
      <w:tr w:rsidR="005803D0" w:rsidRPr="00387BA8" w:rsidTr="002F5ACF">
        <w:tblPrEx>
          <w:tblCellMar>
            <w:top w:w="0" w:type="dxa"/>
            <w:bottom w:w="0" w:type="dxa"/>
          </w:tblCellMar>
        </w:tblPrEx>
        <w:tc>
          <w:tcPr>
            <w:tcW w:w="961" w:type="pct"/>
            <w:shd w:val="clear" w:color="auto" w:fill="F2F2F2"/>
          </w:tcPr>
          <w:p w:rsidR="005803D0" w:rsidRPr="008D400F" w:rsidRDefault="00A83A3C" w:rsidP="00D14C45">
            <w:pPr>
              <w:rPr>
                <w:szCs w:val="18"/>
              </w:rPr>
            </w:pPr>
            <w:r w:rsidRPr="008D400F">
              <w:rPr>
                <w:szCs w:val="18"/>
              </w:rPr>
              <w:t>Název</w:t>
            </w:r>
          </w:p>
        </w:tc>
        <w:tc>
          <w:tcPr>
            <w:tcW w:w="4039" w:type="pct"/>
            <w:vAlign w:val="center"/>
          </w:tcPr>
          <w:p w:rsidR="005803D0" w:rsidRPr="008D400F" w:rsidRDefault="005803D0" w:rsidP="00D14C45">
            <w:pPr>
              <w:rPr>
                <w:bCs/>
                <w:szCs w:val="18"/>
              </w:rPr>
            </w:pPr>
            <w:r w:rsidRPr="008D400F">
              <w:rPr>
                <w:bCs/>
                <w:szCs w:val="18"/>
              </w:rPr>
              <w:t>Město Znojmo</w:t>
            </w:r>
          </w:p>
        </w:tc>
      </w:tr>
      <w:tr w:rsidR="005803D0" w:rsidRPr="00387BA8" w:rsidTr="002F5ACF">
        <w:tblPrEx>
          <w:tblCellMar>
            <w:top w:w="0" w:type="dxa"/>
            <w:bottom w:w="0" w:type="dxa"/>
          </w:tblCellMar>
        </w:tblPrEx>
        <w:tc>
          <w:tcPr>
            <w:tcW w:w="961" w:type="pct"/>
            <w:shd w:val="clear" w:color="auto" w:fill="F2F2F2"/>
          </w:tcPr>
          <w:p w:rsidR="005803D0" w:rsidRPr="008D400F" w:rsidRDefault="00A83A3C" w:rsidP="00D14C45">
            <w:pPr>
              <w:rPr>
                <w:szCs w:val="18"/>
              </w:rPr>
            </w:pPr>
            <w:r w:rsidRPr="008D400F">
              <w:rPr>
                <w:szCs w:val="18"/>
              </w:rPr>
              <w:t>Adresa</w:t>
            </w:r>
          </w:p>
        </w:tc>
        <w:tc>
          <w:tcPr>
            <w:tcW w:w="4039" w:type="pct"/>
            <w:vAlign w:val="center"/>
          </w:tcPr>
          <w:p w:rsidR="005803D0" w:rsidRPr="008D400F" w:rsidRDefault="005803D0" w:rsidP="00CC21E5">
            <w:pPr>
              <w:rPr>
                <w:bCs/>
                <w:szCs w:val="18"/>
              </w:rPr>
            </w:pPr>
            <w:r w:rsidRPr="008D400F">
              <w:rPr>
                <w:bCs/>
                <w:szCs w:val="18"/>
              </w:rPr>
              <w:t xml:space="preserve">669 22 Znojmo, </w:t>
            </w:r>
            <w:proofErr w:type="spellStart"/>
            <w:r w:rsidRPr="008D400F">
              <w:rPr>
                <w:bCs/>
                <w:szCs w:val="18"/>
              </w:rPr>
              <w:t>Obrokov</w:t>
            </w:r>
            <w:r w:rsidR="00CC21E5" w:rsidRPr="008D400F">
              <w:rPr>
                <w:bCs/>
                <w:szCs w:val="18"/>
              </w:rPr>
              <w:t>á</w:t>
            </w:r>
            <w:proofErr w:type="spellEnd"/>
            <w:r w:rsidRPr="008D400F">
              <w:rPr>
                <w:bCs/>
                <w:szCs w:val="18"/>
              </w:rPr>
              <w:t xml:space="preserve"> 1/12</w:t>
            </w:r>
          </w:p>
        </w:tc>
      </w:tr>
      <w:tr w:rsidR="005803D0" w:rsidRPr="00387BA8" w:rsidTr="002F5ACF">
        <w:tblPrEx>
          <w:tblCellMar>
            <w:top w:w="0" w:type="dxa"/>
            <w:bottom w:w="0" w:type="dxa"/>
          </w:tblCellMar>
        </w:tblPrEx>
        <w:tc>
          <w:tcPr>
            <w:tcW w:w="961" w:type="pct"/>
            <w:shd w:val="clear" w:color="auto" w:fill="F2F2F2"/>
          </w:tcPr>
          <w:p w:rsidR="005803D0" w:rsidRPr="008D400F" w:rsidRDefault="005803D0" w:rsidP="00D14C45">
            <w:pPr>
              <w:rPr>
                <w:szCs w:val="18"/>
              </w:rPr>
            </w:pPr>
            <w:r w:rsidRPr="008D400F">
              <w:rPr>
                <w:szCs w:val="18"/>
              </w:rPr>
              <w:t>IĆ</w:t>
            </w:r>
          </w:p>
        </w:tc>
        <w:tc>
          <w:tcPr>
            <w:tcW w:w="4039" w:type="pct"/>
            <w:vAlign w:val="center"/>
          </w:tcPr>
          <w:p w:rsidR="005803D0" w:rsidRPr="008D400F" w:rsidRDefault="005803D0" w:rsidP="00D14C45">
            <w:pPr>
              <w:rPr>
                <w:bCs/>
                <w:szCs w:val="18"/>
              </w:rPr>
            </w:pPr>
            <w:r w:rsidRPr="008D400F">
              <w:rPr>
                <w:bCs/>
                <w:szCs w:val="18"/>
              </w:rPr>
              <w:t>00293881</w:t>
            </w:r>
          </w:p>
        </w:tc>
      </w:tr>
      <w:tr w:rsidR="005803D0" w:rsidRPr="00387BA8" w:rsidTr="002F5ACF">
        <w:tblPrEx>
          <w:tblCellMar>
            <w:top w:w="0" w:type="dxa"/>
            <w:bottom w:w="0" w:type="dxa"/>
          </w:tblCellMar>
        </w:tblPrEx>
        <w:tc>
          <w:tcPr>
            <w:tcW w:w="961" w:type="pct"/>
            <w:shd w:val="clear" w:color="auto" w:fill="F2F2F2"/>
          </w:tcPr>
          <w:p w:rsidR="005803D0" w:rsidRPr="008D400F" w:rsidRDefault="005803D0" w:rsidP="00D14C45">
            <w:pPr>
              <w:rPr>
                <w:szCs w:val="18"/>
              </w:rPr>
            </w:pPr>
            <w:r w:rsidRPr="008D400F">
              <w:rPr>
                <w:szCs w:val="18"/>
              </w:rPr>
              <w:t>DIČ</w:t>
            </w:r>
          </w:p>
        </w:tc>
        <w:tc>
          <w:tcPr>
            <w:tcW w:w="4039" w:type="pct"/>
            <w:vAlign w:val="center"/>
          </w:tcPr>
          <w:p w:rsidR="005803D0" w:rsidRPr="008D400F" w:rsidRDefault="005803D0" w:rsidP="00D14C45">
            <w:pPr>
              <w:rPr>
                <w:bCs/>
                <w:szCs w:val="18"/>
              </w:rPr>
            </w:pPr>
            <w:r w:rsidRPr="008D400F">
              <w:rPr>
                <w:bCs/>
                <w:szCs w:val="18"/>
              </w:rPr>
              <w:t>CZ00293881</w:t>
            </w:r>
          </w:p>
        </w:tc>
      </w:tr>
      <w:tr w:rsidR="005803D0" w:rsidRPr="00387BA8" w:rsidTr="002F5ACF">
        <w:tblPrEx>
          <w:tblCellMar>
            <w:top w:w="0" w:type="dxa"/>
            <w:bottom w:w="0" w:type="dxa"/>
          </w:tblCellMar>
        </w:tblPrEx>
        <w:tc>
          <w:tcPr>
            <w:tcW w:w="961" w:type="pct"/>
            <w:shd w:val="clear" w:color="auto" w:fill="F2F2F2"/>
          </w:tcPr>
          <w:p w:rsidR="005803D0" w:rsidRPr="008D400F" w:rsidRDefault="005803D0" w:rsidP="002F720D">
            <w:pPr>
              <w:rPr>
                <w:szCs w:val="18"/>
              </w:rPr>
            </w:pPr>
            <w:r w:rsidRPr="008D400F">
              <w:rPr>
                <w:szCs w:val="18"/>
              </w:rPr>
              <w:t xml:space="preserve">Jednající </w:t>
            </w:r>
          </w:p>
        </w:tc>
        <w:tc>
          <w:tcPr>
            <w:tcW w:w="4039" w:type="pct"/>
            <w:vAlign w:val="center"/>
          </w:tcPr>
          <w:p w:rsidR="005803D0" w:rsidRPr="008D400F" w:rsidRDefault="005803D0" w:rsidP="00D14C45">
            <w:pPr>
              <w:rPr>
                <w:bCs/>
                <w:szCs w:val="18"/>
              </w:rPr>
            </w:pPr>
            <w:r w:rsidRPr="008D400F">
              <w:rPr>
                <w:bCs/>
                <w:szCs w:val="18"/>
              </w:rPr>
              <w:t>Ing. Vlastimil Gabrhel, starosta</w:t>
            </w:r>
          </w:p>
        </w:tc>
      </w:tr>
    </w:tbl>
    <w:p w:rsidR="005803D0" w:rsidRPr="00387BA8" w:rsidRDefault="005803D0" w:rsidP="005803D0">
      <w:pPr>
        <w:pStyle w:val="BodyText3"/>
        <w:spacing w:line="240" w:lineRule="auto"/>
        <w:jc w:val="both"/>
        <w:rPr>
          <w:rFonts w:ascii="Arial" w:hAnsi="Arial" w:cs="Arial"/>
          <w:u w:val="dotted"/>
        </w:rPr>
      </w:pPr>
      <w:r w:rsidRPr="00387BA8">
        <w:rPr>
          <w:rFonts w:ascii="Arial" w:hAnsi="Arial" w:cs="Arial"/>
        </w:rPr>
        <w:t xml:space="preserve">              </w:t>
      </w:r>
    </w:p>
    <w:p w:rsidR="005803D0" w:rsidRPr="00A83A3C" w:rsidRDefault="005803D0" w:rsidP="00A83A3C">
      <w:pPr>
        <w:pStyle w:val="Nadpis2"/>
      </w:pPr>
      <w:bookmarkStart w:id="3" w:name="_Toc450552707"/>
      <w:r w:rsidRPr="00A83A3C">
        <w:t>Spolupojištěné subjekty</w:t>
      </w:r>
      <w:bookmarkEnd w:id="3"/>
      <w:r w:rsidRPr="00A83A3C">
        <w:t xml:space="preserve"> </w:t>
      </w:r>
    </w:p>
    <w:p w:rsidR="005803D0" w:rsidRPr="00387BA8" w:rsidRDefault="005803D0" w:rsidP="005803D0">
      <w:pPr>
        <w:pStyle w:val="TitulekTitulekChar"/>
        <w:spacing w:before="0" w:after="0"/>
        <w:rPr>
          <w:rFonts w:cs="Arial"/>
          <w:bCs/>
          <w:sz w:val="22"/>
        </w:rPr>
      </w:pPr>
      <w:r w:rsidRPr="00387BA8">
        <w:rPr>
          <w:rFonts w:cs="Arial"/>
          <w:bCs/>
          <w:sz w:val="22"/>
        </w:rPr>
        <w:t xml:space="preserve">A) Příspěvkové organizace </w:t>
      </w:r>
      <w:r w:rsidR="001A3187">
        <w:rPr>
          <w:rFonts w:cs="Arial"/>
          <w:bCs/>
          <w:sz w:val="22"/>
        </w:rPr>
        <w:t>m</w:t>
      </w:r>
      <w:r w:rsidRPr="00387BA8">
        <w:rPr>
          <w:rFonts w:cs="Arial"/>
          <w:bCs/>
          <w:sz w:val="22"/>
        </w:rPr>
        <w:t>ěsta Znojma v působnosti odboru školství a kultury:</w:t>
      </w:r>
    </w:p>
    <w:p w:rsidR="005803D0" w:rsidRPr="00387BA8" w:rsidRDefault="005803D0" w:rsidP="005803D0"/>
    <w:tbl>
      <w:tblPr>
        <w:tblW w:w="5000" w:type="pct"/>
        <w:tblCellMar>
          <w:left w:w="70" w:type="dxa"/>
          <w:right w:w="70" w:type="dxa"/>
        </w:tblCellMar>
        <w:tblLook w:val="0000" w:firstRow="0" w:lastRow="0" w:firstColumn="0" w:lastColumn="0" w:noHBand="0" w:noVBand="0"/>
      </w:tblPr>
      <w:tblGrid>
        <w:gridCol w:w="484"/>
        <w:gridCol w:w="1286"/>
        <w:gridCol w:w="7440"/>
      </w:tblGrid>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5803D0">
            <w:pPr>
              <w:rPr>
                <w:szCs w:val="18"/>
              </w:rPr>
            </w:pPr>
            <w:r w:rsidRPr="008D400F">
              <w:rPr>
                <w:szCs w:val="18"/>
              </w:rPr>
              <w:t>Základní škola Znojmo, Mládeže 3</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5803D0">
            <w:pPr>
              <w:rPr>
                <w:szCs w:val="18"/>
              </w:rPr>
            </w:pPr>
            <w:r w:rsidRPr="008D400F">
              <w:rPr>
                <w:szCs w:val="18"/>
              </w:rPr>
              <w:t>ul. Mládeže 1000/2,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45671311</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2</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Základní škola Znojmo, náměstí Republiky 9</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Nám. Republiky 9,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45671303</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3</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Základní škola a Mateřská škola, Znojmo, Pražská 98</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Pražská 98,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45669716</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4</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Základní škola, Znojmo, Václavské náměstí 8,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Václavské nám. 8,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70921211</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403DB4">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5</w:t>
            </w:r>
          </w:p>
        </w:tc>
        <w:tc>
          <w:tcPr>
            <w:tcW w:w="698" w:type="pct"/>
            <w:tcBorders>
              <w:top w:val="single" w:sz="4" w:space="0" w:color="auto"/>
              <w:left w:val="single" w:sz="4" w:space="0" w:color="auto"/>
              <w:bottom w:val="single" w:sz="4" w:space="0" w:color="auto"/>
              <w:right w:val="single" w:sz="4" w:space="0" w:color="auto"/>
            </w:tcBorders>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5803D0">
            <w:pPr>
              <w:rPr>
                <w:szCs w:val="18"/>
              </w:rPr>
            </w:pPr>
            <w:r w:rsidRPr="008D400F">
              <w:rPr>
                <w:szCs w:val="18"/>
              </w:rPr>
              <w:t xml:space="preserve">Základní škola JUDr. Josefa Mareše a Mateřská škola, Znojmo, </w:t>
            </w:r>
            <w:proofErr w:type="spellStart"/>
            <w:r w:rsidRPr="008D400F">
              <w:rPr>
                <w:szCs w:val="18"/>
              </w:rPr>
              <w:t>Klásterní</w:t>
            </w:r>
            <w:proofErr w:type="spellEnd"/>
            <w:r w:rsidRPr="008D400F">
              <w:rPr>
                <w:szCs w:val="18"/>
              </w:rPr>
              <w:t xml:space="preserve"> 2</w:t>
            </w:r>
          </w:p>
        </w:tc>
      </w:tr>
      <w:tr w:rsidR="00A83A3C" w:rsidRPr="00387BA8" w:rsidTr="00403DB4">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Klášterní 2, Znojmo</w:t>
            </w:r>
          </w:p>
        </w:tc>
      </w:tr>
      <w:tr w:rsidR="005803D0" w:rsidRPr="00387BA8" w:rsidTr="00403DB4">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71217860</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6</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Základní škola Prokopa Diviše a Mateřská škola, Znojmo-Přímětice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Přímětice 569,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70940843</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7</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Mateřská škola, Znojmo, Dělnická 2,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Dělnická 2,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70983542</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lastRenderedPageBreak/>
              <w:t>8</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Mateřská škola, Znojmo, nám. Armády 9,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Nám. Armády 9,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70983500</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9</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Mateřská škola, Znojmo, Holandská 2,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Holandská 2,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70983526</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10</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 xml:space="preserve">Mateřská škola, Znojmo, Přímětice </w:t>
            </w:r>
            <w:proofErr w:type="gramStart"/>
            <w:r w:rsidRPr="008D400F">
              <w:rPr>
                <w:szCs w:val="18"/>
              </w:rPr>
              <w:t>279,  příspěvková</w:t>
            </w:r>
            <w:proofErr w:type="gramEnd"/>
            <w:r w:rsidRPr="008D400F">
              <w:rPr>
                <w:szCs w:val="18"/>
              </w:rPr>
              <w:t xml:space="preserve">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Přímětice 279,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70983496</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11</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Mateřská škola, Znojmo, nám. Republiky 15,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nám. Republiky 15,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70983534</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12</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Mateřská škola, Znojmo, Pražská 80,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Pražská 80,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70983518</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13</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Městská knihovna Znojmo</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5803D0">
            <w:pPr>
              <w:rPr>
                <w:szCs w:val="18"/>
              </w:rPr>
            </w:pPr>
            <w:r w:rsidRPr="008D400F">
              <w:rPr>
                <w:szCs w:val="18"/>
              </w:rPr>
              <w:t>Zámečnická 288/9</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BF270B" w:rsidP="00D14C45">
            <w:pPr>
              <w:rPr>
                <w:szCs w:val="18"/>
              </w:rPr>
            </w:pPr>
            <w:r w:rsidRPr="008D400F">
              <w:rPr>
                <w:szCs w:val="18"/>
              </w:rPr>
              <w:t>000</w:t>
            </w:r>
            <w:r w:rsidR="005803D0" w:rsidRPr="008D400F">
              <w:rPr>
                <w:szCs w:val="18"/>
              </w:rPr>
              <w:t>92711</w:t>
            </w:r>
          </w:p>
        </w:tc>
      </w:tr>
      <w:tr w:rsidR="0087168C" w:rsidRPr="00387BA8" w:rsidTr="00403DB4">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14</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Znojemská beseda</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BF270B">
            <w:pPr>
              <w:rPr>
                <w:szCs w:val="18"/>
              </w:rPr>
            </w:pPr>
            <w:r w:rsidRPr="008D400F">
              <w:rPr>
                <w:szCs w:val="18"/>
              </w:rPr>
              <w:t>Masarykovo náměstí 449/22,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BF270B" w:rsidP="00D14C45">
            <w:pPr>
              <w:rPr>
                <w:szCs w:val="18"/>
              </w:rPr>
            </w:pPr>
            <w:r w:rsidRPr="008D400F">
              <w:rPr>
                <w:szCs w:val="18"/>
              </w:rPr>
              <w:t>000</w:t>
            </w:r>
            <w:r w:rsidR="005803D0" w:rsidRPr="008D400F">
              <w:rPr>
                <w:szCs w:val="18"/>
              </w:rPr>
              <w:t>92720</w:t>
            </w:r>
          </w:p>
        </w:tc>
      </w:tr>
    </w:tbl>
    <w:p w:rsidR="0087168C" w:rsidRPr="00387BA8" w:rsidRDefault="0087168C" w:rsidP="005803D0"/>
    <w:p w:rsidR="005803D0" w:rsidRPr="00387BA8" w:rsidRDefault="005803D0" w:rsidP="005803D0">
      <w:pPr>
        <w:pStyle w:val="TitulekTitulekChar"/>
        <w:spacing w:before="0" w:after="0"/>
        <w:rPr>
          <w:rFonts w:cs="Arial"/>
          <w:bCs/>
          <w:sz w:val="22"/>
        </w:rPr>
      </w:pPr>
      <w:r w:rsidRPr="00387BA8">
        <w:rPr>
          <w:rFonts w:cs="Arial"/>
          <w:bCs/>
          <w:sz w:val="22"/>
        </w:rPr>
        <w:t xml:space="preserve">B) Příspěvkové organizace </w:t>
      </w:r>
      <w:r w:rsidR="001A3187">
        <w:rPr>
          <w:rFonts w:cs="Arial"/>
          <w:bCs/>
          <w:sz w:val="22"/>
        </w:rPr>
        <w:t>m</w:t>
      </w:r>
      <w:r w:rsidRPr="00387BA8">
        <w:rPr>
          <w:rFonts w:cs="Arial"/>
          <w:bCs/>
          <w:sz w:val="22"/>
        </w:rPr>
        <w:t xml:space="preserve">ěsta Znojma v působnosti odboru investic a </w:t>
      </w:r>
      <w:r w:rsidR="001A3187">
        <w:rPr>
          <w:rFonts w:cs="Arial"/>
          <w:bCs/>
          <w:sz w:val="22"/>
        </w:rPr>
        <w:t>technických služeb a odboru majetkového</w:t>
      </w:r>
      <w:r w:rsidRPr="00387BA8">
        <w:rPr>
          <w:rFonts w:cs="Arial"/>
          <w:bCs/>
          <w:sz w:val="22"/>
        </w:rPr>
        <w:t>:</w:t>
      </w:r>
    </w:p>
    <w:p w:rsidR="005803D0" w:rsidRPr="00387BA8" w:rsidRDefault="005803D0" w:rsidP="005803D0"/>
    <w:tbl>
      <w:tblPr>
        <w:tblW w:w="5000" w:type="pct"/>
        <w:tblCellMar>
          <w:left w:w="70" w:type="dxa"/>
          <w:right w:w="70" w:type="dxa"/>
        </w:tblCellMar>
        <w:tblLook w:val="0000" w:firstRow="0" w:lastRow="0" w:firstColumn="0" w:lastColumn="0" w:noHBand="0" w:noVBand="0"/>
      </w:tblPr>
      <w:tblGrid>
        <w:gridCol w:w="484"/>
        <w:gridCol w:w="1286"/>
        <w:gridCol w:w="7440"/>
      </w:tblGrid>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15</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Městské lesy Znojmo,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Nám. Armády 1213/8,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BF270B" w:rsidP="00D14C45">
            <w:pPr>
              <w:rPr>
                <w:szCs w:val="18"/>
              </w:rPr>
            </w:pPr>
            <w:r w:rsidRPr="008D400F">
              <w:rPr>
                <w:szCs w:val="18"/>
              </w:rPr>
              <w:t>00</w:t>
            </w:r>
            <w:r w:rsidR="005803D0" w:rsidRPr="008D400F">
              <w:rPr>
                <w:szCs w:val="18"/>
              </w:rPr>
              <w:t>839027</w:t>
            </w:r>
          </w:p>
        </w:tc>
      </w:tr>
      <w:tr w:rsidR="0087168C" w:rsidRPr="00387BA8" w:rsidTr="0087168C">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16</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Městská zeleň Znojmo</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r w:rsidRPr="008D400F">
              <w:rPr>
                <w:szCs w:val="18"/>
              </w:rPr>
              <w:t>Dobšická 3363/11,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5803D0" w:rsidP="00D14C45">
            <w:pPr>
              <w:rPr>
                <w:szCs w:val="18"/>
              </w:rPr>
            </w:pPr>
            <w:r w:rsidRPr="008D400F">
              <w:rPr>
                <w:szCs w:val="18"/>
              </w:rPr>
              <w:t>68728255</w:t>
            </w:r>
          </w:p>
        </w:tc>
      </w:tr>
      <w:tr w:rsidR="0087168C" w:rsidRPr="00387BA8" w:rsidTr="0087168C">
        <w:tblPrEx>
          <w:tblCellMar>
            <w:top w:w="0" w:type="dxa"/>
            <w:bottom w:w="0" w:type="dxa"/>
          </w:tblCellMar>
        </w:tblPrEx>
        <w:tc>
          <w:tcPr>
            <w:tcW w:w="263" w:type="pct"/>
            <w:tcBorders>
              <w:top w:val="single" w:sz="4" w:space="0" w:color="auto"/>
              <w:bottom w:val="single" w:sz="4" w:space="0" w:color="auto"/>
            </w:tcBorders>
          </w:tcPr>
          <w:p w:rsidR="0087168C" w:rsidRPr="008D400F" w:rsidRDefault="0087168C" w:rsidP="00D14C45">
            <w:pPr>
              <w:rPr>
                <w:szCs w:val="18"/>
              </w:rPr>
            </w:pPr>
          </w:p>
        </w:tc>
        <w:tc>
          <w:tcPr>
            <w:tcW w:w="698" w:type="pct"/>
            <w:tcBorders>
              <w:top w:val="single" w:sz="4" w:space="0" w:color="auto"/>
              <w:bottom w:val="single" w:sz="4" w:space="0" w:color="auto"/>
            </w:tcBorders>
          </w:tcPr>
          <w:p w:rsidR="0087168C" w:rsidRPr="008D400F" w:rsidRDefault="0087168C" w:rsidP="00D14C45">
            <w:pPr>
              <w:rPr>
                <w:szCs w:val="18"/>
              </w:rPr>
            </w:pPr>
          </w:p>
        </w:tc>
        <w:tc>
          <w:tcPr>
            <w:tcW w:w="4039" w:type="pct"/>
            <w:tcBorders>
              <w:top w:val="single" w:sz="4" w:space="0" w:color="auto"/>
              <w:bottom w:val="single" w:sz="4" w:space="0" w:color="auto"/>
            </w:tcBorders>
          </w:tcPr>
          <w:p w:rsidR="0087168C" w:rsidRPr="008D400F" w:rsidRDefault="0087168C" w:rsidP="00D14C45">
            <w:pPr>
              <w:rPr>
                <w:szCs w:val="18"/>
              </w:rPr>
            </w:pPr>
          </w:p>
        </w:tc>
      </w:tr>
      <w:tr w:rsidR="00A83A3C" w:rsidRPr="00387BA8" w:rsidTr="002F5ACF">
        <w:tblPrEx>
          <w:tblCellMar>
            <w:top w:w="0" w:type="dxa"/>
            <w:bottom w:w="0" w:type="dxa"/>
          </w:tblCellMar>
        </w:tblPrEx>
        <w:tc>
          <w:tcPr>
            <w:tcW w:w="263" w:type="pct"/>
            <w:vMerge w:val="restar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r w:rsidRPr="008D400F">
              <w:rPr>
                <w:szCs w:val="18"/>
              </w:rPr>
              <w:t>17</w:t>
            </w: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Název</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BF270B">
            <w:pPr>
              <w:rPr>
                <w:szCs w:val="18"/>
              </w:rPr>
            </w:pPr>
            <w:r w:rsidRPr="008D400F">
              <w:rPr>
                <w:szCs w:val="18"/>
              </w:rPr>
              <w:t>Správa nemovitostí města Znojma, příspěvková organizace</w:t>
            </w:r>
          </w:p>
        </w:tc>
      </w:tr>
      <w:tr w:rsidR="00A83A3C"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A83A3C" w:rsidRPr="008D400F" w:rsidRDefault="00A83A3C" w:rsidP="00D963C4">
            <w:pPr>
              <w:rPr>
                <w:szCs w:val="18"/>
              </w:rPr>
            </w:pPr>
            <w:r w:rsidRPr="008D400F">
              <w:rPr>
                <w:szCs w:val="18"/>
              </w:rPr>
              <w:t>Adresa</w:t>
            </w:r>
          </w:p>
        </w:tc>
        <w:tc>
          <w:tcPr>
            <w:tcW w:w="4039" w:type="pct"/>
            <w:tcBorders>
              <w:top w:val="single" w:sz="4" w:space="0" w:color="auto"/>
              <w:left w:val="single" w:sz="4" w:space="0" w:color="auto"/>
              <w:bottom w:val="single" w:sz="4" w:space="0" w:color="auto"/>
              <w:right w:val="single" w:sz="4" w:space="0" w:color="auto"/>
            </w:tcBorders>
          </w:tcPr>
          <w:p w:rsidR="00A83A3C" w:rsidRPr="008D400F" w:rsidRDefault="00A83A3C" w:rsidP="00D14C45">
            <w:pPr>
              <w:rPr>
                <w:szCs w:val="18"/>
              </w:rPr>
            </w:pPr>
            <w:proofErr w:type="spellStart"/>
            <w:r w:rsidRPr="008D400F">
              <w:rPr>
                <w:szCs w:val="18"/>
              </w:rPr>
              <w:t>Pontassievská</w:t>
            </w:r>
            <w:proofErr w:type="spellEnd"/>
            <w:r w:rsidRPr="008D400F">
              <w:rPr>
                <w:szCs w:val="18"/>
              </w:rPr>
              <w:t xml:space="preserve"> 317/14, Znojmo</w:t>
            </w:r>
          </w:p>
        </w:tc>
      </w:tr>
      <w:tr w:rsidR="005803D0" w:rsidRPr="00387BA8" w:rsidTr="002F5ACF">
        <w:tblPrEx>
          <w:tblCellMar>
            <w:top w:w="0" w:type="dxa"/>
            <w:bottom w:w="0" w:type="dxa"/>
          </w:tblCellMar>
        </w:tblPrEx>
        <w:tc>
          <w:tcPr>
            <w:tcW w:w="263" w:type="pct"/>
            <w:vMerge/>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p>
        </w:tc>
        <w:tc>
          <w:tcPr>
            <w:tcW w:w="698" w:type="pct"/>
            <w:tcBorders>
              <w:top w:val="single" w:sz="4" w:space="0" w:color="auto"/>
              <w:left w:val="single" w:sz="4" w:space="0" w:color="auto"/>
              <w:bottom w:val="single" w:sz="4" w:space="0" w:color="auto"/>
              <w:right w:val="single" w:sz="4" w:space="0" w:color="auto"/>
            </w:tcBorders>
            <w:shd w:val="clear" w:color="auto" w:fill="F2F2F2"/>
          </w:tcPr>
          <w:p w:rsidR="005803D0" w:rsidRPr="008D400F" w:rsidRDefault="005803D0" w:rsidP="00D14C45">
            <w:pPr>
              <w:rPr>
                <w:szCs w:val="18"/>
              </w:rPr>
            </w:pPr>
            <w:r w:rsidRPr="008D400F">
              <w:rPr>
                <w:szCs w:val="18"/>
              </w:rPr>
              <w:t>IĆ</w:t>
            </w:r>
          </w:p>
        </w:tc>
        <w:tc>
          <w:tcPr>
            <w:tcW w:w="4039" w:type="pct"/>
            <w:tcBorders>
              <w:top w:val="single" w:sz="4" w:space="0" w:color="auto"/>
              <w:left w:val="single" w:sz="4" w:space="0" w:color="auto"/>
              <w:bottom w:val="single" w:sz="4" w:space="0" w:color="auto"/>
              <w:right w:val="single" w:sz="4" w:space="0" w:color="auto"/>
            </w:tcBorders>
          </w:tcPr>
          <w:p w:rsidR="005803D0" w:rsidRPr="008D400F" w:rsidRDefault="00BF270B" w:rsidP="00D14C45">
            <w:pPr>
              <w:rPr>
                <w:szCs w:val="18"/>
              </w:rPr>
            </w:pPr>
            <w:r w:rsidRPr="008D400F">
              <w:rPr>
                <w:szCs w:val="18"/>
              </w:rPr>
              <w:t>00</w:t>
            </w:r>
            <w:r w:rsidR="005803D0" w:rsidRPr="008D400F">
              <w:rPr>
                <w:szCs w:val="18"/>
              </w:rPr>
              <w:t>839060</w:t>
            </w:r>
          </w:p>
        </w:tc>
      </w:tr>
    </w:tbl>
    <w:p w:rsidR="005803D0" w:rsidRPr="00387BA8" w:rsidRDefault="005803D0" w:rsidP="005803D0">
      <w:pPr>
        <w:rPr>
          <w:b/>
          <w:bCs/>
          <w:sz w:val="22"/>
        </w:rPr>
      </w:pPr>
    </w:p>
    <w:p w:rsidR="005803D0" w:rsidRPr="00387BA8" w:rsidRDefault="005803D0" w:rsidP="005803D0">
      <w:pPr>
        <w:rPr>
          <w:b/>
          <w:bCs/>
          <w:sz w:val="22"/>
        </w:rPr>
      </w:pPr>
      <w:r w:rsidRPr="00387BA8">
        <w:rPr>
          <w:b/>
          <w:bCs/>
          <w:sz w:val="22"/>
        </w:rPr>
        <w:lastRenderedPageBreak/>
        <w:t xml:space="preserve">C) Příspěvkové organizace </w:t>
      </w:r>
      <w:r w:rsidR="001A3187">
        <w:rPr>
          <w:b/>
          <w:bCs/>
          <w:sz w:val="22"/>
        </w:rPr>
        <w:t>m</w:t>
      </w:r>
      <w:r w:rsidRPr="00387BA8">
        <w:rPr>
          <w:b/>
          <w:bCs/>
          <w:sz w:val="22"/>
        </w:rPr>
        <w:t>ěsta Znojma v působnosti odboru sociálního:</w:t>
      </w:r>
    </w:p>
    <w:p w:rsidR="005803D0" w:rsidRPr="00387BA8" w:rsidRDefault="005803D0" w:rsidP="005803D0">
      <w:pPr>
        <w:rPr>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
        <w:gridCol w:w="1286"/>
        <w:gridCol w:w="7440"/>
      </w:tblGrid>
      <w:tr w:rsidR="005803D0" w:rsidRPr="00387BA8" w:rsidTr="002F5ACF">
        <w:tblPrEx>
          <w:tblCellMar>
            <w:top w:w="0" w:type="dxa"/>
            <w:bottom w:w="0" w:type="dxa"/>
          </w:tblCellMar>
        </w:tblPrEx>
        <w:tc>
          <w:tcPr>
            <w:tcW w:w="263" w:type="pct"/>
            <w:vMerge w:val="restart"/>
            <w:shd w:val="clear" w:color="auto" w:fill="F2F2F2"/>
          </w:tcPr>
          <w:p w:rsidR="005803D0" w:rsidRPr="008D400F" w:rsidRDefault="005803D0" w:rsidP="00D14C45">
            <w:pPr>
              <w:rPr>
                <w:szCs w:val="18"/>
              </w:rPr>
            </w:pPr>
            <w:r w:rsidRPr="008D400F">
              <w:rPr>
                <w:szCs w:val="18"/>
              </w:rPr>
              <w:t>18</w:t>
            </w:r>
          </w:p>
        </w:tc>
        <w:tc>
          <w:tcPr>
            <w:tcW w:w="698" w:type="pct"/>
            <w:shd w:val="clear" w:color="auto" w:fill="F2F2F2"/>
          </w:tcPr>
          <w:p w:rsidR="005803D0" w:rsidRPr="008D400F" w:rsidRDefault="005803D0" w:rsidP="00D14C45">
            <w:pPr>
              <w:rPr>
                <w:szCs w:val="18"/>
              </w:rPr>
            </w:pPr>
            <w:r w:rsidRPr="008D400F">
              <w:rPr>
                <w:szCs w:val="18"/>
              </w:rPr>
              <w:t>Pojištěný</w:t>
            </w:r>
          </w:p>
        </w:tc>
        <w:tc>
          <w:tcPr>
            <w:tcW w:w="4039" w:type="pct"/>
          </w:tcPr>
          <w:p w:rsidR="005803D0" w:rsidRPr="008D400F" w:rsidRDefault="005803D0" w:rsidP="00BF270B">
            <w:pPr>
              <w:rPr>
                <w:szCs w:val="18"/>
              </w:rPr>
            </w:pPr>
            <w:r w:rsidRPr="008D400F">
              <w:rPr>
                <w:szCs w:val="18"/>
              </w:rPr>
              <w:t xml:space="preserve">Centrum sociálních služeb Znojmo, </w:t>
            </w:r>
            <w:r w:rsidR="00BF270B" w:rsidRPr="008D400F">
              <w:rPr>
                <w:szCs w:val="18"/>
              </w:rPr>
              <w:t>příspěvková organizace</w:t>
            </w:r>
          </w:p>
        </w:tc>
      </w:tr>
      <w:tr w:rsidR="005803D0" w:rsidRPr="00387BA8" w:rsidTr="002F5ACF">
        <w:tblPrEx>
          <w:tblCellMar>
            <w:top w:w="0" w:type="dxa"/>
            <w:bottom w:w="0" w:type="dxa"/>
          </w:tblCellMar>
        </w:tblPrEx>
        <w:tc>
          <w:tcPr>
            <w:tcW w:w="263" w:type="pct"/>
            <w:vMerge/>
            <w:shd w:val="clear" w:color="auto" w:fill="F2F2F2"/>
          </w:tcPr>
          <w:p w:rsidR="005803D0" w:rsidRPr="008D400F" w:rsidRDefault="005803D0" w:rsidP="00D14C45">
            <w:pPr>
              <w:rPr>
                <w:szCs w:val="18"/>
              </w:rPr>
            </w:pPr>
          </w:p>
        </w:tc>
        <w:tc>
          <w:tcPr>
            <w:tcW w:w="698" w:type="pct"/>
            <w:shd w:val="clear" w:color="auto" w:fill="F2F2F2"/>
          </w:tcPr>
          <w:p w:rsidR="005803D0" w:rsidRPr="008D400F" w:rsidRDefault="005803D0" w:rsidP="00D14C45">
            <w:pPr>
              <w:rPr>
                <w:szCs w:val="18"/>
              </w:rPr>
            </w:pPr>
            <w:r w:rsidRPr="008D400F">
              <w:rPr>
                <w:szCs w:val="18"/>
              </w:rPr>
              <w:t>Sídlo</w:t>
            </w:r>
          </w:p>
        </w:tc>
        <w:tc>
          <w:tcPr>
            <w:tcW w:w="4039" w:type="pct"/>
          </w:tcPr>
          <w:p w:rsidR="005803D0" w:rsidRPr="008D400F" w:rsidRDefault="005803D0" w:rsidP="00BF270B">
            <w:pPr>
              <w:rPr>
                <w:szCs w:val="18"/>
              </w:rPr>
            </w:pPr>
            <w:r w:rsidRPr="008D400F">
              <w:rPr>
                <w:szCs w:val="18"/>
              </w:rPr>
              <w:t xml:space="preserve">U Lesíka 3547/11, </w:t>
            </w:r>
            <w:r w:rsidR="00BF270B" w:rsidRPr="008D400F">
              <w:rPr>
                <w:szCs w:val="18"/>
              </w:rPr>
              <w:t>Znojmo</w:t>
            </w:r>
          </w:p>
        </w:tc>
      </w:tr>
      <w:tr w:rsidR="005803D0" w:rsidRPr="00387BA8" w:rsidTr="002F5ACF">
        <w:tblPrEx>
          <w:tblCellMar>
            <w:top w:w="0" w:type="dxa"/>
            <w:bottom w:w="0" w:type="dxa"/>
          </w:tblCellMar>
        </w:tblPrEx>
        <w:tc>
          <w:tcPr>
            <w:tcW w:w="263" w:type="pct"/>
            <w:vMerge/>
            <w:shd w:val="clear" w:color="auto" w:fill="F2F2F2"/>
          </w:tcPr>
          <w:p w:rsidR="005803D0" w:rsidRPr="008D400F" w:rsidRDefault="005803D0" w:rsidP="00D14C45">
            <w:pPr>
              <w:rPr>
                <w:szCs w:val="18"/>
              </w:rPr>
            </w:pPr>
          </w:p>
        </w:tc>
        <w:tc>
          <w:tcPr>
            <w:tcW w:w="698" w:type="pct"/>
            <w:shd w:val="clear" w:color="auto" w:fill="F2F2F2"/>
          </w:tcPr>
          <w:p w:rsidR="005803D0" w:rsidRPr="008D400F" w:rsidRDefault="005803D0" w:rsidP="00D14C45">
            <w:pPr>
              <w:rPr>
                <w:szCs w:val="18"/>
              </w:rPr>
            </w:pPr>
            <w:r w:rsidRPr="008D400F">
              <w:rPr>
                <w:szCs w:val="18"/>
              </w:rPr>
              <w:t>IĆ</w:t>
            </w:r>
          </w:p>
        </w:tc>
        <w:tc>
          <w:tcPr>
            <w:tcW w:w="4039" w:type="pct"/>
          </w:tcPr>
          <w:p w:rsidR="005803D0" w:rsidRPr="008D400F" w:rsidRDefault="005803D0" w:rsidP="00D14C45">
            <w:pPr>
              <w:rPr>
                <w:szCs w:val="18"/>
              </w:rPr>
            </w:pPr>
            <w:r w:rsidRPr="008D400F">
              <w:rPr>
                <w:szCs w:val="18"/>
              </w:rPr>
              <w:t>45671770</w:t>
            </w:r>
          </w:p>
        </w:tc>
      </w:tr>
    </w:tbl>
    <w:p w:rsidR="005803D0" w:rsidRPr="00387BA8" w:rsidRDefault="005803D0" w:rsidP="005803D0">
      <w:pPr>
        <w:rPr>
          <w:b/>
          <w:bCs/>
          <w:sz w:val="22"/>
        </w:rPr>
      </w:pPr>
    </w:p>
    <w:p w:rsidR="005803D0" w:rsidRPr="00387BA8" w:rsidRDefault="005803D0"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7D04FD" w:rsidRPr="00387BA8" w:rsidRDefault="007D04FD" w:rsidP="005803D0">
      <w:pPr>
        <w:rPr>
          <w:b/>
          <w:bCs/>
          <w:sz w:val="22"/>
        </w:rPr>
      </w:pPr>
    </w:p>
    <w:p w:rsidR="00F306E8" w:rsidRDefault="00F306E8"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Default="008D400F" w:rsidP="005803D0">
      <w:pPr>
        <w:rPr>
          <w:b/>
          <w:bCs/>
          <w:sz w:val="22"/>
        </w:rPr>
      </w:pPr>
    </w:p>
    <w:p w:rsidR="008D400F" w:rsidRPr="00387BA8" w:rsidRDefault="008D400F" w:rsidP="005803D0">
      <w:pPr>
        <w:rPr>
          <w:b/>
          <w:bCs/>
          <w:sz w:val="22"/>
        </w:rPr>
      </w:pPr>
    </w:p>
    <w:p w:rsidR="00F306E8" w:rsidRPr="00387BA8" w:rsidRDefault="00F306E8" w:rsidP="005803D0">
      <w:pPr>
        <w:rPr>
          <w:b/>
          <w:bCs/>
          <w:sz w:val="22"/>
        </w:rPr>
      </w:pPr>
    </w:p>
    <w:p w:rsidR="007D04FD" w:rsidRPr="00387BA8" w:rsidRDefault="007D04FD" w:rsidP="005803D0">
      <w:pPr>
        <w:rPr>
          <w:b/>
          <w:bCs/>
          <w:sz w:val="22"/>
        </w:rPr>
      </w:pPr>
    </w:p>
    <w:p w:rsidR="007D4956" w:rsidRPr="00387BA8" w:rsidRDefault="007D4956" w:rsidP="007D4956"/>
    <w:p w:rsidR="00D47CF4" w:rsidRDefault="00D47CF4" w:rsidP="007031E6">
      <w:pPr>
        <w:pStyle w:val="Nadpis1"/>
      </w:pPr>
      <w:bookmarkStart w:id="4" w:name="_Toc176067418"/>
      <w:bookmarkStart w:id="5" w:name="_Toc176067485"/>
      <w:bookmarkStart w:id="6" w:name="_Toc176067551"/>
      <w:bookmarkStart w:id="7" w:name="_Toc176074353"/>
      <w:bookmarkStart w:id="8" w:name="_Toc176074419"/>
      <w:bookmarkStart w:id="9" w:name="_Toc450552708"/>
      <w:bookmarkEnd w:id="4"/>
      <w:bookmarkEnd w:id="5"/>
      <w:bookmarkEnd w:id="6"/>
      <w:bookmarkEnd w:id="7"/>
      <w:bookmarkEnd w:id="8"/>
      <w:r w:rsidRPr="00387BA8">
        <w:lastRenderedPageBreak/>
        <w:t>Škodové pojištění</w:t>
      </w:r>
      <w:r w:rsidR="007C0597" w:rsidRPr="00387BA8">
        <w:t xml:space="preserve"> majetku</w:t>
      </w:r>
      <w:r w:rsidR="009628BA" w:rsidRPr="00387BA8">
        <w:t xml:space="preserve"> – živelní pojištění</w:t>
      </w:r>
      <w:bookmarkEnd w:id="9"/>
    </w:p>
    <w:p w:rsidR="00B87C2D" w:rsidRPr="00387BA8" w:rsidRDefault="00B87C2D" w:rsidP="00B87C2D">
      <w:pPr>
        <w:pStyle w:val="Nadpis2"/>
      </w:pPr>
      <w:bookmarkStart w:id="10" w:name="_Toc450552709"/>
      <w:r>
        <w:t>Místo pojištění</w:t>
      </w:r>
      <w:bookmarkEnd w:id="10"/>
    </w:p>
    <w:p w:rsidR="009536A6" w:rsidRPr="00F364E5" w:rsidRDefault="009536A6" w:rsidP="009536A6">
      <w:pPr>
        <w:spacing w:line="280" w:lineRule="atLeast"/>
        <w:ind w:left="74"/>
      </w:pPr>
      <w:r w:rsidRPr="00943C22">
        <w:t>Pojistitel akceptuje pro sjednání pojistné smlouvy jako místo pojištění území České republiky (ČR), pokud není v těchto obchodních podmínkách specifikováno jinak a do smlouvy nebude požadovat uvedení míst pojištění.</w:t>
      </w:r>
    </w:p>
    <w:p w:rsidR="00D47CF4" w:rsidRPr="00387BA8" w:rsidRDefault="00D47CF4" w:rsidP="00260094">
      <w:pPr>
        <w:pStyle w:val="Nadpis2"/>
      </w:pPr>
      <w:bookmarkStart w:id="11" w:name="_Toc450552710"/>
      <w:r w:rsidRPr="00387BA8">
        <w:t>Předmět pojištění, pojistná hodnota, pojistná částka</w:t>
      </w:r>
      <w:r w:rsidR="00260094" w:rsidRPr="00387BA8">
        <w:t>, limit plnění</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5254"/>
        <w:gridCol w:w="2002"/>
        <w:gridCol w:w="1456"/>
      </w:tblGrid>
      <w:tr w:rsidR="00260094" w:rsidRPr="00387BA8" w:rsidTr="006A53C9">
        <w:trPr>
          <w:cantSplit/>
          <w:tblHeader/>
        </w:trPr>
        <w:tc>
          <w:tcPr>
            <w:tcW w:w="309" w:type="pct"/>
            <w:tcBorders>
              <w:bottom w:val="single" w:sz="4" w:space="0" w:color="auto"/>
            </w:tcBorders>
            <w:shd w:val="clear" w:color="auto" w:fill="F3F3F3"/>
            <w:vAlign w:val="center"/>
          </w:tcPr>
          <w:p w:rsidR="00260094" w:rsidRPr="00387BA8" w:rsidRDefault="00F21556" w:rsidP="007031E6">
            <w:pPr>
              <w:spacing w:line="280" w:lineRule="atLeast"/>
              <w:rPr>
                <w:b/>
                <w:szCs w:val="18"/>
              </w:rPr>
            </w:pPr>
            <w:proofErr w:type="spellStart"/>
            <w:r w:rsidRPr="00387BA8">
              <w:rPr>
                <w:b/>
                <w:szCs w:val="18"/>
              </w:rPr>
              <w:t>Poř</w:t>
            </w:r>
            <w:proofErr w:type="spellEnd"/>
          </w:p>
        </w:tc>
        <w:tc>
          <w:tcPr>
            <w:tcW w:w="2828" w:type="pct"/>
            <w:tcBorders>
              <w:bottom w:val="single" w:sz="4" w:space="0" w:color="auto"/>
            </w:tcBorders>
            <w:shd w:val="clear" w:color="auto" w:fill="F3F3F3"/>
            <w:vAlign w:val="center"/>
          </w:tcPr>
          <w:p w:rsidR="00260094" w:rsidRPr="00387BA8" w:rsidRDefault="00260094" w:rsidP="00E74986">
            <w:pPr>
              <w:spacing w:line="280" w:lineRule="atLeast"/>
              <w:rPr>
                <w:b/>
                <w:szCs w:val="18"/>
              </w:rPr>
            </w:pPr>
            <w:r w:rsidRPr="00387BA8">
              <w:rPr>
                <w:b/>
                <w:szCs w:val="18"/>
              </w:rPr>
              <w:t>Předmět pojištění</w:t>
            </w:r>
          </w:p>
        </w:tc>
        <w:tc>
          <w:tcPr>
            <w:tcW w:w="1078" w:type="pct"/>
            <w:tcBorders>
              <w:bottom w:val="single" w:sz="4" w:space="0" w:color="auto"/>
            </w:tcBorders>
            <w:shd w:val="clear" w:color="auto" w:fill="F3F3F3"/>
          </w:tcPr>
          <w:p w:rsidR="00260094" w:rsidRPr="00387BA8" w:rsidRDefault="00BF270B" w:rsidP="00BF270B">
            <w:pPr>
              <w:spacing w:line="280" w:lineRule="atLeast"/>
              <w:jc w:val="right"/>
              <w:rPr>
                <w:b/>
                <w:szCs w:val="18"/>
              </w:rPr>
            </w:pPr>
            <w:r w:rsidRPr="00387BA8">
              <w:rPr>
                <w:b/>
                <w:szCs w:val="18"/>
              </w:rPr>
              <w:t>Pojistná částka</w:t>
            </w:r>
          </w:p>
        </w:tc>
        <w:tc>
          <w:tcPr>
            <w:tcW w:w="784" w:type="pct"/>
            <w:tcBorders>
              <w:bottom w:val="single" w:sz="4" w:space="0" w:color="auto"/>
            </w:tcBorders>
            <w:shd w:val="clear" w:color="auto" w:fill="F3F3F3"/>
            <w:vAlign w:val="center"/>
          </w:tcPr>
          <w:p w:rsidR="00260094" w:rsidRPr="00387BA8" w:rsidRDefault="00260094" w:rsidP="00D90EE1">
            <w:pPr>
              <w:spacing w:line="280" w:lineRule="atLeast"/>
              <w:rPr>
                <w:b/>
                <w:szCs w:val="18"/>
              </w:rPr>
            </w:pPr>
            <w:r w:rsidRPr="00387BA8">
              <w:rPr>
                <w:b/>
                <w:szCs w:val="18"/>
              </w:rPr>
              <w:t>Pozn.</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1</w:t>
            </w:r>
          </w:p>
        </w:tc>
        <w:tc>
          <w:tcPr>
            <w:tcW w:w="2828" w:type="pct"/>
          </w:tcPr>
          <w:p w:rsidR="00D90EE1" w:rsidRPr="00017CC7" w:rsidRDefault="00D90EE1" w:rsidP="00017CC7">
            <w:pPr>
              <w:pStyle w:val="TabulkaTL"/>
            </w:pPr>
            <w:r w:rsidRPr="00017CC7">
              <w:t>Soubor nemovitostí (budov, hal a staveb) vlastních a cizích včetně příslušenství a včetně všech rozestavěných nemovitostí, mimo soubor ostatních nemovitostí vlastních a cizích, jako např. zpevněná nádvoří a plochy, parkoviště, silnice, komunikace, vozovky, cesty a chodníky, jímky, studny, kašny, pomníky, sochy opěrné zdi, komíny, sadové a venkovní úpravy, kanalizace včetně septiků, oplocení, veřejné osvětlení, dopravní značení, inženýrské sítě, lavičky, odpadkové koše, vjezdové závory,</w:t>
            </w:r>
            <w:r w:rsidR="00672FF5" w:rsidRPr="00017CC7">
              <w:t xml:space="preserve"> bazénové technologie, informační a navigační systémy, cyklostezky, sakrální stavby</w:t>
            </w:r>
            <w:r w:rsidRPr="00017CC7">
              <w:t xml:space="preserve"> mosty, stavby na vodních tocích (mosty</w:t>
            </w:r>
            <w:r w:rsidR="001A3187">
              <w:t>,</w:t>
            </w:r>
            <w:r w:rsidRPr="00017CC7">
              <w:t xml:space="preserve"> propustky, lávky, hráze, nádrže apod.)</w:t>
            </w:r>
            <w:r w:rsidR="001A3187">
              <w:t>.</w:t>
            </w:r>
          </w:p>
        </w:tc>
        <w:tc>
          <w:tcPr>
            <w:tcW w:w="1078" w:type="pct"/>
            <w:vAlign w:val="center"/>
          </w:tcPr>
          <w:p w:rsidR="00D90EE1" w:rsidRPr="00C23FDE" w:rsidRDefault="00D90EE1" w:rsidP="009536A6">
            <w:pPr>
              <w:jc w:val="right"/>
              <w:rPr>
                <w:bCs/>
                <w:color w:val="000000"/>
                <w:sz w:val="16"/>
                <w:szCs w:val="16"/>
              </w:rPr>
            </w:pPr>
            <w:r w:rsidRPr="00C23FDE">
              <w:rPr>
                <w:bCs/>
                <w:color w:val="000000"/>
                <w:sz w:val="16"/>
                <w:szCs w:val="16"/>
              </w:rPr>
              <w:t xml:space="preserve">9 036 </w:t>
            </w:r>
            <w:r w:rsidR="009536A6" w:rsidRPr="00C23FDE">
              <w:rPr>
                <w:bCs/>
                <w:color w:val="000000"/>
                <w:sz w:val="16"/>
                <w:szCs w:val="16"/>
              </w:rPr>
              <w:t>900</w:t>
            </w:r>
            <w:r w:rsidRPr="00C23FDE">
              <w:rPr>
                <w:bCs/>
                <w:color w:val="000000"/>
                <w:sz w:val="16"/>
                <w:szCs w:val="16"/>
              </w:rPr>
              <w:t xml:space="preserve"> </w:t>
            </w:r>
            <w:r w:rsidR="009536A6" w:rsidRPr="00C23FDE">
              <w:rPr>
                <w:bCs/>
                <w:color w:val="000000"/>
                <w:sz w:val="16"/>
                <w:szCs w:val="16"/>
              </w:rPr>
              <w:t>000</w:t>
            </w:r>
            <w:r w:rsidRPr="00C23FDE">
              <w:rPr>
                <w:bCs/>
                <w:color w:val="000000"/>
                <w:sz w:val="16"/>
                <w:szCs w:val="16"/>
              </w:rPr>
              <w:t xml:space="preserve"> Kč</w:t>
            </w:r>
          </w:p>
        </w:tc>
        <w:tc>
          <w:tcPr>
            <w:tcW w:w="784" w:type="pct"/>
            <w:vAlign w:val="center"/>
          </w:tcPr>
          <w:p w:rsidR="00D90EE1" w:rsidRPr="00C23FDE" w:rsidRDefault="00D90EE1" w:rsidP="00D90EE1">
            <w:pPr>
              <w:rPr>
                <w:bCs/>
                <w:sz w:val="16"/>
                <w:szCs w:val="16"/>
              </w:rPr>
            </w:pPr>
            <w:r w:rsidRPr="00C23FDE">
              <w:rPr>
                <w:bCs/>
                <w:sz w:val="16"/>
                <w:szCs w:val="16"/>
              </w:rPr>
              <w:t>Nová cena</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2</w:t>
            </w:r>
          </w:p>
        </w:tc>
        <w:tc>
          <w:tcPr>
            <w:tcW w:w="2828" w:type="pct"/>
          </w:tcPr>
          <w:p w:rsidR="00D90EE1" w:rsidRPr="00017CC7" w:rsidRDefault="00EB1037" w:rsidP="00017CC7">
            <w:pPr>
              <w:pStyle w:val="TabulkaTL"/>
            </w:pPr>
            <w:r w:rsidRPr="00017CC7">
              <w:t>Soubor nemovitostí</w:t>
            </w:r>
            <w:r w:rsidR="00D90EE1" w:rsidRPr="00017CC7">
              <w:t xml:space="preserve"> vlastních a cizích včetně příslušenství a ostatních staveb vlastních a cizích, jako jsou např. zpevněná nádvoří a plochy, parkoviště, hřiště, silnice, komunikace, vozovky, cesty a chodníky, patníky, jímky, studny, kašny, pomníky, sochy, zídky, altány, opěrné zdi, komíny, sadové a venkovní úpravy, kanalizace včetně septiků, oplocení, veřejné osvětlení, dopravní značení, inženýrské sítě, lavičky, odpadkové koše, vjezdové závory,</w:t>
            </w:r>
            <w:r w:rsidR="00672FF5" w:rsidRPr="00017CC7">
              <w:t xml:space="preserve"> bazénové technologie, informační a navigační systémy, cyklostezky, sakrální stavby</w:t>
            </w:r>
            <w:r w:rsidR="00D90EE1" w:rsidRPr="00017CC7">
              <w:t xml:space="preserve"> </w:t>
            </w:r>
            <w:r w:rsidR="00C52DF2" w:rsidRPr="00017CC7">
              <w:t xml:space="preserve">mimo </w:t>
            </w:r>
            <w:r w:rsidR="00D90EE1" w:rsidRPr="00017CC7">
              <w:t>mosty, stavby na vodních tocích (mosty propustky, lávky, hráze, nádrže apod.) a včetně všech rozestavěných staveb.</w:t>
            </w:r>
          </w:p>
        </w:tc>
        <w:tc>
          <w:tcPr>
            <w:tcW w:w="1078" w:type="pct"/>
            <w:vAlign w:val="center"/>
          </w:tcPr>
          <w:p w:rsidR="00D90EE1" w:rsidRPr="00C23FDE" w:rsidRDefault="00D90EE1" w:rsidP="00D90EE1">
            <w:pPr>
              <w:jc w:val="right"/>
              <w:rPr>
                <w:color w:val="000000"/>
                <w:sz w:val="16"/>
                <w:szCs w:val="16"/>
              </w:rPr>
            </w:pPr>
            <w:r w:rsidRPr="00C23FDE">
              <w:rPr>
                <w:color w:val="000000"/>
                <w:sz w:val="16"/>
                <w:szCs w:val="16"/>
              </w:rPr>
              <w:t>10 000 000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3</w:t>
            </w:r>
          </w:p>
        </w:tc>
        <w:tc>
          <w:tcPr>
            <w:tcW w:w="2828" w:type="pct"/>
          </w:tcPr>
          <w:p w:rsidR="00D90EE1" w:rsidRPr="00017CC7" w:rsidRDefault="00D90EE1" w:rsidP="00017CC7">
            <w:pPr>
              <w:pStyle w:val="TabulkaTL"/>
            </w:pPr>
            <w:r w:rsidRPr="00017CC7">
              <w:t>Soubor nemovitostí vlastních a cizích včetně příslušenství a ostatních staveb vlastních a cizích, jako jsou např. mosty, stavby na vodních tocích (mosty</w:t>
            </w:r>
            <w:r w:rsidR="00DC5226">
              <w:t>,</w:t>
            </w:r>
            <w:r w:rsidRPr="00017CC7">
              <w:t xml:space="preserve"> propustky, lávky, hráze, nádrže apod.) a včetně všech rozestavěných staveb.</w:t>
            </w:r>
          </w:p>
        </w:tc>
        <w:tc>
          <w:tcPr>
            <w:tcW w:w="1078" w:type="pct"/>
            <w:vAlign w:val="center"/>
          </w:tcPr>
          <w:p w:rsidR="00D90EE1" w:rsidRPr="00C23FDE" w:rsidRDefault="00D90EE1" w:rsidP="00D90EE1">
            <w:pPr>
              <w:jc w:val="right"/>
              <w:rPr>
                <w:color w:val="000000"/>
                <w:sz w:val="16"/>
                <w:szCs w:val="16"/>
              </w:rPr>
            </w:pPr>
            <w:r w:rsidRPr="00C23FDE">
              <w:rPr>
                <w:color w:val="000000"/>
                <w:sz w:val="16"/>
                <w:szCs w:val="16"/>
              </w:rPr>
              <w:t>5 000 000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4</w:t>
            </w:r>
          </w:p>
        </w:tc>
        <w:tc>
          <w:tcPr>
            <w:tcW w:w="2828" w:type="pct"/>
          </w:tcPr>
          <w:p w:rsidR="00D90EE1" w:rsidRPr="00017CC7" w:rsidRDefault="00D90EE1" w:rsidP="00017CC7">
            <w:pPr>
              <w:pStyle w:val="TabulkaTL"/>
            </w:pPr>
            <w:r w:rsidRPr="00017CC7">
              <w:t xml:space="preserve">Soubor movitých věcí </w:t>
            </w:r>
            <w:r w:rsidR="001E2A3C" w:rsidRPr="00017CC7">
              <w:t>vlastních a cizích</w:t>
            </w:r>
            <w:r w:rsidR="00C52DF2" w:rsidRPr="00017CC7">
              <w:t>,</w:t>
            </w:r>
            <w:r w:rsidRPr="00017CC7">
              <w:t xml:space="preserve"> včetně knižního a hudebního fondu městské knihovny</w:t>
            </w:r>
            <w:r w:rsidR="00DC5226">
              <w:t>.</w:t>
            </w:r>
          </w:p>
        </w:tc>
        <w:tc>
          <w:tcPr>
            <w:tcW w:w="1078" w:type="pct"/>
            <w:vAlign w:val="center"/>
          </w:tcPr>
          <w:p w:rsidR="00D90EE1" w:rsidRPr="00C23FDE" w:rsidRDefault="001E2A3C" w:rsidP="009536A6">
            <w:pPr>
              <w:jc w:val="right"/>
              <w:rPr>
                <w:color w:val="000000"/>
                <w:sz w:val="16"/>
                <w:szCs w:val="16"/>
              </w:rPr>
            </w:pPr>
            <w:r w:rsidRPr="00C23FDE">
              <w:rPr>
                <w:color w:val="000000"/>
                <w:sz w:val="16"/>
                <w:szCs w:val="16"/>
              </w:rPr>
              <w:t>471 </w:t>
            </w:r>
            <w:r w:rsidR="009536A6" w:rsidRPr="00C23FDE">
              <w:rPr>
                <w:color w:val="000000"/>
                <w:sz w:val="16"/>
                <w:szCs w:val="16"/>
              </w:rPr>
              <w:t>700</w:t>
            </w:r>
            <w:r w:rsidRPr="00C23FDE">
              <w:rPr>
                <w:color w:val="000000"/>
                <w:sz w:val="16"/>
                <w:szCs w:val="16"/>
              </w:rPr>
              <w:t xml:space="preserve"> </w:t>
            </w:r>
            <w:r w:rsidR="009536A6" w:rsidRPr="00C23FDE">
              <w:rPr>
                <w:color w:val="000000"/>
                <w:sz w:val="16"/>
                <w:szCs w:val="16"/>
              </w:rPr>
              <w:t>000</w:t>
            </w:r>
            <w:r w:rsidR="00D90EE1" w:rsidRPr="00C23FDE">
              <w:rPr>
                <w:color w:val="000000"/>
                <w:sz w:val="16"/>
                <w:szCs w:val="16"/>
              </w:rPr>
              <w:t xml:space="preserve"> Kč</w:t>
            </w:r>
          </w:p>
        </w:tc>
        <w:tc>
          <w:tcPr>
            <w:tcW w:w="784" w:type="pct"/>
            <w:vAlign w:val="center"/>
          </w:tcPr>
          <w:p w:rsidR="00D90EE1" w:rsidRPr="00C23FDE" w:rsidRDefault="00D90EE1" w:rsidP="00D90EE1">
            <w:pPr>
              <w:rPr>
                <w:sz w:val="16"/>
                <w:szCs w:val="16"/>
              </w:rPr>
            </w:pPr>
            <w:r w:rsidRPr="00C23FDE">
              <w:rPr>
                <w:sz w:val="16"/>
                <w:szCs w:val="16"/>
              </w:rPr>
              <w:t>Nová cena</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5</w:t>
            </w:r>
          </w:p>
        </w:tc>
        <w:tc>
          <w:tcPr>
            <w:tcW w:w="2828" w:type="pct"/>
          </w:tcPr>
          <w:p w:rsidR="00D90EE1" w:rsidRPr="00017CC7" w:rsidRDefault="00D90EE1" w:rsidP="00017CC7">
            <w:pPr>
              <w:pStyle w:val="TabulkaTL"/>
            </w:pPr>
            <w:r w:rsidRPr="00017CC7">
              <w:t>Soubor písemností, plánů, obchodních knih, kartoték, výkresů, magnetických pásků a disků, ostatních nosičů dat a záznamů na nich</w:t>
            </w:r>
            <w:r w:rsidR="00DC5226">
              <w:t>.</w:t>
            </w:r>
          </w:p>
        </w:tc>
        <w:tc>
          <w:tcPr>
            <w:tcW w:w="1078" w:type="pct"/>
            <w:vAlign w:val="center"/>
          </w:tcPr>
          <w:p w:rsidR="00D90EE1" w:rsidRPr="00C23FDE" w:rsidRDefault="00D90EE1" w:rsidP="00D90EE1">
            <w:pPr>
              <w:jc w:val="right"/>
              <w:rPr>
                <w:sz w:val="16"/>
                <w:szCs w:val="16"/>
              </w:rPr>
            </w:pPr>
            <w:r w:rsidRPr="00C23FDE">
              <w:rPr>
                <w:sz w:val="16"/>
                <w:szCs w:val="16"/>
              </w:rPr>
              <w:t>500 000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6</w:t>
            </w:r>
          </w:p>
        </w:tc>
        <w:tc>
          <w:tcPr>
            <w:tcW w:w="2828" w:type="pct"/>
          </w:tcPr>
          <w:p w:rsidR="00D90EE1" w:rsidRPr="00017CC7" w:rsidRDefault="00D90EE1" w:rsidP="00017CC7">
            <w:pPr>
              <w:pStyle w:val="TabulkaTL"/>
            </w:pPr>
            <w:r w:rsidRPr="00017CC7">
              <w:t>Soubor movitých věcí – cizích vnesených a odložených, zaměstnanců, návštěv, klientů apod.</w:t>
            </w:r>
          </w:p>
        </w:tc>
        <w:tc>
          <w:tcPr>
            <w:tcW w:w="1078" w:type="pct"/>
            <w:vAlign w:val="center"/>
          </w:tcPr>
          <w:p w:rsidR="00D90EE1" w:rsidRPr="00C23FDE" w:rsidRDefault="00D90EE1" w:rsidP="00D90EE1">
            <w:pPr>
              <w:jc w:val="right"/>
              <w:rPr>
                <w:sz w:val="16"/>
                <w:szCs w:val="16"/>
              </w:rPr>
            </w:pPr>
            <w:r w:rsidRPr="00C23FDE">
              <w:rPr>
                <w:sz w:val="16"/>
                <w:szCs w:val="16"/>
              </w:rPr>
              <w:t>500 000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7</w:t>
            </w:r>
          </w:p>
        </w:tc>
        <w:tc>
          <w:tcPr>
            <w:tcW w:w="2828" w:type="pct"/>
          </w:tcPr>
          <w:p w:rsidR="00D90EE1" w:rsidRPr="00017CC7" w:rsidRDefault="00D90EE1" w:rsidP="00017CC7">
            <w:pPr>
              <w:pStyle w:val="TabulkaTL"/>
            </w:pPr>
            <w:r w:rsidRPr="00017CC7">
              <w:t>Soubor uměleckých děl, sbírek, věcí zvláštní kulturní a historické hodnoty vlastních a cizích včetně exponátů na výstavách</w:t>
            </w:r>
            <w:r w:rsidR="00DC5226">
              <w:t>.</w:t>
            </w:r>
          </w:p>
          <w:p w:rsidR="00D90EE1" w:rsidRPr="00017CC7" w:rsidRDefault="00D90EE1" w:rsidP="00017CC7">
            <w:pPr>
              <w:pStyle w:val="TabulkaTL"/>
            </w:pPr>
          </w:p>
        </w:tc>
        <w:tc>
          <w:tcPr>
            <w:tcW w:w="1078" w:type="pct"/>
            <w:vAlign w:val="center"/>
          </w:tcPr>
          <w:p w:rsidR="00D90EE1" w:rsidRPr="00C23FDE" w:rsidRDefault="00F55CF6" w:rsidP="00D90EE1">
            <w:pPr>
              <w:jc w:val="right"/>
              <w:rPr>
                <w:sz w:val="16"/>
                <w:szCs w:val="16"/>
              </w:rPr>
            </w:pPr>
            <w:r w:rsidRPr="00C23FDE">
              <w:rPr>
                <w:sz w:val="16"/>
                <w:szCs w:val="16"/>
              </w:rPr>
              <w:t>5</w:t>
            </w:r>
            <w:r w:rsidR="00D90EE1" w:rsidRPr="00C23FDE">
              <w:rPr>
                <w:sz w:val="16"/>
                <w:szCs w:val="16"/>
              </w:rPr>
              <w:t xml:space="preserve"> 000 000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8</w:t>
            </w:r>
          </w:p>
        </w:tc>
        <w:tc>
          <w:tcPr>
            <w:tcW w:w="2828" w:type="pct"/>
          </w:tcPr>
          <w:p w:rsidR="00D90EE1" w:rsidRPr="00017CC7" w:rsidRDefault="00D90EE1" w:rsidP="00017CC7">
            <w:pPr>
              <w:pStyle w:val="TabulkaTL"/>
            </w:pPr>
            <w:r w:rsidRPr="00017CC7">
              <w:t>Soubor věcí vedených v operativní evidenci, věcí vedených na účtu spotřeby materiálu</w:t>
            </w:r>
            <w:r w:rsidR="00DC5226">
              <w:t>.</w:t>
            </w:r>
          </w:p>
          <w:p w:rsidR="00D90EE1" w:rsidRPr="00017CC7" w:rsidRDefault="00D90EE1" w:rsidP="00017CC7">
            <w:pPr>
              <w:pStyle w:val="TabulkaTL"/>
            </w:pPr>
          </w:p>
        </w:tc>
        <w:tc>
          <w:tcPr>
            <w:tcW w:w="1078" w:type="pct"/>
            <w:vAlign w:val="center"/>
          </w:tcPr>
          <w:p w:rsidR="00D90EE1" w:rsidRPr="00C23FDE" w:rsidRDefault="00D90EE1" w:rsidP="00D90EE1">
            <w:pPr>
              <w:jc w:val="right"/>
              <w:rPr>
                <w:sz w:val="16"/>
                <w:szCs w:val="16"/>
              </w:rPr>
            </w:pPr>
            <w:r w:rsidRPr="00C23FDE">
              <w:rPr>
                <w:sz w:val="16"/>
                <w:szCs w:val="16"/>
              </w:rPr>
              <w:t>1 000 000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9</w:t>
            </w:r>
          </w:p>
        </w:tc>
        <w:tc>
          <w:tcPr>
            <w:tcW w:w="2828" w:type="pct"/>
          </w:tcPr>
          <w:p w:rsidR="00D90EE1" w:rsidRPr="00017CC7" w:rsidRDefault="00D90EE1" w:rsidP="00017CC7">
            <w:pPr>
              <w:pStyle w:val="TabulkaTL"/>
            </w:pPr>
            <w:r w:rsidRPr="00017CC7">
              <w:t xml:space="preserve">Soubor zásob vlastních a cizích (zásobami se rozumí materiál, zboží, nedokončená výroba včetně nedokončené stavební výroby, polotovary, dokončené výrobky apod.). </w:t>
            </w:r>
          </w:p>
          <w:p w:rsidR="00D90EE1" w:rsidRPr="00017CC7" w:rsidRDefault="00D90EE1" w:rsidP="00017CC7">
            <w:pPr>
              <w:pStyle w:val="TabulkaTL"/>
            </w:pPr>
          </w:p>
        </w:tc>
        <w:tc>
          <w:tcPr>
            <w:tcW w:w="1078" w:type="pct"/>
            <w:vAlign w:val="center"/>
          </w:tcPr>
          <w:p w:rsidR="00D90EE1" w:rsidRPr="00C23FDE" w:rsidRDefault="00D90EE1" w:rsidP="00D90EE1">
            <w:pPr>
              <w:jc w:val="right"/>
              <w:rPr>
                <w:sz w:val="16"/>
                <w:szCs w:val="16"/>
              </w:rPr>
            </w:pPr>
            <w:r w:rsidRPr="00C23FDE">
              <w:rPr>
                <w:sz w:val="16"/>
                <w:szCs w:val="16"/>
              </w:rPr>
              <w:t>1 000 000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10</w:t>
            </w:r>
          </w:p>
        </w:tc>
        <w:tc>
          <w:tcPr>
            <w:tcW w:w="2828" w:type="pct"/>
          </w:tcPr>
          <w:p w:rsidR="00D90EE1" w:rsidRPr="00017CC7" w:rsidRDefault="00D90EE1" w:rsidP="00017CC7">
            <w:pPr>
              <w:pStyle w:val="TabulkaTL"/>
            </w:pPr>
            <w:r w:rsidRPr="00017CC7">
              <w:t>Soubor investic</w:t>
            </w:r>
          </w:p>
          <w:p w:rsidR="00D90EE1" w:rsidRPr="00017CC7" w:rsidRDefault="00D90EE1" w:rsidP="00017CC7">
            <w:pPr>
              <w:pStyle w:val="TabulkaTL"/>
            </w:pPr>
          </w:p>
        </w:tc>
        <w:tc>
          <w:tcPr>
            <w:tcW w:w="1078" w:type="pct"/>
            <w:vAlign w:val="center"/>
          </w:tcPr>
          <w:p w:rsidR="00D90EE1" w:rsidRPr="00C23FDE" w:rsidRDefault="00D90EE1" w:rsidP="00D90EE1">
            <w:pPr>
              <w:jc w:val="right"/>
              <w:rPr>
                <w:sz w:val="16"/>
                <w:szCs w:val="16"/>
              </w:rPr>
            </w:pPr>
            <w:r w:rsidRPr="00C23FDE">
              <w:rPr>
                <w:sz w:val="16"/>
                <w:szCs w:val="16"/>
              </w:rPr>
              <w:t>5 000 000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lastRenderedPageBreak/>
              <w:t>11</w:t>
            </w:r>
          </w:p>
        </w:tc>
        <w:tc>
          <w:tcPr>
            <w:tcW w:w="2828" w:type="pct"/>
          </w:tcPr>
          <w:p w:rsidR="00D90EE1" w:rsidRPr="00017CC7" w:rsidRDefault="00D90EE1" w:rsidP="00017CC7">
            <w:pPr>
              <w:pStyle w:val="TabulkaTL"/>
            </w:pPr>
            <w:r w:rsidRPr="00017CC7">
              <w:t>Soubor peněžní hotovosti a jiných cenností vlastních a cizích včetně vnesených cenných věcí zaměstnanců, návštěv apod. (peníze - platné tuzemské i cizozemské bankovky a mince, cenné papíry, klenoty, výrobky z drahých kovů, drahých kamenů a perel, drahé kameny, perly, šeky, depozitní certifikáty, cenné známky, poštovní známky, kolky, poukázky, losy, karty na naftu a benzín, telefonní karty, stravenky, dálniční známky, jízdenky a kupony MHD, dobíjecí kupóny do mobilních telefonů, vkladní a šekové knížky, platební karty a jiné obdobné dokumenty apod.)</w:t>
            </w:r>
          </w:p>
          <w:p w:rsidR="00D90EE1" w:rsidRPr="00017CC7" w:rsidRDefault="00D90EE1" w:rsidP="00017CC7">
            <w:pPr>
              <w:pStyle w:val="TabulkaTL"/>
            </w:pPr>
          </w:p>
        </w:tc>
        <w:tc>
          <w:tcPr>
            <w:tcW w:w="1078" w:type="pct"/>
            <w:vAlign w:val="center"/>
          </w:tcPr>
          <w:p w:rsidR="00D90EE1" w:rsidRPr="00C23FDE" w:rsidRDefault="00D90EE1" w:rsidP="00D90EE1">
            <w:pPr>
              <w:jc w:val="right"/>
              <w:rPr>
                <w:sz w:val="16"/>
                <w:szCs w:val="16"/>
              </w:rPr>
            </w:pPr>
            <w:r w:rsidRPr="00C23FDE">
              <w:rPr>
                <w:sz w:val="16"/>
                <w:szCs w:val="16"/>
              </w:rPr>
              <w:t>500 000 Kč</w:t>
            </w:r>
          </w:p>
        </w:tc>
        <w:tc>
          <w:tcPr>
            <w:tcW w:w="784" w:type="pct"/>
            <w:vAlign w:val="center"/>
          </w:tcPr>
          <w:p w:rsidR="00D90EE1" w:rsidRPr="00C23FDE" w:rsidRDefault="00D90EE1" w:rsidP="00D90EE1">
            <w:pPr>
              <w:rPr>
                <w:sz w:val="16"/>
                <w:szCs w:val="16"/>
              </w:rPr>
            </w:pPr>
            <w:r w:rsidRPr="00C23FDE">
              <w:rPr>
                <w:sz w:val="16"/>
                <w:szCs w:val="16"/>
              </w:rPr>
              <w:t>1 Riziko</w:t>
            </w:r>
          </w:p>
        </w:tc>
      </w:tr>
      <w:tr w:rsidR="00D90EE1" w:rsidRPr="00387BA8" w:rsidTr="006A53C9">
        <w:tc>
          <w:tcPr>
            <w:tcW w:w="309" w:type="pct"/>
            <w:vAlign w:val="center"/>
          </w:tcPr>
          <w:p w:rsidR="00D90EE1" w:rsidRPr="00C23FDE" w:rsidRDefault="00D90EE1" w:rsidP="007031E6">
            <w:pPr>
              <w:spacing w:line="280" w:lineRule="atLeast"/>
              <w:jc w:val="center"/>
              <w:rPr>
                <w:sz w:val="16"/>
                <w:szCs w:val="16"/>
              </w:rPr>
            </w:pPr>
            <w:r w:rsidRPr="00C23FDE">
              <w:rPr>
                <w:sz w:val="16"/>
                <w:szCs w:val="16"/>
              </w:rPr>
              <w:t>12</w:t>
            </w:r>
          </w:p>
          <w:p w:rsidR="00D90EE1" w:rsidRPr="00C23FDE" w:rsidRDefault="00D90EE1" w:rsidP="007031E6">
            <w:pPr>
              <w:spacing w:line="280" w:lineRule="atLeast"/>
              <w:jc w:val="center"/>
              <w:rPr>
                <w:sz w:val="16"/>
                <w:szCs w:val="16"/>
              </w:rPr>
            </w:pPr>
          </w:p>
        </w:tc>
        <w:tc>
          <w:tcPr>
            <w:tcW w:w="2828" w:type="pct"/>
          </w:tcPr>
          <w:p w:rsidR="00D90EE1" w:rsidRPr="00C23FDE" w:rsidRDefault="00D90EE1" w:rsidP="00661AC5">
            <w:pPr>
              <w:rPr>
                <w:rFonts w:eastAsia="Calibri" w:cs="Times New Roman"/>
                <w:color w:val="000000"/>
                <w:sz w:val="16"/>
                <w:szCs w:val="16"/>
                <w:lang w:eastAsia="en-US"/>
              </w:rPr>
            </w:pPr>
            <w:r w:rsidRPr="00C23FDE">
              <w:rPr>
                <w:rFonts w:eastAsia="Calibri" w:cs="Times New Roman"/>
                <w:color w:val="000000"/>
                <w:sz w:val="16"/>
                <w:szCs w:val="16"/>
                <w:lang w:eastAsia="en-US"/>
              </w:rPr>
              <w:t>Soubor vlastních a cizích hrobů, náhrobků včetně hrobového příslušenství</w:t>
            </w:r>
          </w:p>
          <w:p w:rsidR="00D90EE1" w:rsidRPr="00C23FDE" w:rsidRDefault="00D90EE1" w:rsidP="00661AC5">
            <w:pPr>
              <w:rPr>
                <w:rFonts w:eastAsia="Calibri" w:cs="Times New Roman"/>
                <w:color w:val="000000"/>
                <w:sz w:val="16"/>
                <w:szCs w:val="16"/>
                <w:lang w:eastAsia="en-US"/>
              </w:rPr>
            </w:pPr>
          </w:p>
        </w:tc>
        <w:tc>
          <w:tcPr>
            <w:tcW w:w="1078" w:type="pct"/>
            <w:vAlign w:val="center"/>
          </w:tcPr>
          <w:p w:rsidR="00D90EE1" w:rsidRPr="00C23FDE" w:rsidRDefault="00D90EE1" w:rsidP="00D90EE1">
            <w:pPr>
              <w:jc w:val="right"/>
              <w:rPr>
                <w:sz w:val="16"/>
                <w:szCs w:val="16"/>
              </w:rPr>
            </w:pPr>
            <w:r w:rsidRPr="00C23FDE">
              <w:rPr>
                <w:sz w:val="16"/>
                <w:szCs w:val="16"/>
              </w:rPr>
              <w:t>500 000 Kč</w:t>
            </w:r>
          </w:p>
        </w:tc>
        <w:tc>
          <w:tcPr>
            <w:tcW w:w="784" w:type="pct"/>
            <w:vAlign w:val="center"/>
          </w:tcPr>
          <w:p w:rsidR="00D90EE1" w:rsidRPr="00C23FDE" w:rsidRDefault="00D90EE1" w:rsidP="00D90EE1">
            <w:pPr>
              <w:rPr>
                <w:sz w:val="16"/>
                <w:szCs w:val="16"/>
              </w:rPr>
            </w:pPr>
            <w:r w:rsidRPr="00C23FDE">
              <w:rPr>
                <w:sz w:val="16"/>
                <w:szCs w:val="16"/>
              </w:rPr>
              <w:t>1 Riziko</w:t>
            </w:r>
          </w:p>
        </w:tc>
      </w:tr>
    </w:tbl>
    <w:p w:rsidR="002502BC" w:rsidRDefault="00D47CF4" w:rsidP="002502BC">
      <w:pPr>
        <w:pStyle w:val="Nadpis2"/>
      </w:pPr>
      <w:bookmarkStart w:id="12" w:name="_Toc450552711"/>
      <w:r w:rsidRPr="00387BA8">
        <w:t>Pojistná nebezpečí</w:t>
      </w:r>
      <w:r w:rsidR="006A53C9">
        <w:t>, limity plnění a spoluúčasti</w:t>
      </w:r>
      <w:bookmarkEnd w:id="12"/>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042"/>
        <w:gridCol w:w="2138"/>
        <w:gridCol w:w="13"/>
        <w:gridCol w:w="2093"/>
      </w:tblGrid>
      <w:tr w:rsidR="002502BC" w:rsidRPr="00EF0C37" w:rsidTr="00D963C4">
        <w:trPr>
          <w:cantSplit/>
          <w:trHeight w:val="340"/>
        </w:trPr>
        <w:tc>
          <w:tcPr>
            <w:tcW w:w="2715" w:type="pct"/>
            <w:tcBorders>
              <w:top w:val="single" w:sz="4" w:space="0" w:color="808080"/>
              <w:left w:val="single" w:sz="4" w:space="0" w:color="808080"/>
              <w:bottom w:val="single" w:sz="4" w:space="0" w:color="808080"/>
              <w:right w:val="single" w:sz="4" w:space="0" w:color="808080"/>
            </w:tcBorders>
            <w:shd w:val="clear" w:color="auto" w:fill="F2F2F2"/>
          </w:tcPr>
          <w:p w:rsidR="002502BC" w:rsidRPr="003A4C87" w:rsidRDefault="002502BC" w:rsidP="006A53C9">
            <w:pPr>
              <w:pStyle w:val="TabulkaNL"/>
              <w:rPr>
                <w:rFonts w:cs="Arial"/>
                <w:b w:val="0"/>
                <w:color w:val="auto"/>
                <w:sz w:val="18"/>
                <w:szCs w:val="18"/>
                <w:lang w:val="cs-CZ"/>
              </w:rPr>
            </w:pPr>
          </w:p>
        </w:tc>
        <w:tc>
          <w:tcPr>
            <w:tcW w:w="2285" w:type="pct"/>
            <w:gridSpan w:val="3"/>
            <w:tcBorders>
              <w:top w:val="single" w:sz="4" w:space="0" w:color="808080"/>
              <w:left w:val="single" w:sz="4" w:space="0" w:color="808080"/>
              <w:bottom w:val="single" w:sz="4" w:space="0" w:color="808080"/>
              <w:right w:val="single" w:sz="4" w:space="0" w:color="808080"/>
            </w:tcBorders>
            <w:shd w:val="clear" w:color="auto" w:fill="F2F2F2"/>
          </w:tcPr>
          <w:p w:rsidR="002502BC" w:rsidRPr="003A4C87" w:rsidRDefault="002502BC" w:rsidP="002502BC">
            <w:pPr>
              <w:pStyle w:val="TabulkaNL"/>
              <w:rPr>
                <w:rFonts w:cs="Arial"/>
                <w:bCs/>
                <w:color w:val="auto"/>
                <w:szCs w:val="16"/>
                <w:lang w:val="cs-CZ"/>
              </w:rPr>
            </w:pPr>
          </w:p>
        </w:tc>
      </w:tr>
      <w:tr w:rsidR="002502BC" w:rsidRPr="00362173" w:rsidTr="00B217F4">
        <w:trPr>
          <w:trHeight w:val="257"/>
        </w:trPr>
        <w:tc>
          <w:tcPr>
            <w:tcW w:w="2715" w:type="pct"/>
            <w:shd w:val="clear" w:color="auto" w:fill="FFFFFF"/>
            <w:vAlign w:val="center"/>
          </w:tcPr>
          <w:p w:rsidR="002502BC" w:rsidRPr="00EF0C37" w:rsidRDefault="002502BC" w:rsidP="00B217F4">
            <w:pPr>
              <w:pStyle w:val="TabulkaTL"/>
              <w:rPr>
                <w:bCs/>
                <w:szCs w:val="16"/>
              </w:rPr>
            </w:pPr>
            <w:r w:rsidRPr="00EF0C37">
              <w:rPr>
                <w:bCs/>
                <w:szCs w:val="16"/>
              </w:rPr>
              <w:t>Pojištěná nebezpečí</w:t>
            </w:r>
          </w:p>
        </w:tc>
        <w:tc>
          <w:tcPr>
            <w:tcW w:w="2285" w:type="pct"/>
            <w:gridSpan w:val="3"/>
            <w:shd w:val="clear" w:color="auto" w:fill="FFFFFF"/>
            <w:vAlign w:val="center"/>
          </w:tcPr>
          <w:p w:rsidR="00B217F4" w:rsidRDefault="00B217F4" w:rsidP="00B217F4">
            <w:pPr>
              <w:pStyle w:val="TabulkaTL"/>
              <w:rPr>
                <w:b/>
              </w:rPr>
            </w:pPr>
          </w:p>
          <w:p w:rsidR="002502BC" w:rsidRPr="00362173" w:rsidRDefault="002502BC" w:rsidP="00B217F4">
            <w:pPr>
              <w:pStyle w:val="TabulkaTL"/>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Pr="00EF0C37">
              <w:rPr>
                <w:b/>
              </w:rPr>
              <w:t xml:space="preserve"> </w:t>
            </w:r>
            <w:r w:rsidRPr="00B826DB">
              <w:t>Kompletní živel</w:t>
            </w:r>
          </w:p>
        </w:tc>
      </w:tr>
      <w:tr w:rsidR="002502BC" w:rsidRPr="00EF0C37" w:rsidTr="006A53C9">
        <w:trPr>
          <w:trHeight w:val="194"/>
        </w:trPr>
        <w:tc>
          <w:tcPr>
            <w:tcW w:w="2715" w:type="pct"/>
            <w:tcBorders>
              <w:top w:val="single" w:sz="4" w:space="0" w:color="808080"/>
              <w:left w:val="single" w:sz="4" w:space="0" w:color="808080"/>
              <w:bottom w:val="single" w:sz="4" w:space="0" w:color="808080"/>
              <w:right w:val="single" w:sz="4" w:space="0" w:color="808080"/>
            </w:tcBorders>
            <w:shd w:val="clear" w:color="auto" w:fill="auto"/>
          </w:tcPr>
          <w:p w:rsidR="002502BC" w:rsidRPr="006A53C9" w:rsidRDefault="002502BC" w:rsidP="006A53C9">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Celkový limit plnění na rok/ pojistnou událost</w:t>
            </w:r>
          </w:p>
        </w:tc>
        <w:tc>
          <w:tcPr>
            <w:tcW w:w="2285" w:type="pct"/>
            <w:gridSpan w:val="3"/>
            <w:tcBorders>
              <w:top w:val="single" w:sz="4" w:space="0" w:color="808080"/>
              <w:left w:val="single" w:sz="4" w:space="0" w:color="808080"/>
              <w:bottom w:val="single" w:sz="4" w:space="0" w:color="808080"/>
              <w:right w:val="single" w:sz="4" w:space="0" w:color="808080"/>
            </w:tcBorders>
            <w:shd w:val="clear" w:color="auto" w:fill="auto"/>
          </w:tcPr>
          <w:p w:rsidR="002502BC" w:rsidRPr="006A53C9" w:rsidRDefault="002502BC" w:rsidP="006A53C9">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Nestanoveno</w:t>
            </w:r>
          </w:p>
        </w:tc>
      </w:tr>
      <w:tr w:rsidR="002502BC" w:rsidRPr="00C46585" w:rsidTr="00D963C4">
        <w:trPr>
          <w:trHeight w:val="340"/>
        </w:trPr>
        <w:tc>
          <w:tcPr>
            <w:tcW w:w="2715" w:type="pct"/>
            <w:tcBorders>
              <w:top w:val="single" w:sz="4" w:space="0" w:color="808080"/>
              <w:left w:val="single" w:sz="4" w:space="0" w:color="808080"/>
              <w:bottom w:val="single" w:sz="4" w:space="0" w:color="808080"/>
              <w:right w:val="single" w:sz="4" w:space="0" w:color="808080"/>
            </w:tcBorders>
            <w:shd w:val="clear" w:color="auto" w:fill="F2F2F2"/>
          </w:tcPr>
          <w:p w:rsidR="002502BC" w:rsidRPr="00017CC7" w:rsidRDefault="002502BC" w:rsidP="00D963C4">
            <w:pPr>
              <w:pStyle w:val="TabulkaTLB"/>
              <w:rPr>
                <w:bCs/>
                <w:sz w:val="18"/>
              </w:rPr>
            </w:pPr>
            <w:r w:rsidRPr="00017CC7">
              <w:rPr>
                <w:bCs/>
                <w:sz w:val="18"/>
              </w:rPr>
              <w:t>Pro jednotlivá nebezpečí:</w:t>
            </w:r>
          </w:p>
        </w:tc>
        <w:tc>
          <w:tcPr>
            <w:tcW w:w="1151" w:type="pct"/>
            <w:tcBorders>
              <w:top w:val="single" w:sz="4" w:space="0" w:color="808080"/>
              <w:left w:val="single" w:sz="4" w:space="0" w:color="808080"/>
              <w:bottom w:val="single" w:sz="4" w:space="0" w:color="808080"/>
              <w:right w:val="single" w:sz="4" w:space="0" w:color="808080"/>
            </w:tcBorders>
            <w:shd w:val="clear" w:color="auto" w:fill="F2F2F2"/>
          </w:tcPr>
          <w:p w:rsidR="002502BC" w:rsidRPr="00017CC7" w:rsidRDefault="002502BC" w:rsidP="00D963C4">
            <w:pPr>
              <w:pStyle w:val="TabulkaTLB"/>
              <w:jc w:val="center"/>
              <w:rPr>
                <w:sz w:val="18"/>
              </w:rPr>
            </w:pPr>
            <w:r w:rsidRPr="00017CC7">
              <w:rPr>
                <w:sz w:val="18"/>
              </w:rPr>
              <w:t>Limit</w:t>
            </w:r>
          </w:p>
        </w:tc>
        <w:tc>
          <w:tcPr>
            <w:tcW w:w="1134" w:type="pct"/>
            <w:gridSpan w:val="2"/>
            <w:tcBorders>
              <w:top w:val="single" w:sz="4" w:space="0" w:color="808080"/>
              <w:left w:val="single" w:sz="4" w:space="0" w:color="808080"/>
              <w:bottom w:val="single" w:sz="4" w:space="0" w:color="808080"/>
              <w:right w:val="single" w:sz="4" w:space="0" w:color="808080"/>
            </w:tcBorders>
            <w:shd w:val="clear" w:color="auto" w:fill="F2F2F2"/>
          </w:tcPr>
          <w:p w:rsidR="002502BC" w:rsidRPr="00017CC7" w:rsidRDefault="002502BC" w:rsidP="00D963C4">
            <w:pPr>
              <w:pStyle w:val="TabulkaTLB"/>
              <w:jc w:val="center"/>
              <w:rPr>
                <w:sz w:val="18"/>
              </w:rPr>
            </w:pPr>
            <w:r w:rsidRPr="00017CC7">
              <w:rPr>
                <w:sz w:val="18"/>
              </w:rPr>
              <w:t>Spoluúčast</w:t>
            </w:r>
          </w:p>
        </w:tc>
      </w:tr>
      <w:tr w:rsidR="00D85C15"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715" w:type="pct"/>
            <w:vAlign w:val="center"/>
          </w:tcPr>
          <w:p w:rsidR="00D85C15" w:rsidRPr="006A53C9" w:rsidRDefault="00D85C15" w:rsidP="006A53C9">
            <w:pPr>
              <w:spacing w:line="280" w:lineRule="atLeast"/>
              <w:rPr>
                <w:rFonts w:eastAsia="Calibri" w:cs="Times New Roman"/>
                <w:color w:val="000000"/>
                <w:sz w:val="16"/>
                <w:szCs w:val="16"/>
                <w:lang w:eastAsia="en-US"/>
              </w:rPr>
            </w:pPr>
            <w:proofErr w:type="spellStart"/>
            <w:r w:rsidRPr="006A53C9">
              <w:rPr>
                <w:rFonts w:eastAsia="Calibri" w:cs="Times New Roman"/>
                <w:color w:val="000000"/>
                <w:sz w:val="16"/>
                <w:szCs w:val="16"/>
                <w:lang w:eastAsia="en-US"/>
              </w:rPr>
              <w:t>Flexa</w:t>
            </w:r>
            <w:proofErr w:type="spellEnd"/>
          </w:p>
        </w:tc>
        <w:tc>
          <w:tcPr>
            <w:tcW w:w="1158" w:type="pct"/>
            <w:gridSpan w:val="2"/>
            <w:vAlign w:val="center"/>
          </w:tcPr>
          <w:p w:rsidR="00D85C15" w:rsidRPr="006A53C9" w:rsidRDefault="00FC0C79"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Pojistná částka</w:t>
            </w:r>
          </w:p>
        </w:tc>
        <w:tc>
          <w:tcPr>
            <w:tcW w:w="1127" w:type="pct"/>
            <w:vAlign w:val="center"/>
          </w:tcPr>
          <w:p w:rsidR="00D85C15" w:rsidRPr="006A53C9" w:rsidRDefault="00D85C15"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 xml:space="preserve">20 000 Kč </w:t>
            </w:r>
          </w:p>
        </w:tc>
      </w:tr>
      <w:tr w:rsidR="009C76A7"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9C76A7" w:rsidRPr="006A53C9" w:rsidRDefault="009C76A7" w:rsidP="006A53C9">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Povodeň, záplava</w:t>
            </w:r>
          </w:p>
        </w:tc>
        <w:tc>
          <w:tcPr>
            <w:tcW w:w="1158" w:type="pct"/>
            <w:gridSpan w:val="2"/>
            <w:vAlign w:val="center"/>
          </w:tcPr>
          <w:p w:rsidR="009C76A7" w:rsidRPr="006A53C9" w:rsidRDefault="005402D4"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5</w:t>
            </w:r>
            <w:r w:rsidR="009C76A7" w:rsidRPr="006A53C9">
              <w:rPr>
                <w:rFonts w:eastAsia="Calibri" w:cs="Times New Roman"/>
                <w:color w:val="000000"/>
                <w:sz w:val="16"/>
                <w:szCs w:val="16"/>
                <w:lang w:eastAsia="en-US"/>
              </w:rPr>
              <w:t>0 000 000 Kč</w:t>
            </w:r>
          </w:p>
        </w:tc>
        <w:tc>
          <w:tcPr>
            <w:tcW w:w="1127" w:type="pct"/>
            <w:vAlign w:val="center"/>
          </w:tcPr>
          <w:p w:rsidR="009C76A7" w:rsidRPr="006A53C9" w:rsidRDefault="00D85C15"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 xml:space="preserve">1% min. 25 000 </w:t>
            </w:r>
            <w:r w:rsidR="009C76A7" w:rsidRPr="006A53C9">
              <w:rPr>
                <w:rFonts w:eastAsia="Calibri" w:cs="Times New Roman"/>
                <w:color w:val="000000"/>
                <w:sz w:val="16"/>
                <w:szCs w:val="16"/>
                <w:lang w:eastAsia="en-US"/>
              </w:rPr>
              <w:t>Kč</w:t>
            </w:r>
          </w:p>
        </w:tc>
      </w:tr>
      <w:tr w:rsidR="009C76A7"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9C76A7" w:rsidRPr="006A53C9" w:rsidRDefault="009C76A7" w:rsidP="00B217F4">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 xml:space="preserve">Sesuv, zemětřesení, tíha sněhu nebo námrazy </w:t>
            </w:r>
          </w:p>
        </w:tc>
        <w:tc>
          <w:tcPr>
            <w:tcW w:w="1158" w:type="pct"/>
            <w:gridSpan w:val="2"/>
            <w:vAlign w:val="center"/>
          </w:tcPr>
          <w:p w:rsidR="009C76A7" w:rsidRPr="006A53C9" w:rsidRDefault="009C76A7"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50 000 000 Kč</w:t>
            </w:r>
          </w:p>
        </w:tc>
        <w:tc>
          <w:tcPr>
            <w:tcW w:w="1127" w:type="pct"/>
            <w:vAlign w:val="center"/>
          </w:tcPr>
          <w:p w:rsidR="009C76A7" w:rsidRPr="006A53C9" w:rsidRDefault="00D85C15"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5</w:t>
            </w:r>
            <w:r w:rsidR="009C76A7" w:rsidRPr="006A53C9">
              <w:rPr>
                <w:rFonts w:eastAsia="Calibri" w:cs="Times New Roman"/>
                <w:color w:val="000000"/>
                <w:sz w:val="16"/>
                <w:szCs w:val="16"/>
                <w:lang w:eastAsia="en-US"/>
              </w:rPr>
              <w:t xml:space="preserve"> 000 Kč</w:t>
            </w:r>
          </w:p>
        </w:tc>
      </w:tr>
      <w:tr w:rsidR="005402D4"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5402D4" w:rsidRPr="006A53C9" w:rsidRDefault="005402D4" w:rsidP="00B217F4">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Náraz dopravního prostředku, kouř, aerodynamický třesk, pád stromů, stožárů a jiných předmětů</w:t>
            </w:r>
          </w:p>
        </w:tc>
        <w:tc>
          <w:tcPr>
            <w:tcW w:w="1158" w:type="pct"/>
            <w:gridSpan w:val="2"/>
            <w:vAlign w:val="center"/>
          </w:tcPr>
          <w:p w:rsidR="005402D4" w:rsidRPr="006A53C9" w:rsidRDefault="009E039D"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10 000 000 Kč</w:t>
            </w:r>
          </w:p>
        </w:tc>
        <w:tc>
          <w:tcPr>
            <w:tcW w:w="1127" w:type="pct"/>
            <w:vAlign w:val="center"/>
          </w:tcPr>
          <w:p w:rsidR="005402D4" w:rsidRPr="006A53C9" w:rsidRDefault="009E039D"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5 000 Kč</w:t>
            </w:r>
          </w:p>
        </w:tc>
      </w:tr>
      <w:tr w:rsidR="009C76A7"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9C76A7" w:rsidRPr="006A53C9" w:rsidRDefault="009C76A7" w:rsidP="006A53C9">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Vichřice</w:t>
            </w:r>
            <w:r w:rsidR="009E039D" w:rsidRPr="006A53C9">
              <w:rPr>
                <w:rFonts w:eastAsia="Calibri" w:cs="Times New Roman"/>
                <w:color w:val="000000"/>
                <w:sz w:val="16"/>
                <w:szCs w:val="16"/>
                <w:lang w:eastAsia="en-US"/>
              </w:rPr>
              <w:t xml:space="preserve"> </w:t>
            </w:r>
            <w:r w:rsidR="003A0F83" w:rsidRPr="006A53C9">
              <w:rPr>
                <w:rFonts w:eastAsia="Calibri" w:cs="Times New Roman"/>
                <w:color w:val="000000"/>
                <w:sz w:val="16"/>
                <w:szCs w:val="16"/>
                <w:lang w:eastAsia="en-US"/>
              </w:rPr>
              <w:t>nebo krupobití</w:t>
            </w:r>
          </w:p>
        </w:tc>
        <w:tc>
          <w:tcPr>
            <w:tcW w:w="1158" w:type="pct"/>
            <w:gridSpan w:val="2"/>
            <w:vAlign w:val="center"/>
          </w:tcPr>
          <w:p w:rsidR="009C76A7" w:rsidRPr="006A53C9" w:rsidRDefault="00C52DF2"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10</w:t>
            </w:r>
            <w:r w:rsidR="009C76A7" w:rsidRPr="006A53C9">
              <w:rPr>
                <w:rFonts w:eastAsia="Calibri" w:cs="Times New Roman"/>
                <w:color w:val="000000"/>
                <w:sz w:val="16"/>
                <w:szCs w:val="16"/>
                <w:lang w:eastAsia="en-US"/>
              </w:rPr>
              <w:t>0 000 000 Kč</w:t>
            </w:r>
          </w:p>
        </w:tc>
        <w:tc>
          <w:tcPr>
            <w:tcW w:w="1127" w:type="pct"/>
            <w:vAlign w:val="center"/>
          </w:tcPr>
          <w:p w:rsidR="009C76A7" w:rsidRPr="006A53C9" w:rsidRDefault="00D85C15"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5</w:t>
            </w:r>
            <w:r w:rsidR="009C76A7" w:rsidRPr="006A53C9">
              <w:rPr>
                <w:rFonts w:eastAsia="Calibri" w:cs="Times New Roman"/>
                <w:color w:val="000000"/>
                <w:sz w:val="16"/>
                <w:szCs w:val="16"/>
                <w:lang w:eastAsia="en-US"/>
              </w:rPr>
              <w:t xml:space="preserve"> 000 Kč</w:t>
            </w:r>
          </w:p>
        </w:tc>
      </w:tr>
      <w:tr w:rsidR="009C76A7"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4E62F2" w:rsidRPr="006A53C9" w:rsidRDefault="001F0A20" w:rsidP="004E62F2">
            <w:pPr>
              <w:spacing w:line="280" w:lineRule="atLeast"/>
              <w:rPr>
                <w:rFonts w:eastAsia="Calibri" w:cs="Times New Roman"/>
                <w:color w:val="000000"/>
                <w:sz w:val="16"/>
                <w:szCs w:val="16"/>
                <w:lang w:eastAsia="en-US"/>
              </w:rPr>
            </w:pPr>
            <w:r>
              <w:rPr>
                <w:rFonts w:eastAsia="Calibri" w:cs="Times New Roman"/>
                <w:color w:val="000000"/>
                <w:sz w:val="16"/>
                <w:szCs w:val="16"/>
                <w:lang w:eastAsia="en-US"/>
              </w:rPr>
              <w:t>Voda vytékající z vodovodních zařízení a zamrzání vody ve vodovodním potrubí</w:t>
            </w:r>
            <w:r w:rsidR="004E62F2">
              <w:rPr>
                <w:rFonts w:eastAsia="Calibri" w:cs="Times New Roman"/>
                <w:color w:val="000000"/>
                <w:sz w:val="16"/>
                <w:szCs w:val="16"/>
                <w:lang w:eastAsia="en-US"/>
              </w:rPr>
              <w:t xml:space="preserve">, </w:t>
            </w:r>
          </w:p>
        </w:tc>
        <w:tc>
          <w:tcPr>
            <w:tcW w:w="1158" w:type="pct"/>
            <w:gridSpan w:val="2"/>
            <w:vAlign w:val="center"/>
          </w:tcPr>
          <w:p w:rsidR="009C76A7" w:rsidRPr="006A53C9" w:rsidRDefault="009E039D"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2</w:t>
            </w:r>
            <w:r w:rsidR="009C76A7" w:rsidRPr="006A53C9">
              <w:rPr>
                <w:rFonts w:eastAsia="Calibri" w:cs="Times New Roman"/>
                <w:color w:val="000000"/>
                <w:sz w:val="16"/>
                <w:szCs w:val="16"/>
                <w:lang w:eastAsia="en-US"/>
              </w:rPr>
              <w:t>0 000 000 Kč</w:t>
            </w:r>
          </w:p>
        </w:tc>
        <w:tc>
          <w:tcPr>
            <w:tcW w:w="1127" w:type="pct"/>
            <w:vAlign w:val="center"/>
          </w:tcPr>
          <w:p w:rsidR="009C76A7" w:rsidRPr="006A53C9" w:rsidRDefault="009C76A7" w:rsidP="006A53C9">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Kč</w:t>
            </w:r>
          </w:p>
        </w:tc>
      </w:tr>
      <w:tr w:rsidR="001F0A20"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1F0A20" w:rsidRDefault="001F0A20" w:rsidP="006A53C9">
            <w:pPr>
              <w:spacing w:line="280" w:lineRule="atLeast"/>
              <w:rPr>
                <w:rFonts w:eastAsia="Calibri" w:cs="Times New Roman"/>
                <w:color w:val="000000"/>
                <w:sz w:val="16"/>
                <w:szCs w:val="16"/>
                <w:lang w:eastAsia="en-US"/>
              </w:rPr>
            </w:pPr>
            <w:r>
              <w:rPr>
                <w:rFonts w:eastAsia="Calibri" w:cs="Times New Roman"/>
                <w:color w:val="000000"/>
                <w:sz w:val="16"/>
                <w:szCs w:val="16"/>
                <w:lang w:eastAsia="en-US"/>
              </w:rPr>
              <w:t>Voda vystupující z odpadních potrubí a kanalizace</w:t>
            </w:r>
          </w:p>
        </w:tc>
        <w:tc>
          <w:tcPr>
            <w:tcW w:w="1158" w:type="pct"/>
            <w:gridSpan w:val="2"/>
            <w:vAlign w:val="center"/>
          </w:tcPr>
          <w:p w:rsidR="001F0A20" w:rsidRPr="006A53C9" w:rsidRDefault="001F0A20" w:rsidP="006A53C9">
            <w:pPr>
              <w:spacing w:line="280" w:lineRule="atLeast"/>
              <w:jc w:val="right"/>
              <w:rPr>
                <w:rFonts w:eastAsia="Calibri" w:cs="Times New Roman"/>
                <w:color w:val="000000"/>
                <w:sz w:val="16"/>
                <w:szCs w:val="16"/>
                <w:lang w:eastAsia="en-US"/>
              </w:rPr>
            </w:pPr>
            <w:r>
              <w:rPr>
                <w:rFonts w:eastAsia="Calibri" w:cs="Times New Roman"/>
                <w:color w:val="000000"/>
                <w:sz w:val="16"/>
                <w:szCs w:val="16"/>
                <w:lang w:eastAsia="en-US"/>
              </w:rPr>
              <w:t>10 000 000 Kč</w:t>
            </w:r>
          </w:p>
        </w:tc>
        <w:tc>
          <w:tcPr>
            <w:tcW w:w="1127" w:type="pct"/>
            <w:vAlign w:val="center"/>
          </w:tcPr>
          <w:p w:rsidR="001F0A20" w:rsidRPr="006A53C9" w:rsidRDefault="001F0A20" w:rsidP="006A53C9">
            <w:pPr>
              <w:spacing w:line="280" w:lineRule="atLeast"/>
              <w:jc w:val="right"/>
              <w:rPr>
                <w:rFonts w:eastAsia="Calibri" w:cs="Times New Roman"/>
                <w:color w:val="000000"/>
                <w:sz w:val="16"/>
                <w:szCs w:val="16"/>
                <w:lang w:eastAsia="en-US"/>
              </w:rPr>
            </w:pPr>
            <w:r>
              <w:rPr>
                <w:rFonts w:eastAsia="Calibri" w:cs="Times New Roman"/>
                <w:color w:val="000000"/>
                <w:sz w:val="16"/>
                <w:szCs w:val="16"/>
                <w:lang w:eastAsia="en-US"/>
              </w:rPr>
              <w:t>1 000 Kč</w:t>
            </w:r>
          </w:p>
        </w:tc>
      </w:tr>
      <w:tr w:rsidR="001F0A20"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1F0A20" w:rsidRPr="006A53C9" w:rsidRDefault="001F0A20" w:rsidP="002F5ACF">
            <w:pPr>
              <w:spacing w:line="280" w:lineRule="atLeast"/>
              <w:rPr>
                <w:rFonts w:eastAsia="Calibri" w:cs="Times New Roman"/>
                <w:color w:val="000000"/>
                <w:sz w:val="16"/>
                <w:szCs w:val="16"/>
                <w:lang w:eastAsia="en-US"/>
              </w:rPr>
            </w:pPr>
            <w:r>
              <w:rPr>
                <w:rFonts w:eastAsia="Calibri" w:cs="Times New Roman"/>
                <w:color w:val="000000"/>
                <w:sz w:val="16"/>
                <w:szCs w:val="16"/>
                <w:lang w:eastAsia="en-US"/>
              </w:rPr>
              <w:t>Únik vody z </w:t>
            </w:r>
            <w:r w:rsidRPr="006A53C9">
              <w:rPr>
                <w:rFonts w:eastAsia="Calibri" w:cs="Times New Roman"/>
                <w:color w:val="000000"/>
                <w:sz w:val="16"/>
                <w:szCs w:val="16"/>
                <w:lang w:eastAsia="en-US"/>
              </w:rPr>
              <w:t>dešťov</w:t>
            </w:r>
            <w:r>
              <w:rPr>
                <w:rFonts w:eastAsia="Calibri" w:cs="Times New Roman"/>
                <w:color w:val="000000"/>
                <w:sz w:val="16"/>
                <w:szCs w:val="16"/>
                <w:lang w:eastAsia="en-US"/>
              </w:rPr>
              <w:t>ých svodů jakéhokoliv druhu</w:t>
            </w:r>
          </w:p>
        </w:tc>
        <w:tc>
          <w:tcPr>
            <w:tcW w:w="1158" w:type="pct"/>
            <w:gridSpan w:val="2"/>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5 000 000 Kč</w:t>
            </w:r>
          </w:p>
        </w:tc>
        <w:tc>
          <w:tcPr>
            <w:tcW w:w="1127" w:type="pct"/>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 xml:space="preserve"> 1 000 Kč</w:t>
            </w:r>
          </w:p>
        </w:tc>
      </w:tr>
      <w:tr w:rsidR="001F0A20"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1F0A20" w:rsidRPr="006A53C9" w:rsidRDefault="001F0A20" w:rsidP="002F5ACF">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Poškození vnějších dešťových svodů tlakem kapaliny nebo zamrznutím vody v nich</w:t>
            </w:r>
          </w:p>
        </w:tc>
        <w:tc>
          <w:tcPr>
            <w:tcW w:w="1158" w:type="pct"/>
            <w:gridSpan w:val="2"/>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1 000 000 Kč</w:t>
            </w:r>
          </w:p>
        </w:tc>
        <w:tc>
          <w:tcPr>
            <w:tcW w:w="1127" w:type="pct"/>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Kč</w:t>
            </w:r>
          </w:p>
        </w:tc>
      </w:tr>
      <w:tr w:rsidR="001F0A20"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1F0A20" w:rsidRPr="006A53C9" w:rsidRDefault="001F0A20" w:rsidP="002F5ACF">
            <w:pPr>
              <w:spacing w:line="280" w:lineRule="atLeast"/>
              <w:rPr>
                <w:rFonts w:eastAsia="Calibri" w:cs="Times New Roman"/>
                <w:color w:val="000000"/>
                <w:sz w:val="16"/>
                <w:szCs w:val="16"/>
                <w:lang w:eastAsia="en-US"/>
              </w:rPr>
            </w:pPr>
            <w:r>
              <w:rPr>
                <w:rFonts w:eastAsia="Calibri" w:cs="Times New Roman"/>
                <w:color w:val="000000"/>
                <w:sz w:val="16"/>
                <w:szCs w:val="16"/>
                <w:lang w:eastAsia="en-US"/>
              </w:rPr>
              <w:t xml:space="preserve">Únik </w:t>
            </w:r>
            <w:r w:rsidRPr="006A53C9">
              <w:rPr>
                <w:rFonts w:eastAsia="Calibri" w:cs="Times New Roman"/>
                <w:color w:val="000000"/>
                <w:sz w:val="16"/>
                <w:szCs w:val="16"/>
                <w:lang w:eastAsia="en-US"/>
              </w:rPr>
              <w:t xml:space="preserve"> méd</w:t>
            </w:r>
            <w:r>
              <w:rPr>
                <w:rFonts w:eastAsia="Calibri" w:cs="Times New Roman"/>
                <w:color w:val="000000"/>
                <w:sz w:val="16"/>
                <w:szCs w:val="16"/>
                <w:lang w:eastAsia="en-US"/>
              </w:rPr>
              <w:t xml:space="preserve">ia </w:t>
            </w:r>
            <w:r w:rsidRPr="006A53C9">
              <w:rPr>
                <w:rFonts w:eastAsia="Calibri" w:cs="Times New Roman"/>
                <w:color w:val="000000"/>
                <w:sz w:val="16"/>
                <w:szCs w:val="16"/>
                <w:lang w:eastAsia="en-US"/>
              </w:rPr>
              <w:t xml:space="preserve"> ze stabilních  </w:t>
            </w:r>
            <w:proofErr w:type="gramStart"/>
            <w:r w:rsidRPr="006A53C9">
              <w:rPr>
                <w:rFonts w:eastAsia="Calibri" w:cs="Times New Roman"/>
                <w:color w:val="000000"/>
                <w:sz w:val="16"/>
                <w:szCs w:val="16"/>
                <w:lang w:eastAsia="en-US"/>
              </w:rPr>
              <w:t xml:space="preserve">hasících </w:t>
            </w:r>
            <w:r>
              <w:rPr>
                <w:rFonts w:eastAsia="Calibri" w:cs="Times New Roman"/>
                <w:color w:val="000000"/>
                <w:sz w:val="16"/>
                <w:szCs w:val="16"/>
                <w:lang w:eastAsia="en-US"/>
              </w:rPr>
              <w:t xml:space="preserve"> </w:t>
            </w:r>
            <w:r w:rsidRPr="006A53C9">
              <w:rPr>
                <w:rFonts w:eastAsia="Calibri" w:cs="Times New Roman"/>
                <w:color w:val="000000"/>
                <w:sz w:val="16"/>
                <w:szCs w:val="16"/>
                <w:lang w:eastAsia="en-US"/>
              </w:rPr>
              <w:t>zařízení</w:t>
            </w:r>
            <w:proofErr w:type="gramEnd"/>
            <w:r w:rsidRPr="006A53C9">
              <w:rPr>
                <w:rFonts w:eastAsia="Calibri" w:cs="Times New Roman"/>
                <w:color w:val="000000"/>
                <w:sz w:val="16"/>
                <w:szCs w:val="16"/>
                <w:lang w:eastAsia="en-US"/>
              </w:rPr>
              <w:t xml:space="preserve"> v důsledku poruchy a v důsledku provádění tlakových zkoušek</w:t>
            </w:r>
          </w:p>
        </w:tc>
        <w:tc>
          <w:tcPr>
            <w:tcW w:w="1158" w:type="pct"/>
            <w:gridSpan w:val="2"/>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20 000 000 Kč</w:t>
            </w:r>
          </w:p>
        </w:tc>
        <w:tc>
          <w:tcPr>
            <w:tcW w:w="1127" w:type="pct"/>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Kč</w:t>
            </w:r>
          </w:p>
        </w:tc>
      </w:tr>
      <w:tr w:rsidR="001F0A20"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1F0A20" w:rsidRPr="006A53C9" w:rsidRDefault="001F0A20" w:rsidP="002F5ACF">
            <w:pPr>
              <w:spacing w:line="280" w:lineRule="atLeast"/>
              <w:rPr>
                <w:rFonts w:eastAsia="Calibri" w:cs="Times New Roman"/>
                <w:color w:val="000000"/>
                <w:sz w:val="16"/>
                <w:szCs w:val="16"/>
                <w:lang w:eastAsia="en-US"/>
              </w:rPr>
            </w:pPr>
            <w:r w:rsidRPr="006A53C9">
              <w:rPr>
                <w:rFonts w:eastAsia="Calibri" w:cs="Times New Roman"/>
                <w:color w:val="000000"/>
                <w:sz w:val="16"/>
                <w:szCs w:val="16"/>
                <w:lang w:eastAsia="en-US"/>
              </w:rPr>
              <w:t>Atmosférické srážky</w:t>
            </w:r>
          </w:p>
        </w:tc>
        <w:tc>
          <w:tcPr>
            <w:tcW w:w="1158" w:type="pct"/>
            <w:gridSpan w:val="2"/>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 xml:space="preserve">1 000 000 Kč </w:t>
            </w:r>
          </w:p>
        </w:tc>
        <w:tc>
          <w:tcPr>
            <w:tcW w:w="1127" w:type="pct"/>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Kč</w:t>
            </w:r>
          </w:p>
        </w:tc>
      </w:tr>
      <w:tr w:rsidR="001F0A20" w:rsidRPr="00387BA8" w:rsidTr="006A5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5" w:type="pct"/>
            <w:vAlign w:val="center"/>
          </w:tcPr>
          <w:p w:rsidR="001F0A20" w:rsidRPr="006A53C9" w:rsidRDefault="001F0A20" w:rsidP="002F5ACF">
            <w:pPr>
              <w:spacing w:line="280" w:lineRule="atLeast"/>
              <w:rPr>
                <w:rFonts w:eastAsia="Calibri" w:cs="Times New Roman"/>
                <w:color w:val="000000"/>
                <w:sz w:val="16"/>
                <w:szCs w:val="16"/>
                <w:lang w:eastAsia="en-US"/>
              </w:rPr>
            </w:pPr>
            <w:r>
              <w:rPr>
                <w:rFonts w:eastAsia="Calibri" w:cs="Times New Roman"/>
                <w:color w:val="000000"/>
                <w:sz w:val="16"/>
                <w:szCs w:val="16"/>
                <w:lang w:eastAsia="en-US"/>
              </w:rPr>
              <w:t xml:space="preserve">Zkrat nebo </w:t>
            </w:r>
            <w:proofErr w:type="gramStart"/>
            <w:r>
              <w:rPr>
                <w:rFonts w:eastAsia="Calibri" w:cs="Times New Roman"/>
                <w:color w:val="000000"/>
                <w:sz w:val="16"/>
                <w:szCs w:val="16"/>
                <w:lang w:eastAsia="en-US"/>
              </w:rPr>
              <w:t>přepětí  /nepřímý</w:t>
            </w:r>
            <w:proofErr w:type="gramEnd"/>
            <w:r>
              <w:rPr>
                <w:rFonts w:eastAsia="Calibri" w:cs="Times New Roman"/>
                <w:color w:val="000000"/>
                <w:sz w:val="16"/>
                <w:szCs w:val="16"/>
                <w:lang w:eastAsia="en-US"/>
              </w:rPr>
              <w:t xml:space="preserve"> úder blesku/</w:t>
            </w:r>
          </w:p>
        </w:tc>
        <w:tc>
          <w:tcPr>
            <w:tcW w:w="1158" w:type="pct"/>
            <w:gridSpan w:val="2"/>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1 000 000 Kč</w:t>
            </w:r>
          </w:p>
        </w:tc>
        <w:tc>
          <w:tcPr>
            <w:tcW w:w="1127" w:type="pct"/>
            <w:vAlign w:val="center"/>
          </w:tcPr>
          <w:p w:rsidR="001F0A20" w:rsidRPr="006A53C9" w:rsidRDefault="001F0A20" w:rsidP="002F5ACF">
            <w:pPr>
              <w:spacing w:line="280" w:lineRule="atLeast"/>
              <w:jc w:val="right"/>
              <w:rPr>
                <w:rFonts w:eastAsia="Calibri" w:cs="Times New Roman"/>
                <w:color w:val="000000"/>
                <w:sz w:val="16"/>
                <w:szCs w:val="16"/>
                <w:lang w:eastAsia="en-US"/>
              </w:rPr>
            </w:pPr>
            <w:r w:rsidRPr="006A53C9">
              <w:rPr>
                <w:rFonts w:eastAsia="Calibri" w:cs="Times New Roman"/>
                <w:color w:val="000000"/>
                <w:sz w:val="16"/>
                <w:szCs w:val="16"/>
                <w:lang w:eastAsia="en-US"/>
              </w:rPr>
              <w:t>1 000 Kč</w:t>
            </w:r>
          </w:p>
        </w:tc>
      </w:tr>
    </w:tbl>
    <w:p w:rsidR="006A53C9" w:rsidRDefault="006A53C9" w:rsidP="006A53C9">
      <w:pPr>
        <w:rPr>
          <w:b/>
        </w:rPr>
      </w:pPr>
      <w:r w:rsidRPr="006A53C9">
        <w:rPr>
          <w:b/>
        </w:rPr>
        <w:t>Použité pojmy</w:t>
      </w:r>
    </w:p>
    <w:tbl>
      <w:tblPr>
        <w:tblW w:w="5000" w:type="pct"/>
        <w:tblLook w:val="04A0" w:firstRow="1" w:lastRow="0" w:firstColumn="1" w:lastColumn="0" w:noHBand="0" w:noVBand="1"/>
      </w:tblPr>
      <w:tblGrid>
        <w:gridCol w:w="1668"/>
        <w:gridCol w:w="7618"/>
      </w:tblGrid>
      <w:tr w:rsidR="006A53C9" w:rsidRPr="00D963C4" w:rsidTr="00D963C4">
        <w:tc>
          <w:tcPr>
            <w:tcW w:w="898" w:type="pct"/>
            <w:shd w:val="clear" w:color="auto" w:fill="auto"/>
          </w:tcPr>
          <w:p w:rsidR="006A53C9" w:rsidRPr="00D963C4" w:rsidRDefault="006A53C9" w:rsidP="006A53C9">
            <w:pPr>
              <w:rPr>
                <w:b/>
              </w:rPr>
            </w:pPr>
            <w:r w:rsidRPr="00D963C4">
              <w:rPr>
                <w:b/>
              </w:rPr>
              <w:t>Kompletní živel</w:t>
            </w:r>
          </w:p>
        </w:tc>
        <w:tc>
          <w:tcPr>
            <w:tcW w:w="4102" w:type="pct"/>
            <w:shd w:val="clear" w:color="auto" w:fill="auto"/>
          </w:tcPr>
          <w:p w:rsidR="006A53C9" w:rsidRPr="00D963C4" w:rsidRDefault="006A53C9" w:rsidP="00D963C4">
            <w:pPr>
              <w:spacing w:line="280" w:lineRule="atLeast"/>
              <w:rPr>
                <w:b/>
              </w:rPr>
            </w:pPr>
            <w:r w:rsidRPr="00E71CB5">
              <w:t>FLEXA (požár, úder blesku, výbuch, pád letadla nebo jeho nákladu); povodeň, záplava; vichřice nebo krupobití; pád stromů, stožárů nebo jiných předmětů; náraz dopravního prostředku; tíha sněhu nebo námrazy; sesuv půdy, zřícení skal nebo zemin, sesouvání nebo zřícení lavin; zemětřesení; aerodynamický třesk; vodovodní škody; kouř, atmosférické srážky, nepřímý úder blesku.</w:t>
            </w:r>
          </w:p>
        </w:tc>
      </w:tr>
    </w:tbl>
    <w:p w:rsidR="006A53C9" w:rsidRPr="006A53C9" w:rsidRDefault="006A53C9" w:rsidP="006A53C9">
      <w:pPr>
        <w:rPr>
          <w:b/>
        </w:rPr>
      </w:pPr>
    </w:p>
    <w:p w:rsidR="006A53C9" w:rsidRDefault="006A53C9" w:rsidP="006A53C9"/>
    <w:p w:rsidR="00B217F4" w:rsidRPr="002502BC" w:rsidRDefault="00B217F4" w:rsidP="006A53C9"/>
    <w:p w:rsidR="00D47CF4" w:rsidRPr="00387BA8" w:rsidRDefault="00D47CF4" w:rsidP="00B217F4">
      <w:pPr>
        <w:pStyle w:val="Nadpis2"/>
      </w:pPr>
      <w:bookmarkStart w:id="13" w:name="_Toc450552712"/>
      <w:r w:rsidRPr="00387BA8">
        <w:t>Zvláštní ujednání</w:t>
      </w:r>
      <w:r w:rsidR="00394392" w:rsidRPr="00387BA8">
        <w:t xml:space="preserve"> k živelnímu </w:t>
      </w:r>
      <w:r w:rsidR="00B217F4">
        <w:t>po</w:t>
      </w:r>
      <w:r w:rsidR="00394392" w:rsidRPr="00387BA8">
        <w:t>jištění</w:t>
      </w:r>
      <w:bookmarkEnd w:id="13"/>
    </w:p>
    <w:p w:rsidR="007C0597" w:rsidRPr="008D400F" w:rsidRDefault="007C0597"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 xml:space="preserve">Pojištění </w:t>
      </w:r>
      <w:r w:rsidR="00AD5812" w:rsidRPr="008D400F">
        <w:rPr>
          <w:szCs w:val="18"/>
        </w:rPr>
        <w:t>zahrnuje i krytí nákladů na hašení, demolici, vyklízení a odvoz suti, likvidaci zbytků a následků pojistné události, včetně dočasného přemístění majetku</w:t>
      </w:r>
      <w:r w:rsidRPr="008D400F">
        <w:rPr>
          <w:szCs w:val="18"/>
        </w:rPr>
        <w:t>.</w:t>
      </w:r>
    </w:p>
    <w:p w:rsidR="00EB1037" w:rsidRPr="008D400F" w:rsidRDefault="007B17B0"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Jsou-li předmětem pojištění věci zaměstnanců, pak se pojištění vztahuje na věci, které zaměstnanci pojištěného obvykle nosí do práce, nebo které se nacházejí na místě pojištění v souvislosti s výkonem povolání v zájmu zaměstnavatele. Pojištění se nevztahuje na motorová vozidla nebo přívěsy, kterým jsou přidělovány registrační značky.</w:t>
      </w:r>
    </w:p>
    <w:p w:rsidR="005E0B25" w:rsidRPr="008D400F" w:rsidRDefault="007B17B0" w:rsidP="00D963C4">
      <w:pPr>
        <w:numPr>
          <w:ilvl w:val="0"/>
          <w:numId w:val="6"/>
        </w:numPr>
        <w:autoSpaceDE w:val="0"/>
        <w:autoSpaceDN w:val="0"/>
        <w:adjustRightInd w:val="0"/>
        <w:spacing w:before="0" w:line="280" w:lineRule="atLeast"/>
        <w:ind w:left="714" w:hanging="357"/>
        <w:jc w:val="both"/>
        <w:rPr>
          <w:szCs w:val="18"/>
        </w:rPr>
      </w:pPr>
      <w:r w:rsidRPr="008D400F">
        <w:rPr>
          <w:szCs w:val="18"/>
        </w:rPr>
        <w:t>Za vodovodní zařízení se považuje:</w:t>
      </w:r>
    </w:p>
    <w:p w:rsidR="007B17B0" w:rsidRPr="008D400F" w:rsidRDefault="005E0B25" w:rsidP="005E0B25">
      <w:pPr>
        <w:autoSpaceDE w:val="0"/>
        <w:autoSpaceDN w:val="0"/>
        <w:adjustRightInd w:val="0"/>
        <w:spacing w:before="0" w:line="280" w:lineRule="atLeast"/>
        <w:ind w:left="714"/>
        <w:jc w:val="both"/>
        <w:rPr>
          <w:szCs w:val="18"/>
        </w:rPr>
      </w:pPr>
      <w:r w:rsidRPr="008D400F">
        <w:rPr>
          <w:szCs w:val="18"/>
        </w:rPr>
        <w:t xml:space="preserve">- </w:t>
      </w:r>
      <w:r w:rsidR="007B17B0" w:rsidRPr="008D400F">
        <w:rPr>
          <w:szCs w:val="18"/>
        </w:rPr>
        <w:t>potrubí pro přívod, rozvod a odvod vody, včetně armatur a zařízení na ně připojených</w:t>
      </w:r>
    </w:p>
    <w:p w:rsidR="005E0B25" w:rsidRPr="008D400F" w:rsidRDefault="005E0B25" w:rsidP="005E0B25">
      <w:pPr>
        <w:autoSpaceDE w:val="0"/>
        <w:autoSpaceDN w:val="0"/>
        <w:adjustRightInd w:val="0"/>
        <w:spacing w:before="0" w:line="280" w:lineRule="atLeast"/>
        <w:ind w:firstLine="708"/>
        <w:jc w:val="both"/>
        <w:rPr>
          <w:szCs w:val="18"/>
        </w:rPr>
      </w:pPr>
      <w:r w:rsidRPr="008D400F">
        <w:rPr>
          <w:szCs w:val="18"/>
        </w:rPr>
        <w:t xml:space="preserve">- </w:t>
      </w:r>
      <w:r w:rsidR="007B17B0" w:rsidRPr="008D400F">
        <w:rPr>
          <w:szCs w:val="18"/>
        </w:rPr>
        <w:t>rozvody topných a klimatizačních systémů včetně těles a zařízen</w:t>
      </w:r>
      <w:r w:rsidR="00DC5226">
        <w:rPr>
          <w:szCs w:val="18"/>
        </w:rPr>
        <w:t>í</w:t>
      </w:r>
      <w:r w:rsidR="007B17B0" w:rsidRPr="008D400F">
        <w:rPr>
          <w:szCs w:val="18"/>
        </w:rPr>
        <w:t xml:space="preserve"> na ně připojených</w:t>
      </w:r>
    </w:p>
    <w:p w:rsidR="007B17B0" w:rsidRPr="008D400F" w:rsidRDefault="005E0B25" w:rsidP="005E0B25">
      <w:pPr>
        <w:autoSpaceDE w:val="0"/>
        <w:autoSpaceDN w:val="0"/>
        <w:adjustRightInd w:val="0"/>
        <w:spacing w:before="0" w:after="120" w:line="280" w:lineRule="atLeast"/>
        <w:ind w:firstLine="709"/>
        <w:jc w:val="both"/>
        <w:rPr>
          <w:szCs w:val="18"/>
        </w:rPr>
      </w:pPr>
      <w:r w:rsidRPr="008D400F">
        <w:rPr>
          <w:szCs w:val="18"/>
        </w:rPr>
        <w:t xml:space="preserve">- </w:t>
      </w:r>
      <w:r w:rsidR="007B17B0" w:rsidRPr="008D400F">
        <w:rPr>
          <w:szCs w:val="18"/>
        </w:rPr>
        <w:t>střešní žlaby a vnější a vnitřní dešťové svody</w:t>
      </w:r>
    </w:p>
    <w:p w:rsidR="007B17B0" w:rsidRPr="008D400F" w:rsidRDefault="007B17B0" w:rsidP="00D963C4">
      <w:pPr>
        <w:numPr>
          <w:ilvl w:val="0"/>
          <w:numId w:val="6"/>
        </w:numPr>
        <w:autoSpaceDE w:val="0"/>
        <w:autoSpaceDN w:val="0"/>
        <w:adjustRightInd w:val="0"/>
        <w:spacing w:before="0" w:line="280" w:lineRule="atLeast"/>
        <w:ind w:left="714" w:hanging="357"/>
        <w:jc w:val="both"/>
        <w:rPr>
          <w:szCs w:val="18"/>
        </w:rPr>
      </w:pPr>
      <w:r w:rsidRPr="008D400F">
        <w:rPr>
          <w:szCs w:val="18"/>
        </w:rPr>
        <w:t xml:space="preserve">Pojistná nebezpečí v bodě </w:t>
      </w:r>
      <w:proofErr w:type="gramStart"/>
      <w:r w:rsidRPr="008D400F">
        <w:rPr>
          <w:szCs w:val="18"/>
        </w:rPr>
        <w:t>2.</w:t>
      </w:r>
      <w:r w:rsidR="00017CC7" w:rsidRPr="008D400F">
        <w:rPr>
          <w:szCs w:val="18"/>
        </w:rPr>
        <w:t>3</w:t>
      </w:r>
      <w:r w:rsidRPr="008D400F">
        <w:rPr>
          <w:szCs w:val="18"/>
        </w:rPr>
        <w:t>. se</w:t>
      </w:r>
      <w:proofErr w:type="gramEnd"/>
      <w:r w:rsidRPr="008D400F">
        <w:rPr>
          <w:szCs w:val="18"/>
        </w:rPr>
        <w:t xml:space="preserve"> vztahují i na vlastní a cizí </w:t>
      </w:r>
    </w:p>
    <w:p w:rsidR="007B17B0" w:rsidRPr="008D400F" w:rsidRDefault="007B17B0" w:rsidP="00292DC3">
      <w:pPr>
        <w:autoSpaceDE w:val="0"/>
        <w:autoSpaceDN w:val="0"/>
        <w:adjustRightInd w:val="0"/>
        <w:spacing w:before="0" w:line="280" w:lineRule="atLeast"/>
        <w:ind w:left="714"/>
        <w:jc w:val="both"/>
        <w:rPr>
          <w:szCs w:val="18"/>
        </w:rPr>
      </w:pPr>
      <w:proofErr w:type="gramStart"/>
      <w:r w:rsidRPr="008D400F">
        <w:rPr>
          <w:szCs w:val="18"/>
        </w:rPr>
        <w:t>-</w:t>
      </w:r>
      <w:r w:rsidR="00E54923" w:rsidRPr="008D400F">
        <w:rPr>
          <w:szCs w:val="18"/>
        </w:rPr>
        <w:t xml:space="preserve"> </w:t>
      </w:r>
      <w:r w:rsidRPr="008D400F">
        <w:rPr>
          <w:szCs w:val="18"/>
        </w:rPr>
        <w:t xml:space="preserve"> věci</w:t>
      </w:r>
      <w:proofErr w:type="gramEnd"/>
      <w:r w:rsidRPr="008D400F">
        <w:rPr>
          <w:szCs w:val="18"/>
        </w:rPr>
        <w:t xml:space="preserve"> zvláštního druhu movitého majetku, jako např. knihovní a hudební fond, </w:t>
      </w:r>
    </w:p>
    <w:p w:rsidR="007B17B0" w:rsidRPr="008D400F" w:rsidRDefault="007B17B0" w:rsidP="00292DC3">
      <w:pPr>
        <w:autoSpaceDE w:val="0"/>
        <w:autoSpaceDN w:val="0"/>
        <w:adjustRightInd w:val="0"/>
        <w:spacing w:before="0" w:line="280" w:lineRule="atLeast"/>
        <w:ind w:left="714"/>
        <w:jc w:val="both"/>
        <w:rPr>
          <w:szCs w:val="18"/>
        </w:rPr>
      </w:pPr>
      <w:proofErr w:type="gramStart"/>
      <w:r w:rsidRPr="008D400F">
        <w:rPr>
          <w:szCs w:val="18"/>
        </w:rPr>
        <w:t xml:space="preserve">- </w:t>
      </w:r>
      <w:r w:rsidR="00E54923" w:rsidRPr="008D400F">
        <w:rPr>
          <w:szCs w:val="18"/>
        </w:rPr>
        <w:t xml:space="preserve"> </w:t>
      </w:r>
      <w:r w:rsidRPr="008D400F">
        <w:rPr>
          <w:szCs w:val="18"/>
        </w:rPr>
        <w:t>lékařské</w:t>
      </w:r>
      <w:proofErr w:type="gramEnd"/>
      <w:r w:rsidRPr="008D400F">
        <w:rPr>
          <w:szCs w:val="18"/>
        </w:rPr>
        <w:t xml:space="preserve"> věci (nástroje, přístroje), včetně zásob v sanitních vozech</w:t>
      </w:r>
    </w:p>
    <w:p w:rsidR="00E54923" w:rsidRPr="008D400F" w:rsidRDefault="00E54923" w:rsidP="00292DC3">
      <w:pPr>
        <w:autoSpaceDE w:val="0"/>
        <w:autoSpaceDN w:val="0"/>
        <w:adjustRightInd w:val="0"/>
        <w:spacing w:before="0" w:after="120" w:line="280" w:lineRule="atLeast"/>
        <w:ind w:left="714"/>
        <w:jc w:val="both"/>
        <w:rPr>
          <w:szCs w:val="18"/>
        </w:rPr>
      </w:pPr>
      <w:r w:rsidRPr="008D400F">
        <w:rPr>
          <w:szCs w:val="18"/>
        </w:rPr>
        <w:t>-  budovy, stavby nebo mobilní buňky s dřevěnou nebo ocelovou nosnou konstrukcí a s </w:t>
      </w:r>
      <w:proofErr w:type="spellStart"/>
      <w:r w:rsidRPr="008D400F">
        <w:rPr>
          <w:szCs w:val="18"/>
        </w:rPr>
        <w:t>opláštěním</w:t>
      </w:r>
      <w:proofErr w:type="spellEnd"/>
      <w:r w:rsidRPr="008D400F">
        <w:rPr>
          <w:szCs w:val="18"/>
        </w:rPr>
        <w:t xml:space="preserve"> z rostlého dřeva (např. prkna, fošny, kulatina, půlkulatina apod.) anebo z desek na bázi dřeva a papíru ( např. dřevotřískové, pilinové desky, překližky, desky z odpadní papírové hmoty apod.). </w:t>
      </w:r>
      <w:proofErr w:type="gramStart"/>
      <w:r w:rsidRPr="008D400F">
        <w:rPr>
          <w:szCs w:val="18"/>
        </w:rPr>
        <w:t>anebo</w:t>
      </w:r>
      <w:proofErr w:type="gramEnd"/>
      <w:r w:rsidRPr="008D400F">
        <w:rPr>
          <w:szCs w:val="18"/>
        </w:rPr>
        <w:t xml:space="preserve"> s lehkou kovovou konstrukcí s textilním </w:t>
      </w:r>
      <w:proofErr w:type="spellStart"/>
      <w:r w:rsidRPr="008D400F">
        <w:rPr>
          <w:szCs w:val="18"/>
        </w:rPr>
        <w:t>opláštěním</w:t>
      </w:r>
      <w:proofErr w:type="spellEnd"/>
      <w:r w:rsidRPr="008D400F">
        <w:rPr>
          <w:szCs w:val="18"/>
        </w:rPr>
        <w:t>, anebo nafukovací haly</w:t>
      </w:r>
    </w:p>
    <w:p w:rsidR="007B17B0" w:rsidRPr="008D400F" w:rsidRDefault="007B17B0" w:rsidP="00D963C4">
      <w:pPr>
        <w:numPr>
          <w:ilvl w:val="0"/>
          <w:numId w:val="6"/>
        </w:numPr>
        <w:autoSpaceDE w:val="0"/>
        <w:autoSpaceDN w:val="0"/>
        <w:adjustRightInd w:val="0"/>
        <w:spacing w:before="0" w:after="120" w:line="280" w:lineRule="atLeast"/>
        <w:ind w:left="714" w:hanging="357"/>
        <w:rPr>
          <w:szCs w:val="18"/>
        </w:rPr>
      </w:pPr>
      <w:r w:rsidRPr="008D400F">
        <w:rPr>
          <w:szCs w:val="18"/>
        </w:rPr>
        <w:t>Pojistitel poskytne</w:t>
      </w:r>
      <w:r w:rsidR="00E54923" w:rsidRPr="008D400F">
        <w:rPr>
          <w:szCs w:val="18"/>
        </w:rPr>
        <w:t xml:space="preserve"> plnění i v případě ztráty pojištěné věci v přímé souvislosti s pojistnou událostí dle odstavce 2.</w:t>
      </w:r>
      <w:r w:rsidR="00017CC7" w:rsidRPr="008D400F">
        <w:rPr>
          <w:szCs w:val="18"/>
        </w:rPr>
        <w:t>3</w:t>
      </w:r>
      <w:r w:rsidR="00DC5226">
        <w:rPr>
          <w:szCs w:val="18"/>
        </w:rPr>
        <w:t>.</w:t>
      </w:r>
    </w:p>
    <w:p w:rsidR="000F0469" w:rsidRPr="008D400F" w:rsidRDefault="000F0469"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 xml:space="preserve">Pojistné plnění z pojištění rizika záplavy nebo povodně není omezeno skutečností, že záplava nebo povodeň měla charakter záplavy nebo povodně opakující se alespoň či nejvýše s určitou časovou periodou/frekvencí (např. </w:t>
      </w:r>
      <w:proofErr w:type="gramStart"/>
      <w:r w:rsidRPr="008D400F">
        <w:rPr>
          <w:szCs w:val="18"/>
        </w:rPr>
        <w:t>20-letá</w:t>
      </w:r>
      <w:proofErr w:type="gramEnd"/>
      <w:r w:rsidRPr="008D400F">
        <w:rPr>
          <w:szCs w:val="18"/>
        </w:rPr>
        <w:t xml:space="preserve"> voda apod.). Definice rizika záplavy nebo povodně není na časové periodě/frekvenci závislá.</w:t>
      </w:r>
    </w:p>
    <w:p w:rsidR="00E54923" w:rsidRPr="008D400F" w:rsidRDefault="00E54923"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Dále se ujednává, že z pojištění vzniká právo na plnění pojistitele za škody způsobené zpětným vystoupnutím kapaliny odpadního potrubí, které bylo způsobeno zahlcením venkovní kanalizace v důsledku atmosférických srážek, povodně nebo záplavy.</w:t>
      </w:r>
    </w:p>
    <w:p w:rsidR="00F21556" w:rsidRPr="008D400F" w:rsidRDefault="00F21556"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Pojištění se vztahuje i na škody na nemovitostech a stavbách, které v době sjednání pojištění nebyly kolaudovány a na věcech, které se nacházejí na těchto stavbách</w:t>
      </w:r>
      <w:r w:rsidR="00DC5226">
        <w:rPr>
          <w:szCs w:val="18"/>
        </w:rPr>
        <w:t>.</w:t>
      </w:r>
    </w:p>
    <w:p w:rsidR="00F21556" w:rsidRPr="008D400F" w:rsidRDefault="00F21556"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Věci vedené na účtu 042 – pořízení dlouhodobého hmotného majetku se pojišťují včetně dodávek, které se již nacházejí na místě pojištění a byly převzaty na základě předávacího protokolu, přestože nebyly dosud dodavatelem fakturovány</w:t>
      </w:r>
      <w:r w:rsidR="00DC5226">
        <w:rPr>
          <w:szCs w:val="18"/>
        </w:rPr>
        <w:t>.</w:t>
      </w:r>
    </w:p>
    <w:p w:rsidR="00F21556" w:rsidRPr="008D400F" w:rsidRDefault="00F21556"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rsidR="004C1958" w:rsidRPr="008D400F" w:rsidRDefault="004C1958"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Ujednává se, že škody způsobené riziky „záplava, povodeň" a nastalé z jedné příčiny během 72 hodin se hodnotí jako jedna pojistná událost a z tohoto titulu se odečítá pouze jedna spoluúčast, pro riziko „vichřice a krupobití" platí časová lhůta 48 hodin.</w:t>
      </w:r>
    </w:p>
    <w:p w:rsidR="007C0597" w:rsidRPr="008D400F" w:rsidRDefault="007C0597"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 xml:space="preserve">Pojištění kryje i škody vzniklé zatečením v příčinné souvislosti s atmosférickými srážkami, vyjma škod vzniklých v důsledku zanedbání údržby objektů se </w:t>
      </w:r>
      <w:proofErr w:type="spellStart"/>
      <w:r w:rsidRPr="008D400F">
        <w:rPr>
          <w:szCs w:val="18"/>
        </w:rPr>
        <w:t>sublimitem</w:t>
      </w:r>
      <w:proofErr w:type="spellEnd"/>
      <w:r w:rsidRPr="008D400F">
        <w:rPr>
          <w:szCs w:val="18"/>
        </w:rPr>
        <w:t xml:space="preserve"> plnění </w:t>
      </w:r>
      <w:r w:rsidR="00C52DF2" w:rsidRPr="008D400F">
        <w:rPr>
          <w:szCs w:val="18"/>
        </w:rPr>
        <w:t>1 0</w:t>
      </w:r>
      <w:r w:rsidRPr="008D400F">
        <w:rPr>
          <w:szCs w:val="18"/>
        </w:rPr>
        <w:t>00.000,- Kč za jednu a všechny pojistné události nastalé v pojistném roce</w:t>
      </w:r>
      <w:r w:rsidR="00DC5226">
        <w:rPr>
          <w:szCs w:val="18"/>
        </w:rPr>
        <w:t>.</w:t>
      </w:r>
    </w:p>
    <w:p w:rsidR="007C0597" w:rsidRPr="008D400F" w:rsidRDefault="007C0597"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Inflační doložka: Pojišťovna nebude namítat podpojištění, dojde-li v průběhu pojistného období k</w:t>
      </w:r>
      <w:r w:rsidR="00311A0B" w:rsidRPr="008D400F">
        <w:rPr>
          <w:szCs w:val="18"/>
        </w:rPr>
        <w:t> </w:t>
      </w:r>
      <w:r w:rsidRPr="008D400F">
        <w:rPr>
          <w:szCs w:val="18"/>
        </w:rPr>
        <w:t>navýšení</w:t>
      </w:r>
      <w:r w:rsidR="00311A0B" w:rsidRPr="008D400F">
        <w:rPr>
          <w:szCs w:val="18"/>
        </w:rPr>
        <w:t xml:space="preserve"> </w:t>
      </w:r>
      <w:r w:rsidRPr="008D400F">
        <w:rPr>
          <w:szCs w:val="18"/>
        </w:rPr>
        <w:t>pojistných hodnot v důsledku inflace menší než 10 %.</w:t>
      </w:r>
    </w:p>
    <w:p w:rsidR="007C0597" w:rsidRPr="008D400F" w:rsidRDefault="007C0597"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lastRenderedPageBreak/>
        <w:t xml:space="preserve">Pojištění všech předmětů pojištění </w:t>
      </w:r>
      <w:r w:rsidR="00311A0B" w:rsidRPr="008D400F">
        <w:rPr>
          <w:szCs w:val="18"/>
        </w:rPr>
        <w:t xml:space="preserve">vyjma těch, které </w:t>
      </w:r>
      <w:proofErr w:type="gramStart"/>
      <w:r w:rsidR="00311A0B" w:rsidRPr="008D400F">
        <w:rPr>
          <w:szCs w:val="18"/>
        </w:rPr>
        <w:t>jsou</w:t>
      </w:r>
      <w:proofErr w:type="gramEnd"/>
      <w:r w:rsidR="00311A0B" w:rsidRPr="008D400F">
        <w:rPr>
          <w:szCs w:val="18"/>
        </w:rPr>
        <w:t xml:space="preserve"> pojištěny na </w:t>
      </w:r>
      <w:r w:rsidR="005320E4" w:rsidRPr="008D400F">
        <w:rPr>
          <w:szCs w:val="18"/>
        </w:rPr>
        <w:t>jinou cenu</w:t>
      </w:r>
      <w:r w:rsidR="00311A0B" w:rsidRPr="008D400F">
        <w:rPr>
          <w:szCs w:val="18"/>
        </w:rPr>
        <w:t xml:space="preserve"> </w:t>
      </w:r>
      <w:r w:rsidRPr="008D400F">
        <w:rPr>
          <w:szCs w:val="18"/>
        </w:rPr>
        <w:t xml:space="preserve">se </w:t>
      </w:r>
      <w:proofErr w:type="gramStart"/>
      <w:r w:rsidRPr="008D400F">
        <w:rPr>
          <w:szCs w:val="18"/>
        </w:rPr>
        <w:t>sjednává</w:t>
      </w:r>
      <w:proofErr w:type="gramEnd"/>
      <w:r w:rsidRPr="008D400F">
        <w:rPr>
          <w:szCs w:val="18"/>
        </w:rPr>
        <w:t xml:space="preserve"> na novou cenu. V případě poškození nebo zničení</w:t>
      </w:r>
      <w:r w:rsidR="00311A0B" w:rsidRPr="008D400F">
        <w:rPr>
          <w:szCs w:val="18"/>
        </w:rPr>
        <w:t xml:space="preserve"> </w:t>
      </w:r>
      <w:r w:rsidRPr="008D400F">
        <w:rPr>
          <w:szCs w:val="18"/>
        </w:rPr>
        <w:t>pojištěných věcí vyplatí pojistitel náklad na znovupořízení věci v době pojistné události sníženou o cenu</w:t>
      </w:r>
      <w:r w:rsidR="00311A0B" w:rsidRPr="008D400F">
        <w:rPr>
          <w:szCs w:val="18"/>
        </w:rPr>
        <w:t xml:space="preserve"> </w:t>
      </w:r>
      <w:r w:rsidRPr="008D400F">
        <w:rPr>
          <w:szCs w:val="18"/>
        </w:rPr>
        <w:t>případných zbytků bez odpočtu opotřebení.</w:t>
      </w:r>
    </w:p>
    <w:p w:rsidR="00311A0B" w:rsidRPr="008D400F" w:rsidRDefault="007C0597"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V případě cizích věcí užívaných pojištěným se ujednává, že v případě pojistné události pojistitel poskytne</w:t>
      </w:r>
      <w:r w:rsidR="00311A0B" w:rsidRPr="008D400F">
        <w:rPr>
          <w:szCs w:val="18"/>
        </w:rPr>
        <w:t xml:space="preserve"> </w:t>
      </w:r>
      <w:r w:rsidRPr="008D400F">
        <w:rPr>
          <w:szCs w:val="18"/>
        </w:rPr>
        <w:t>plnění v nové ceně.</w:t>
      </w:r>
    </w:p>
    <w:p w:rsidR="00311A0B" w:rsidRPr="008D400F" w:rsidRDefault="00311A0B"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Pro pojištění vodovodních škod se ujednává také krytí škod z vodovodních či kanalizačních potrubí a zařízeních připojených na potrubí (včetně nákladu na odstranění závady a škod na těchto zařízeních) způsobených přetlakem páry nebo kapalíny nebo zamrznutím vody ve vodovodním či kanalizačním potrubí a zařízeních připojených na potrubí.</w:t>
      </w:r>
    </w:p>
    <w:p w:rsidR="00311A0B" w:rsidRPr="008D400F" w:rsidRDefault="00311A0B"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 xml:space="preserve">Pojištění vodovodních škod se vztahuje i na škody způsobené vodou vytékající z klimatizačních zařízení, </w:t>
      </w:r>
      <w:proofErr w:type="spellStart"/>
      <w:r w:rsidRPr="008D400F">
        <w:rPr>
          <w:szCs w:val="18"/>
        </w:rPr>
        <w:t>sprinklerových</w:t>
      </w:r>
      <w:proofErr w:type="spellEnd"/>
      <w:r w:rsidRPr="008D400F">
        <w:rPr>
          <w:szCs w:val="18"/>
        </w:rPr>
        <w:t xml:space="preserve"> a samočinných </w:t>
      </w:r>
      <w:proofErr w:type="gramStart"/>
      <w:r w:rsidRPr="008D400F">
        <w:rPr>
          <w:szCs w:val="18"/>
        </w:rPr>
        <w:t>hasících</w:t>
      </w:r>
      <w:proofErr w:type="gramEnd"/>
      <w:r w:rsidRPr="008D400F">
        <w:rPr>
          <w:szCs w:val="18"/>
        </w:rPr>
        <w:t xml:space="preserve"> zařízení v důsledku poruchy tohoto zařízení včetně škod způsobených v důsledku provádění tlakových zkoušek hasicího zařízení</w:t>
      </w:r>
      <w:r w:rsidR="00DC5226">
        <w:rPr>
          <w:szCs w:val="18"/>
        </w:rPr>
        <w:t>.</w:t>
      </w:r>
    </w:p>
    <w:p w:rsidR="000F0469" w:rsidRPr="008D400F" w:rsidRDefault="000F0469"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Ujednává se, že pojištění pro případ poškození nebo zničení pojištěné věci tíhou sněhu se vztahuje i na poškození předmětu pojištění, které nemají nosnou konstrukci</w:t>
      </w:r>
      <w:r w:rsidR="0084259D" w:rsidRPr="008D400F">
        <w:rPr>
          <w:szCs w:val="18"/>
        </w:rPr>
        <w:t>.</w:t>
      </w:r>
    </w:p>
    <w:p w:rsidR="000F0469" w:rsidRPr="008D400F" w:rsidRDefault="000F0469"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Ujednává se, že pojištění pro případ poškození nebo zničení pojištěné věci vichřicí nebo krupobitím se vztahuje i na předměty, které jsou umístěny na volném prostranství</w:t>
      </w:r>
      <w:r w:rsidR="00DC5226">
        <w:rPr>
          <w:szCs w:val="18"/>
        </w:rPr>
        <w:t>.</w:t>
      </w:r>
    </w:p>
    <w:p w:rsidR="000F0469" w:rsidRPr="008D400F" w:rsidRDefault="000F0469"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Ujednává se, že za náraz je považován i náraz dopravního prostředku, který byl v době nárazu</w:t>
      </w:r>
      <w:r w:rsidR="004C1958" w:rsidRPr="008D400F">
        <w:rPr>
          <w:szCs w:val="18"/>
        </w:rPr>
        <w:t xml:space="preserve"> </w:t>
      </w:r>
      <w:r w:rsidRPr="008D400F">
        <w:rPr>
          <w:szCs w:val="18"/>
        </w:rPr>
        <w:t>řízen nebo provozován pojištěným.</w:t>
      </w:r>
    </w:p>
    <w:p w:rsidR="00311A0B" w:rsidRPr="008D400F" w:rsidRDefault="00311A0B"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Ujednává se, že pojištění investic se vztahuje i na škody na nemovitostech a stavbách, které v době sjednání pojištění nebyly kolaudovány a na věcech, které se nacházejí na těchto stavbách.</w:t>
      </w:r>
    </w:p>
    <w:p w:rsidR="009B2B04" w:rsidRPr="008D400F" w:rsidRDefault="00311A0B" w:rsidP="00D963C4">
      <w:pPr>
        <w:numPr>
          <w:ilvl w:val="0"/>
          <w:numId w:val="6"/>
        </w:numPr>
        <w:autoSpaceDE w:val="0"/>
        <w:autoSpaceDN w:val="0"/>
        <w:adjustRightInd w:val="0"/>
        <w:spacing w:before="0" w:after="120" w:line="280" w:lineRule="atLeast"/>
        <w:ind w:left="714" w:hanging="357"/>
        <w:jc w:val="both"/>
        <w:rPr>
          <w:szCs w:val="18"/>
        </w:rPr>
      </w:pPr>
      <w:r w:rsidRPr="008D400F">
        <w:rPr>
          <w:szCs w:val="18"/>
        </w:rPr>
        <w:t>Věci vedené na účtu 042 v souvislosti s předmětem pojištění „Nedokončené investice vlastní a cizí" se pojišťují včetně dodávek, které se již nacházejí na místě pojištění a byly převzaty na základě předávacího protokolu, přestože dosud nebyly dodavatelem fakturovány</w:t>
      </w:r>
      <w:r w:rsidR="00DC5226">
        <w:rPr>
          <w:szCs w:val="18"/>
        </w:rPr>
        <w:t>.</w:t>
      </w:r>
    </w:p>
    <w:p w:rsidR="00311A0B" w:rsidRPr="008D400F" w:rsidRDefault="00311A0B" w:rsidP="00D963C4">
      <w:pPr>
        <w:numPr>
          <w:ilvl w:val="0"/>
          <w:numId w:val="6"/>
        </w:numPr>
        <w:autoSpaceDE w:val="0"/>
        <w:autoSpaceDN w:val="0"/>
        <w:adjustRightInd w:val="0"/>
        <w:spacing w:before="0" w:after="120" w:line="280" w:lineRule="atLeast"/>
        <w:ind w:left="714" w:hanging="430"/>
        <w:jc w:val="both"/>
        <w:rPr>
          <w:szCs w:val="18"/>
        </w:rPr>
      </w:pPr>
      <w:r w:rsidRPr="008D400F">
        <w:rPr>
          <w:szCs w:val="18"/>
        </w:rPr>
        <w:t>Pojištění zahrnuje i krytí nákladů na hašení, demolici, vyklizení a odvoz suti, likvidaci zbytků a následků pojistné události včetně dočasného přemístění majetku (včetně úhrady za platbu skladného takto pojištěných věcí).</w:t>
      </w:r>
    </w:p>
    <w:p w:rsidR="00F21556" w:rsidRPr="00387BA8" w:rsidRDefault="00F21556" w:rsidP="00F21556">
      <w:pPr>
        <w:pStyle w:val="Nadpis1"/>
      </w:pPr>
      <w:bookmarkStart w:id="14" w:name="_Toc450552713"/>
      <w:r w:rsidRPr="00387BA8">
        <w:t>Škodové pojištění pro případ odcizení a vandalismu</w:t>
      </w:r>
      <w:bookmarkEnd w:id="14"/>
    </w:p>
    <w:p w:rsidR="000742BB" w:rsidRPr="00387BA8" w:rsidRDefault="000742BB" w:rsidP="000742BB">
      <w:pPr>
        <w:pStyle w:val="Nadpis2"/>
      </w:pPr>
      <w:bookmarkStart w:id="15" w:name="_Toc450552714"/>
      <w:r w:rsidRPr="00387BA8">
        <w:t>Předmět pojištění, pojistná hodnota, pojistná částka</w:t>
      </w:r>
      <w:bookmarkEnd w:id="15"/>
    </w:p>
    <w:p w:rsidR="000742BB" w:rsidRPr="00387BA8" w:rsidRDefault="000742BB" w:rsidP="000742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5020"/>
        <w:gridCol w:w="1863"/>
        <w:gridCol w:w="1829"/>
      </w:tblGrid>
      <w:tr w:rsidR="000742BB" w:rsidRPr="00387BA8" w:rsidTr="00B87C2D">
        <w:trPr>
          <w:cantSplit/>
          <w:tblHeader/>
        </w:trPr>
        <w:tc>
          <w:tcPr>
            <w:tcW w:w="309" w:type="pct"/>
            <w:tcBorders>
              <w:bottom w:val="single" w:sz="4" w:space="0" w:color="auto"/>
            </w:tcBorders>
            <w:shd w:val="clear" w:color="auto" w:fill="F3F3F3"/>
            <w:vAlign w:val="center"/>
          </w:tcPr>
          <w:p w:rsidR="000742BB" w:rsidRPr="00387BA8" w:rsidRDefault="000742BB" w:rsidP="004628D6">
            <w:pPr>
              <w:spacing w:line="280" w:lineRule="atLeast"/>
              <w:rPr>
                <w:b/>
                <w:szCs w:val="18"/>
              </w:rPr>
            </w:pPr>
            <w:proofErr w:type="spellStart"/>
            <w:r w:rsidRPr="00387BA8">
              <w:rPr>
                <w:b/>
                <w:szCs w:val="18"/>
              </w:rPr>
              <w:t>Poř</w:t>
            </w:r>
            <w:proofErr w:type="spellEnd"/>
          </w:p>
        </w:tc>
        <w:tc>
          <w:tcPr>
            <w:tcW w:w="2703" w:type="pct"/>
            <w:tcBorders>
              <w:bottom w:val="single" w:sz="4" w:space="0" w:color="auto"/>
            </w:tcBorders>
            <w:shd w:val="clear" w:color="auto" w:fill="F3F3F3"/>
            <w:vAlign w:val="center"/>
          </w:tcPr>
          <w:p w:rsidR="000742BB" w:rsidRPr="00387BA8" w:rsidRDefault="000742BB" w:rsidP="004628D6">
            <w:pPr>
              <w:spacing w:line="280" w:lineRule="atLeast"/>
              <w:rPr>
                <w:b/>
                <w:szCs w:val="18"/>
              </w:rPr>
            </w:pPr>
            <w:r w:rsidRPr="00387BA8">
              <w:rPr>
                <w:b/>
                <w:szCs w:val="18"/>
              </w:rPr>
              <w:t>Předmět pojištění</w:t>
            </w:r>
          </w:p>
        </w:tc>
        <w:tc>
          <w:tcPr>
            <w:tcW w:w="1003" w:type="pct"/>
            <w:tcBorders>
              <w:bottom w:val="single" w:sz="4" w:space="0" w:color="auto"/>
            </w:tcBorders>
            <w:shd w:val="clear" w:color="auto" w:fill="F3F3F3"/>
          </w:tcPr>
          <w:p w:rsidR="000742BB" w:rsidRPr="00387BA8" w:rsidRDefault="000742BB" w:rsidP="004628D6">
            <w:pPr>
              <w:spacing w:line="280" w:lineRule="atLeast"/>
              <w:jc w:val="right"/>
              <w:rPr>
                <w:b/>
                <w:szCs w:val="18"/>
              </w:rPr>
            </w:pPr>
            <w:r w:rsidRPr="00387BA8">
              <w:rPr>
                <w:b/>
                <w:szCs w:val="18"/>
              </w:rPr>
              <w:t>Pojistná částka</w:t>
            </w:r>
          </w:p>
        </w:tc>
        <w:tc>
          <w:tcPr>
            <w:tcW w:w="985" w:type="pct"/>
            <w:tcBorders>
              <w:bottom w:val="single" w:sz="4" w:space="0" w:color="auto"/>
            </w:tcBorders>
            <w:shd w:val="clear" w:color="auto" w:fill="F3F3F3"/>
            <w:vAlign w:val="center"/>
          </w:tcPr>
          <w:p w:rsidR="000742BB" w:rsidRPr="00387BA8" w:rsidRDefault="000742BB" w:rsidP="004628D6">
            <w:pPr>
              <w:spacing w:line="280" w:lineRule="atLeast"/>
              <w:rPr>
                <w:b/>
                <w:szCs w:val="18"/>
              </w:rPr>
            </w:pPr>
            <w:r w:rsidRPr="00387BA8">
              <w:rPr>
                <w:b/>
                <w:szCs w:val="18"/>
              </w:rPr>
              <w:t>Pozn.</w:t>
            </w:r>
          </w:p>
        </w:tc>
      </w:tr>
      <w:tr w:rsidR="000742BB" w:rsidRPr="00387BA8" w:rsidTr="005E5452">
        <w:tc>
          <w:tcPr>
            <w:tcW w:w="309" w:type="pct"/>
            <w:vAlign w:val="center"/>
          </w:tcPr>
          <w:p w:rsidR="000742BB" w:rsidRPr="00C23FDE" w:rsidRDefault="000742BB" w:rsidP="004628D6">
            <w:pPr>
              <w:spacing w:line="280" w:lineRule="atLeast"/>
              <w:jc w:val="center"/>
              <w:rPr>
                <w:sz w:val="16"/>
                <w:szCs w:val="16"/>
              </w:rPr>
            </w:pPr>
            <w:r w:rsidRPr="00C23FDE">
              <w:rPr>
                <w:sz w:val="16"/>
                <w:szCs w:val="16"/>
              </w:rPr>
              <w:t>1</w:t>
            </w:r>
          </w:p>
        </w:tc>
        <w:tc>
          <w:tcPr>
            <w:tcW w:w="2703" w:type="pct"/>
          </w:tcPr>
          <w:p w:rsidR="00DB6204" w:rsidRPr="00017CC7" w:rsidRDefault="000742BB" w:rsidP="00017CC7">
            <w:pPr>
              <w:pStyle w:val="TabulkaTL"/>
            </w:pPr>
            <w:r w:rsidRPr="00017CC7">
              <w:t xml:space="preserve">Soubor nemovitostí vlastních a cizích včetně příslušenství, a ostatních nemovitosti jako např. sadové a venkovní úpravy, kanalizace, včetně septiků, oplocení, veřejné osvětlení dopravní značení, </w:t>
            </w:r>
            <w:proofErr w:type="gramStart"/>
            <w:r w:rsidRPr="00017CC7">
              <w:t>inženýrské</w:t>
            </w:r>
            <w:r w:rsidR="00616B57" w:rsidRPr="00017CC7">
              <w:t xml:space="preserve"> </w:t>
            </w:r>
            <w:r w:rsidRPr="00017CC7">
              <w:t xml:space="preserve"> sítě</w:t>
            </w:r>
            <w:proofErr w:type="gramEnd"/>
            <w:r w:rsidR="00DC5226">
              <w:t>,</w:t>
            </w:r>
            <w:r w:rsidRPr="00017CC7">
              <w:t xml:space="preserve"> </w:t>
            </w:r>
            <w:r w:rsidR="00672FF5" w:rsidRPr="00017CC7">
              <w:t xml:space="preserve">lavičky </w:t>
            </w:r>
            <w:r w:rsidRPr="00017CC7">
              <w:t>apod., a včetně rozestavěných nemovitostí</w:t>
            </w:r>
            <w:r w:rsidR="00DB6204" w:rsidRPr="00017CC7">
              <w:t xml:space="preserve">. </w:t>
            </w:r>
          </w:p>
        </w:tc>
        <w:tc>
          <w:tcPr>
            <w:tcW w:w="1003" w:type="pct"/>
            <w:vAlign w:val="center"/>
          </w:tcPr>
          <w:p w:rsidR="000742BB" w:rsidRPr="00C23FDE" w:rsidRDefault="000742BB" w:rsidP="004628D6">
            <w:pPr>
              <w:jc w:val="right"/>
              <w:rPr>
                <w:bCs/>
                <w:color w:val="000000"/>
                <w:sz w:val="16"/>
                <w:szCs w:val="16"/>
              </w:rPr>
            </w:pPr>
            <w:r w:rsidRPr="00C23FDE">
              <w:rPr>
                <w:bCs/>
                <w:color w:val="000000"/>
                <w:sz w:val="16"/>
                <w:szCs w:val="16"/>
              </w:rPr>
              <w:t>2 000 000 Kč</w:t>
            </w:r>
          </w:p>
        </w:tc>
        <w:tc>
          <w:tcPr>
            <w:tcW w:w="985" w:type="pct"/>
            <w:vAlign w:val="center"/>
          </w:tcPr>
          <w:p w:rsidR="00616B57" w:rsidRPr="00C23FDE" w:rsidRDefault="00616B57" w:rsidP="00616B57">
            <w:pPr>
              <w:spacing w:before="0"/>
              <w:rPr>
                <w:bCs/>
                <w:sz w:val="16"/>
                <w:szCs w:val="16"/>
              </w:rPr>
            </w:pPr>
            <w:r w:rsidRPr="00C23FDE">
              <w:rPr>
                <w:bCs/>
                <w:sz w:val="16"/>
                <w:szCs w:val="16"/>
              </w:rPr>
              <w:t>Nová hodnota</w:t>
            </w:r>
          </w:p>
          <w:p w:rsidR="000742BB" w:rsidRPr="00C23FDE" w:rsidRDefault="000742BB" w:rsidP="00616B57">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2</w:t>
            </w:r>
          </w:p>
        </w:tc>
        <w:tc>
          <w:tcPr>
            <w:tcW w:w="2703" w:type="pct"/>
          </w:tcPr>
          <w:p w:rsidR="00DB6204" w:rsidRPr="00017CC7" w:rsidRDefault="00616B57" w:rsidP="00017CC7">
            <w:pPr>
              <w:pStyle w:val="TabulkaTL"/>
            </w:pPr>
            <w:r w:rsidRPr="00017CC7">
              <w:t xml:space="preserve">Soubor movitých věcí vlastních a cizích včetně DIM a </w:t>
            </w:r>
            <w:proofErr w:type="gramStart"/>
            <w:r w:rsidRPr="00017CC7">
              <w:t>NIM</w:t>
            </w:r>
            <w:proofErr w:type="gramEnd"/>
            <w:r w:rsidRPr="00017CC7">
              <w:t xml:space="preserve"> (drobný investiční majetek a nehmotný investiční majetek),</w:t>
            </w:r>
            <w:r w:rsidR="00DB6204" w:rsidRPr="00017CC7">
              <w:t xml:space="preserve"> </w:t>
            </w:r>
            <w:r w:rsidRPr="00017CC7">
              <w:t>pracovních strojů samojízdných a pracovních strojů</w:t>
            </w:r>
            <w:r w:rsidR="00DB6204" w:rsidRPr="00017CC7">
              <w:t xml:space="preserve"> </w:t>
            </w:r>
            <w:r w:rsidRPr="00017CC7">
              <w:t>přípojných a včetně věcí vedených v operativní evidenci a věcí vedených na účtu spotřeby materiálu.</w:t>
            </w:r>
          </w:p>
        </w:tc>
        <w:tc>
          <w:tcPr>
            <w:tcW w:w="1003" w:type="pct"/>
            <w:vAlign w:val="center"/>
          </w:tcPr>
          <w:p w:rsidR="00616B57" w:rsidRPr="00C23FDE" w:rsidRDefault="00616B57" w:rsidP="004628D6">
            <w:pPr>
              <w:jc w:val="right"/>
              <w:rPr>
                <w:bCs/>
                <w:color w:val="000000"/>
                <w:sz w:val="16"/>
                <w:szCs w:val="16"/>
              </w:rPr>
            </w:pPr>
            <w:r w:rsidRPr="00C23FDE">
              <w:rPr>
                <w:bCs/>
                <w:color w:val="000000"/>
                <w:sz w:val="16"/>
                <w:szCs w:val="16"/>
              </w:rPr>
              <w:t>2 000 000 Kč</w:t>
            </w:r>
          </w:p>
        </w:tc>
        <w:tc>
          <w:tcPr>
            <w:tcW w:w="985" w:type="pct"/>
            <w:vAlign w:val="center"/>
          </w:tcPr>
          <w:p w:rsidR="00616B57" w:rsidRPr="00C23FDE" w:rsidRDefault="00616B57" w:rsidP="00153F26">
            <w:pPr>
              <w:spacing w:before="0"/>
              <w:rPr>
                <w:bCs/>
                <w:sz w:val="16"/>
                <w:szCs w:val="16"/>
              </w:rPr>
            </w:pPr>
            <w:r w:rsidRPr="00C23FDE">
              <w:rPr>
                <w:bCs/>
                <w:sz w:val="16"/>
                <w:szCs w:val="16"/>
              </w:rPr>
              <w:t>Nová hodnota</w:t>
            </w:r>
          </w:p>
          <w:p w:rsidR="00616B57" w:rsidRPr="00C23FDE" w:rsidRDefault="00616B57" w:rsidP="00153F26">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3</w:t>
            </w:r>
          </w:p>
        </w:tc>
        <w:tc>
          <w:tcPr>
            <w:tcW w:w="2703" w:type="pct"/>
          </w:tcPr>
          <w:p w:rsidR="00616B57" w:rsidRPr="00017CC7" w:rsidRDefault="00616B57" w:rsidP="00017CC7">
            <w:pPr>
              <w:pStyle w:val="TabulkaTL"/>
            </w:pPr>
            <w:r w:rsidRPr="00017CC7">
              <w:t>Soubor písemností, pl</w:t>
            </w:r>
            <w:r w:rsidR="00DB6204" w:rsidRPr="00017CC7">
              <w:t xml:space="preserve">ánů, obchodních knih, kartoték, </w:t>
            </w:r>
            <w:r w:rsidRPr="00017CC7">
              <w:t>výkresů, magnetických pásků a disků, ostatních nosičů dat a záznamů na nich</w:t>
            </w:r>
            <w:r w:rsidR="00DC5226">
              <w:t>.</w:t>
            </w:r>
          </w:p>
        </w:tc>
        <w:tc>
          <w:tcPr>
            <w:tcW w:w="1003" w:type="pct"/>
            <w:vAlign w:val="center"/>
          </w:tcPr>
          <w:p w:rsidR="00616B57" w:rsidRPr="00C23FDE" w:rsidRDefault="00616B57" w:rsidP="004628D6">
            <w:pPr>
              <w:jc w:val="right"/>
              <w:rPr>
                <w:bCs/>
                <w:color w:val="000000"/>
                <w:sz w:val="16"/>
                <w:szCs w:val="16"/>
              </w:rPr>
            </w:pPr>
            <w:r w:rsidRPr="00C23FDE">
              <w:rPr>
                <w:bCs/>
                <w:color w:val="000000"/>
                <w:sz w:val="16"/>
                <w:szCs w:val="16"/>
              </w:rPr>
              <w:t>500 000 Kč</w:t>
            </w:r>
          </w:p>
        </w:tc>
        <w:tc>
          <w:tcPr>
            <w:tcW w:w="985" w:type="pct"/>
            <w:vAlign w:val="center"/>
          </w:tcPr>
          <w:p w:rsidR="00616B57" w:rsidRPr="00C23FDE" w:rsidRDefault="00616B57" w:rsidP="00153F26">
            <w:pPr>
              <w:spacing w:before="0"/>
              <w:rPr>
                <w:bCs/>
                <w:sz w:val="16"/>
                <w:szCs w:val="16"/>
              </w:rPr>
            </w:pPr>
            <w:r w:rsidRPr="00C23FDE">
              <w:rPr>
                <w:bCs/>
                <w:sz w:val="16"/>
                <w:szCs w:val="16"/>
              </w:rPr>
              <w:t>Nová hodnota</w:t>
            </w:r>
          </w:p>
          <w:p w:rsidR="00616B57" w:rsidRPr="00C23FDE" w:rsidRDefault="00616B57" w:rsidP="00153F26">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4</w:t>
            </w:r>
          </w:p>
        </w:tc>
        <w:tc>
          <w:tcPr>
            <w:tcW w:w="2703" w:type="pct"/>
          </w:tcPr>
          <w:p w:rsidR="00616B57" w:rsidRPr="00017CC7" w:rsidRDefault="00616B57" w:rsidP="00017CC7">
            <w:pPr>
              <w:pStyle w:val="TabulkaTL"/>
            </w:pPr>
            <w:r w:rsidRPr="00017CC7">
              <w:t>Soubor movitých věcí – cizích vnesených a odložených, zaměstnanců, návštěv, klientů apod.</w:t>
            </w:r>
          </w:p>
        </w:tc>
        <w:tc>
          <w:tcPr>
            <w:tcW w:w="1003" w:type="pct"/>
            <w:vAlign w:val="center"/>
          </w:tcPr>
          <w:p w:rsidR="00616B57" w:rsidRPr="00C23FDE" w:rsidRDefault="00616B57" w:rsidP="004628D6">
            <w:pPr>
              <w:jc w:val="right"/>
              <w:rPr>
                <w:bCs/>
                <w:color w:val="000000"/>
                <w:sz w:val="16"/>
                <w:szCs w:val="16"/>
              </w:rPr>
            </w:pPr>
            <w:r w:rsidRPr="00C23FDE">
              <w:rPr>
                <w:bCs/>
                <w:color w:val="000000"/>
                <w:sz w:val="16"/>
                <w:szCs w:val="16"/>
              </w:rPr>
              <w:t>500 000 Kč</w:t>
            </w:r>
          </w:p>
        </w:tc>
        <w:tc>
          <w:tcPr>
            <w:tcW w:w="985" w:type="pct"/>
            <w:vAlign w:val="center"/>
          </w:tcPr>
          <w:p w:rsidR="00616B57" w:rsidRPr="00C23FDE" w:rsidRDefault="00616B57" w:rsidP="00153F26">
            <w:pPr>
              <w:spacing w:before="0"/>
              <w:rPr>
                <w:bCs/>
                <w:sz w:val="16"/>
                <w:szCs w:val="16"/>
              </w:rPr>
            </w:pPr>
            <w:r w:rsidRPr="00C23FDE">
              <w:rPr>
                <w:bCs/>
                <w:sz w:val="16"/>
                <w:szCs w:val="16"/>
              </w:rPr>
              <w:t>Nová hodnota</w:t>
            </w:r>
          </w:p>
          <w:p w:rsidR="00616B57" w:rsidRPr="00C23FDE" w:rsidRDefault="00616B57" w:rsidP="00153F26">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5</w:t>
            </w:r>
          </w:p>
        </w:tc>
        <w:tc>
          <w:tcPr>
            <w:tcW w:w="2703" w:type="pct"/>
          </w:tcPr>
          <w:p w:rsidR="00616B57" w:rsidRPr="00017CC7" w:rsidRDefault="00616B57" w:rsidP="00017CC7">
            <w:pPr>
              <w:pStyle w:val="TabulkaTL"/>
            </w:pPr>
            <w:r w:rsidRPr="00017CC7">
              <w:t>Soubor uměleckých děl, sbírek, věcí zvláštní kulturní a historické hodnoty vlastních a cizích včetně exponátů na výstavách.</w:t>
            </w:r>
          </w:p>
        </w:tc>
        <w:tc>
          <w:tcPr>
            <w:tcW w:w="1003" w:type="pct"/>
            <w:vAlign w:val="center"/>
          </w:tcPr>
          <w:p w:rsidR="00616B57" w:rsidRPr="00C23FDE" w:rsidRDefault="00DB6204" w:rsidP="004628D6">
            <w:pPr>
              <w:jc w:val="right"/>
              <w:rPr>
                <w:bCs/>
                <w:color w:val="000000"/>
                <w:sz w:val="16"/>
                <w:szCs w:val="16"/>
              </w:rPr>
            </w:pPr>
            <w:r w:rsidRPr="00C23FDE">
              <w:rPr>
                <w:bCs/>
                <w:color w:val="000000"/>
                <w:sz w:val="16"/>
                <w:szCs w:val="16"/>
              </w:rPr>
              <w:t>1 000 000 Kč</w:t>
            </w:r>
          </w:p>
        </w:tc>
        <w:tc>
          <w:tcPr>
            <w:tcW w:w="985" w:type="pct"/>
            <w:vAlign w:val="center"/>
          </w:tcPr>
          <w:p w:rsidR="00DB6204" w:rsidRPr="00C23FDE" w:rsidRDefault="00DB6204" w:rsidP="00DB6204">
            <w:pPr>
              <w:spacing w:before="0"/>
              <w:rPr>
                <w:bCs/>
                <w:sz w:val="16"/>
                <w:szCs w:val="16"/>
              </w:rPr>
            </w:pPr>
            <w:r w:rsidRPr="00C23FDE">
              <w:rPr>
                <w:bCs/>
                <w:sz w:val="16"/>
                <w:szCs w:val="16"/>
              </w:rPr>
              <w:t>Jiná hodnota</w:t>
            </w:r>
          </w:p>
          <w:p w:rsidR="00616B57" w:rsidRPr="00C23FDE" w:rsidRDefault="00DB6204" w:rsidP="00DB6204">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lastRenderedPageBreak/>
              <w:t>6</w:t>
            </w:r>
          </w:p>
        </w:tc>
        <w:tc>
          <w:tcPr>
            <w:tcW w:w="2703" w:type="pct"/>
          </w:tcPr>
          <w:p w:rsidR="00616B57" w:rsidRPr="00017CC7" w:rsidRDefault="00DB6204" w:rsidP="00017CC7">
            <w:pPr>
              <w:pStyle w:val="TabulkaTL"/>
            </w:pPr>
            <w:r w:rsidRPr="00017CC7">
              <w:t>Soubor věcí vedených v operativní evidenci, věcí vedených na účtu spotřeby materiálu</w:t>
            </w:r>
          </w:p>
        </w:tc>
        <w:tc>
          <w:tcPr>
            <w:tcW w:w="1003" w:type="pct"/>
            <w:vAlign w:val="center"/>
          </w:tcPr>
          <w:p w:rsidR="00616B57" w:rsidRPr="00C23FDE" w:rsidRDefault="00DB6204" w:rsidP="004628D6">
            <w:pPr>
              <w:jc w:val="right"/>
              <w:rPr>
                <w:bCs/>
                <w:color w:val="000000"/>
                <w:sz w:val="16"/>
                <w:szCs w:val="16"/>
              </w:rPr>
            </w:pPr>
            <w:r w:rsidRPr="00C23FDE">
              <w:rPr>
                <w:bCs/>
                <w:color w:val="000000"/>
                <w:sz w:val="16"/>
                <w:szCs w:val="16"/>
              </w:rPr>
              <w:t>500 000 Kč</w:t>
            </w:r>
          </w:p>
        </w:tc>
        <w:tc>
          <w:tcPr>
            <w:tcW w:w="985" w:type="pct"/>
            <w:vAlign w:val="center"/>
          </w:tcPr>
          <w:p w:rsidR="00DB6204" w:rsidRPr="00C23FDE" w:rsidRDefault="00DB6204" w:rsidP="00DB6204">
            <w:pPr>
              <w:spacing w:before="0"/>
              <w:rPr>
                <w:bCs/>
                <w:sz w:val="16"/>
                <w:szCs w:val="16"/>
              </w:rPr>
            </w:pPr>
            <w:r w:rsidRPr="00C23FDE">
              <w:rPr>
                <w:bCs/>
                <w:sz w:val="16"/>
                <w:szCs w:val="16"/>
              </w:rPr>
              <w:t>Nová hodnota</w:t>
            </w:r>
          </w:p>
          <w:p w:rsidR="00616B57" w:rsidRPr="00C23FDE" w:rsidRDefault="00DB6204" w:rsidP="00DB6204">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7</w:t>
            </w:r>
          </w:p>
        </w:tc>
        <w:tc>
          <w:tcPr>
            <w:tcW w:w="2703" w:type="pct"/>
          </w:tcPr>
          <w:p w:rsidR="00616B57" w:rsidRPr="00017CC7" w:rsidRDefault="00DB6204" w:rsidP="00017CC7">
            <w:pPr>
              <w:pStyle w:val="TabulkaTL"/>
            </w:pPr>
            <w:r w:rsidRPr="00017CC7">
              <w:t>Soubor investic</w:t>
            </w:r>
          </w:p>
        </w:tc>
        <w:tc>
          <w:tcPr>
            <w:tcW w:w="1003" w:type="pct"/>
            <w:vAlign w:val="center"/>
          </w:tcPr>
          <w:p w:rsidR="00616B57" w:rsidRPr="00C23FDE" w:rsidRDefault="00DB6204" w:rsidP="004628D6">
            <w:pPr>
              <w:jc w:val="right"/>
              <w:rPr>
                <w:bCs/>
                <w:color w:val="000000"/>
                <w:sz w:val="16"/>
                <w:szCs w:val="16"/>
              </w:rPr>
            </w:pPr>
            <w:r w:rsidRPr="00C23FDE">
              <w:rPr>
                <w:bCs/>
                <w:color w:val="000000"/>
                <w:sz w:val="16"/>
                <w:szCs w:val="16"/>
              </w:rPr>
              <w:t>1 000 000 Kč</w:t>
            </w:r>
          </w:p>
        </w:tc>
        <w:tc>
          <w:tcPr>
            <w:tcW w:w="985" w:type="pct"/>
            <w:vAlign w:val="center"/>
          </w:tcPr>
          <w:p w:rsidR="00DB6204" w:rsidRPr="00C23FDE" w:rsidRDefault="00DB6204" w:rsidP="00DB6204">
            <w:pPr>
              <w:spacing w:before="0"/>
              <w:rPr>
                <w:bCs/>
                <w:sz w:val="16"/>
                <w:szCs w:val="16"/>
              </w:rPr>
            </w:pPr>
            <w:r w:rsidRPr="00C23FDE">
              <w:rPr>
                <w:bCs/>
                <w:sz w:val="16"/>
                <w:szCs w:val="16"/>
              </w:rPr>
              <w:t>Nová hodnota</w:t>
            </w:r>
          </w:p>
          <w:p w:rsidR="00616B57" w:rsidRPr="00C23FDE" w:rsidRDefault="00DB6204" w:rsidP="00DB6204">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8</w:t>
            </w:r>
          </w:p>
        </w:tc>
        <w:tc>
          <w:tcPr>
            <w:tcW w:w="2703" w:type="pct"/>
          </w:tcPr>
          <w:p w:rsidR="00616B57" w:rsidRPr="00017CC7" w:rsidRDefault="00377A75" w:rsidP="00017CC7">
            <w:pPr>
              <w:pStyle w:val="TabulkaTL"/>
            </w:pPr>
            <w:r w:rsidRPr="0050214B">
              <w:rPr>
                <w:b/>
              </w:rPr>
              <w:t>Soubor zásob vlastních a cizích</w:t>
            </w:r>
            <w:r w:rsidRPr="00017CC7">
              <w:t xml:space="preserve"> (zásobami se rozumí materiál, zboží, nedokončená výroba včetně nedokončené stavební výroby, polotovary, dokončené výrobky apod.).</w:t>
            </w:r>
          </w:p>
        </w:tc>
        <w:tc>
          <w:tcPr>
            <w:tcW w:w="1003" w:type="pct"/>
            <w:vAlign w:val="center"/>
          </w:tcPr>
          <w:p w:rsidR="00616B57" w:rsidRPr="00C23FDE" w:rsidRDefault="00377A75" w:rsidP="004628D6">
            <w:pPr>
              <w:jc w:val="right"/>
              <w:rPr>
                <w:bCs/>
                <w:color w:val="000000"/>
                <w:sz w:val="16"/>
                <w:szCs w:val="16"/>
              </w:rPr>
            </w:pPr>
            <w:r w:rsidRPr="00C23FDE">
              <w:rPr>
                <w:bCs/>
                <w:color w:val="000000"/>
                <w:sz w:val="16"/>
                <w:szCs w:val="16"/>
              </w:rPr>
              <w:t>1 000 000 Kč</w:t>
            </w:r>
          </w:p>
        </w:tc>
        <w:tc>
          <w:tcPr>
            <w:tcW w:w="985" w:type="pct"/>
            <w:vAlign w:val="center"/>
          </w:tcPr>
          <w:p w:rsidR="00616B57" w:rsidRPr="00C23FDE" w:rsidRDefault="00377A75" w:rsidP="00DB6204">
            <w:pPr>
              <w:spacing w:before="0"/>
              <w:rPr>
                <w:bCs/>
                <w:sz w:val="16"/>
                <w:szCs w:val="16"/>
              </w:rPr>
            </w:pPr>
            <w:r w:rsidRPr="00C23FDE">
              <w:rPr>
                <w:bCs/>
                <w:sz w:val="16"/>
                <w:szCs w:val="16"/>
              </w:rPr>
              <w:t>Hodnota znovupořízení</w:t>
            </w:r>
          </w:p>
          <w:p w:rsidR="00377A75" w:rsidRPr="00C23FDE" w:rsidRDefault="00377A75" w:rsidP="00DB6204">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4628D6">
            <w:pPr>
              <w:spacing w:line="280" w:lineRule="atLeast"/>
              <w:jc w:val="center"/>
              <w:rPr>
                <w:sz w:val="16"/>
                <w:szCs w:val="16"/>
              </w:rPr>
            </w:pPr>
            <w:r w:rsidRPr="00C23FDE">
              <w:rPr>
                <w:sz w:val="16"/>
                <w:szCs w:val="16"/>
              </w:rPr>
              <w:t>9</w:t>
            </w:r>
          </w:p>
        </w:tc>
        <w:tc>
          <w:tcPr>
            <w:tcW w:w="2703" w:type="pct"/>
          </w:tcPr>
          <w:p w:rsidR="00616B57" w:rsidRPr="00017CC7" w:rsidRDefault="00377A75" w:rsidP="00017CC7">
            <w:pPr>
              <w:pStyle w:val="TabulkaTL"/>
            </w:pPr>
            <w:r w:rsidRPr="0050214B">
              <w:rPr>
                <w:b/>
              </w:rPr>
              <w:t>Soubor peněžní hotovosti a jiných cenností vlastních a cizích</w:t>
            </w:r>
            <w:r w:rsidRPr="00017CC7">
              <w:t xml:space="preserve"> včetně vnesených cenných věcí dětí, žáků, studentů, zaměstnanců, návštěv apod. (peníze - platné tuzemské i cizozemské bankovky a mince, cenné papíry, klenoty, výrobky z drahých kovů, drahých kamenů a perel, drahé kameny, perly, šeky, depozitní certifikáty, cenné známky, poštovní známky, kolky, poukázky, losy, karty na naftu a benzín, telefonní karty, stravenky, dálniční známky, jízdenky a kupony MHD, dobíjecí kupóny do mobilních telefonů, vkladní a šekové knížky, platební karty a jiné obdobné dokumenty apod.)</w:t>
            </w:r>
          </w:p>
        </w:tc>
        <w:tc>
          <w:tcPr>
            <w:tcW w:w="1003" w:type="pct"/>
            <w:vAlign w:val="center"/>
          </w:tcPr>
          <w:p w:rsidR="00616B57" w:rsidRPr="00C23FDE" w:rsidRDefault="00377A75" w:rsidP="004628D6">
            <w:pPr>
              <w:jc w:val="right"/>
              <w:rPr>
                <w:bCs/>
                <w:color w:val="000000"/>
                <w:sz w:val="16"/>
                <w:szCs w:val="16"/>
              </w:rPr>
            </w:pPr>
            <w:r w:rsidRPr="00C23FDE">
              <w:rPr>
                <w:bCs/>
                <w:color w:val="000000"/>
                <w:sz w:val="16"/>
                <w:szCs w:val="16"/>
              </w:rPr>
              <w:t>500 000 Kč</w:t>
            </w:r>
          </w:p>
        </w:tc>
        <w:tc>
          <w:tcPr>
            <w:tcW w:w="985" w:type="pct"/>
            <w:vAlign w:val="center"/>
          </w:tcPr>
          <w:p w:rsidR="00377A75" w:rsidRPr="00C23FDE" w:rsidRDefault="00377A75" w:rsidP="00377A75">
            <w:pPr>
              <w:spacing w:before="0"/>
              <w:rPr>
                <w:bCs/>
                <w:sz w:val="16"/>
                <w:szCs w:val="16"/>
              </w:rPr>
            </w:pPr>
            <w:r w:rsidRPr="00C23FDE">
              <w:rPr>
                <w:bCs/>
                <w:sz w:val="16"/>
                <w:szCs w:val="16"/>
              </w:rPr>
              <w:t>Nová hodnota</w:t>
            </w:r>
          </w:p>
          <w:p w:rsidR="00616B57" w:rsidRPr="00C23FDE" w:rsidRDefault="00377A75" w:rsidP="00377A75">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616B57" w:rsidP="00C2085C">
            <w:pPr>
              <w:spacing w:line="280" w:lineRule="atLeast"/>
              <w:jc w:val="center"/>
              <w:rPr>
                <w:sz w:val="16"/>
                <w:szCs w:val="16"/>
              </w:rPr>
            </w:pPr>
            <w:r w:rsidRPr="00C23FDE">
              <w:rPr>
                <w:sz w:val="16"/>
                <w:szCs w:val="16"/>
              </w:rPr>
              <w:t>1</w:t>
            </w:r>
            <w:r w:rsidR="00C2085C">
              <w:rPr>
                <w:sz w:val="16"/>
                <w:szCs w:val="16"/>
              </w:rPr>
              <w:t>0</w:t>
            </w:r>
          </w:p>
        </w:tc>
        <w:tc>
          <w:tcPr>
            <w:tcW w:w="2703" w:type="pct"/>
          </w:tcPr>
          <w:p w:rsidR="00616B57" w:rsidRPr="00017CC7" w:rsidRDefault="00377A75" w:rsidP="0050214B">
            <w:pPr>
              <w:pStyle w:val="TabulkaTL"/>
            </w:pPr>
            <w:r w:rsidRPr="0050214B">
              <w:rPr>
                <w:b/>
              </w:rPr>
              <w:t>Soubor movitých věcí a zásob vlastních a cizích na volném prostranství (</w:t>
            </w:r>
            <w:r w:rsidRPr="00017CC7">
              <w:t>pojištění se vztahuje na věci, u kterých je obvyklé vzhledem k jejich vlastnostem a charakteru - hmotnost, objem, druh materiálu apod. - uložení mimo uzavřený prostor. Nevztahuje se na škody vzniklé na cennostech, cenných věcech, věcech zvláštní hodnoty, písemnostech, ručním nářadí, výpočetní technice, elektronických zařízeních - pokud nejsou součástí nebo příslušenstvím jiné věci… apod.).</w:t>
            </w:r>
          </w:p>
        </w:tc>
        <w:tc>
          <w:tcPr>
            <w:tcW w:w="1003" w:type="pct"/>
            <w:vAlign w:val="center"/>
          </w:tcPr>
          <w:p w:rsidR="00616B57" w:rsidRPr="00C23FDE" w:rsidRDefault="00377A75" w:rsidP="004628D6">
            <w:pPr>
              <w:jc w:val="right"/>
              <w:rPr>
                <w:bCs/>
                <w:color w:val="000000"/>
                <w:sz w:val="16"/>
                <w:szCs w:val="16"/>
              </w:rPr>
            </w:pPr>
            <w:r w:rsidRPr="00C23FDE">
              <w:rPr>
                <w:bCs/>
                <w:color w:val="000000"/>
                <w:sz w:val="16"/>
                <w:szCs w:val="16"/>
              </w:rPr>
              <w:t>500 000 Kč</w:t>
            </w:r>
          </w:p>
        </w:tc>
        <w:tc>
          <w:tcPr>
            <w:tcW w:w="985" w:type="pct"/>
            <w:vAlign w:val="center"/>
          </w:tcPr>
          <w:p w:rsidR="009C100F" w:rsidRPr="00C23FDE" w:rsidRDefault="009C100F" w:rsidP="009C100F">
            <w:pPr>
              <w:spacing w:before="0"/>
              <w:rPr>
                <w:bCs/>
                <w:sz w:val="16"/>
                <w:szCs w:val="16"/>
              </w:rPr>
            </w:pPr>
            <w:r w:rsidRPr="00C23FDE">
              <w:rPr>
                <w:bCs/>
                <w:sz w:val="16"/>
                <w:szCs w:val="16"/>
              </w:rPr>
              <w:t>Nová hodnota</w:t>
            </w:r>
          </w:p>
          <w:p w:rsidR="00616B57" w:rsidRPr="00C23FDE" w:rsidRDefault="009C100F" w:rsidP="009C100F">
            <w:pPr>
              <w:spacing w:before="0"/>
              <w:rPr>
                <w:bCs/>
                <w:sz w:val="16"/>
                <w:szCs w:val="16"/>
              </w:rPr>
            </w:pPr>
            <w:r w:rsidRPr="00C23FDE">
              <w:rPr>
                <w:bCs/>
                <w:sz w:val="16"/>
                <w:szCs w:val="16"/>
              </w:rPr>
              <w:t>První riziko</w:t>
            </w:r>
          </w:p>
        </w:tc>
      </w:tr>
      <w:tr w:rsidR="00616B57" w:rsidRPr="00387BA8" w:rsidTr="005E5452">
        <w:tc>
          <w:tcPr>
            <w:tcW w:w="309" w:type="pct"/>
            <w:vAlign w:val="center"/>
          </w:tcPr>
          <w:p w:rsidR="00616B57" w:rsidRPr="00C23FDE" w:rsidRDefault="00C2085C" w:rsidP="0050214B">
            <w:pPr>
              <w:spacing w:line="280" w:lineRule="atLeast"/>
              <w:jc w:val="center"/>
              <w:rPr>
                <w:sz w:val="16"/>
                <w:szCs w:val="16"/>
              </w:rPr>
            </w:pPr>
            <w:r>
              <w:rPr>
                <w:sz w:val="16"/>
                <w:szCs w:val="16"/>
              </w:rPr>
              <w:t>11</w:t>
            </w:r>
          </w:p>
        </w:tc>
        <w:tc>
          <w:tcPr>
            <w:tcW w:w="2703" w:type="pct"/>
          </w:tcPr>
          <w:p w:rsidR="009C100F" w:rsidRPr="0050214B" w:rsidRDefault="009C100F" w:rsidP="00017CC7">
            <w:pPr>
              <w:pStyle w:val="TabulkaTL"/>
              <w:rPr>
                <w:b/>
              </w:rPr>
            </w:pPr>
            <w:r w:rsidRPr="0050214B">
              <w:rPr>
                <w:b/>
              </w:rPr>
              <w:t xml:space="preserve">Přepravované cennosti:  </w:t>
            </w:r>
          </w:p>
          <w:p w:rsidR="00377A75" w:rsidRPr="00017CC7" w:rsidRDefault="009C100F" w:rsidP="00017CC7">
            <w:pPr>
              <w:pStyle w:val="TabulkaTL"/>
            </w:pPr>
            <w:r w:rsidRPr="00017CC7">
              <w:t>C</w:t>
            </w:r>
            <w:r w:rsidR="00377A75" w:rsidRPr="00017CC7">
              <w:t xml:space="preserve">ennosti: peníze - platné tuzemské i cizozemské bankovky a mince; </w:t>
            </w:r>
          </w:p>
          <w:p w:rsidR="00616B57" w:rsidRPr="00017CC7" w:rsidRDefault="009C100F" w:rsidP="00017CC7">
            <w:pPr>
              <w:pStyle w:val="TabulkaTL"/>
            </w:pPr>
            <w:r w:rsidRPr="00017CC7">
              <w:t>C</w:t>
            </w:r>
            <w:r w:rsidR="00377A75" w:rsidRPr="00017CC7">
              <w:t>eniny: cenné papíry, klenoty, výrobky z drahých kovů, drahých kamenů a perel, drahé kameny, perly, šeky, depozitní certifikáty, cenné známky, poštovní známky, kolky, poukázky, losy, karty na naftu a benzín, telefonní karty, stravenky, dálniční známky, jízdenky a kupony MHD, dobíjecí kupóny do mobilních telefonů, vkladní a šekové knížky, platební karty apod.</w:t>
            </w:r>
          </w:p>
        </w:tc>
        <w:tc>
          <w:tcPr>
            <w:tcW w:w="1003" w:type="pct"/>
            <w:vAlign w:val="center"/>
          </w:tcPr>
          <w:p w:rsidR="00616B57" w:rsidRPr="00C23FDE" w:rsidRDefault="009C100F" w:rsidP="004628D6">
            <w:pPr>
              <w:jc w:val="right"/>
              <w:rPr>
                <w:bCs/>
                <w:color w:val="000000"/>
                <w:sz w:val="16"/>
                <w:szCs w:val="16"/>
              </w:rPr>
            </w:pPr>
            <w:r w:rsidRPr="00C23FDE">
              <w:rPr>
                <w:bCs/>
                <w:color w:val="000000"/>
                <w:sz w:val="16"/>
                <w:szCs w:val="16"/>
              </w:rPr>
              <w:t>500 000 Kč</w:t>
            </w:r>
          </w:p>
        </w:tc>
        <w:tc>
          <w:tcPr>
            <w:tcW w:w="985" w:type="pct"/>
            <w:vAlign w:val="center"/>
          </w:tcPr>
          <w:p w:rsidR="009C100F" w:rsidRPr="00C23FDE" w:rsidRDefault="009C100F" w:rsidP="009C100F">
            <w:pPr>
              <w:spacing w:before="0"/>
              <w:rPr>
                <w:bCs/>
                <w:sz w:val="16"/>
                <w:szCs w:val="16"/>
              </w:rPr>
            </w:pPr>
            <w:r w:rsidRPr="00C23FDE">
              <w:rPr>
                <w:bCs/>
                <w:sz w:val="16"/>
                <w:szCs w:val="16"/>
              </w:rPr>
              <w:t>Nová hodnota</w:t>
            </w:r>
          </w:p>
          <w:p w:rsidR="00616B57" w:rsidRPr="00C23FDE" w:rsidRDefault="009C100F" w:rsidP="009C100F">
            <w:pPr>
              <w:spacing w:before="0"/>
              <w:rPr>
                <w:bCs/>
                <w:sz w:val="16"/>
                <w:szCs w:val="16"/>
              </w:rPr>
            </w:pPr>
            <w:r w:rsidRPr="00C23FDE">
              <w:rPr>
                <w:bCs/>
                <w:sz w:val="16"/>
                <w:szCs w:val="16"/>
              </w:rPr>
              <w:t>První riziko</w:t>
            </w:r>
          </w:p>
        </w:tc>
      </w:tr>
    </w:tbl>
    <w:p w:rsidR="008D400F" w:rsidRPr="008D400F" w:rsidRDefault="008D400F" w:rsidP="008D400F">
      <w:pPr>
        <w:pStyle w:val="Nadpis2"/>
        <w:numPr>
          <w:ilvl w:val="0"/>
          <w:numId w:val="0"/>
        </w:numPr>
        <w:ind w:left="576"/>
      </w:pPr>
    </w:p>
    <w:p w:rsidR="009C100F" w:rsidRPr="00387BA8" w:rsidRDefault="004B2DA0" w:rsidP="009C100F">
      <w:pPr>
        <w:pStyle w:val="Nadpis2"/>
      </w:pPr>
      <w:bookmarkStart w:id="16" w:name="_Toc450552715"/>
      <w:r w:rsidRPr="00387BA8">
        <w:t>Pojistn</w:t>
      </w:r>
      <w:r w:rsidR="009B2B04" w:rsidRPr="00387BA8">
        <w:t>á</w:t>
      </w:r>
      <w:r w:rsidRPr="00387BA8">
        <w:t xml:space="preserve"> </w:t>
      </w:r>
      <w:proofErr w:type="gramStart"/>
      <w:r w:rsidRPr="00387BA8">
        <w:t>nebezpečí</w:t>
      </w:r>
      <w:r w:rsidR="005E5452" w:rsidRPr="00387BA8">
        <w:t xml:space="preserve">, </w:t>
      </w:r>
      <w:r w:rsidRPr="00387BA8">
        <w:t xml:space="preserve"> </w:t>
      </w:r>
      <w:r w:rsidR="005E5452" w:rsidRPr="00387BA8">
        <w:t>limity</w:t>
      </w:r>
      <w:proofErr w:type="gramEnd"/>
      <w:r w:rsidR="005E5452" w:rsidRPr="00387BA8">
        <w:t xml:space="preserve"> plnění </w:t>
      </w:r>
      <w:r w:rsidRPr="00387BA8">
        <w:t>a spoluúčasti</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619"/>
        <w:gridCol w:w="2184"/>
        <w:gridCol w:w="1891"/>
      </w:tblGrid>
      <w:tr w:rsidR="009A4AA2" w:rsidRPr="00387BA8" w:rsidTr="005E5452">
        <w:trPr>
          <w:cantSplit/>
          <w:trHeight w:val="334"/>
        </w:trPr>
        <w:tc>
          <w:tcPr>
            <w:tcW w:w="319" w:type="pct"/>
            <w:shd w:val="clear" w:color="auto" w:fill="F3F3F3"/>
            <w:vAlign w:val="center"/>
          </w:tcPr>
          <w:p w:rsidR="009A4AA2" w:rsidRPr="00387BA8" w:rsidRDefault="009A4AA2" w:rsidP="00153F26">
            <w:pPr>
              <w:spacing w:line="280" w:lineRule="atLeast"/>
              <w:rPr>
                <w:b/>
                <w:szCs w:val="18"/>
              </w:rPr>
            </w:pPr>
            <w:proofErr w:type="spellStart"/>
            <w:r w:rsidRPr="00387BA8">
              <w:rPr>
                <w:b/>
                <w:szCs w:val="18"/>
              </w:rPr>
              <w:t>Poř</w:t>
            </w:r>
            <w:proofErr w:type="spellEnd"/>
            <w:r w:rsidRPr="00387BA8">
              <w:rPr>
                <w:b/>
                <w:szCs w:val="18"/>
              </w:rPr>
              <w:t>.</w:t>
            </w:r>
          </w:p>
        </w:tc>
        <w:tc>
          <w:tcPr>
            <w:tcW w:w="2487" w:type="pct"/>
            <w:shd w:val="clear" w:color="auto" w:fill="F3F3F3"/>
            <w:vAlign w:val="center"/>
          </w:tcPr>
          <w:p w:rsidR="009A4AA2" w:rsidRPr="00387BA8" w:rsidRDefault="009A4AA2" w:rsidP="00153F26">
            <w:pPr>
              <w:spacing w:line="280" w:lineRule="atLeast"/>
              <w:rPr>
                <w:b/>
                <w:szCs w:val="18"/>
              </w:rPr>
            </w:pPr>
            <w:r w:rsidRPr="00387BA8">
              <w:rPr>
                <w:b/>
                <w:szCs w:val="18"/>
              </w:rPr>
              <w:t xml:space="preserve">Druh </w:t>
            </w:r>
          </w:p>
        </w:tc>
        <w:tc>
          <w:tcPr>
            <w:tcW w:w="1176" w:type="pct"/>
            <w:shd w:val="clear" w:color="auto" w:fill="F3F3F3"/>
            <w:vAlign w:val="center"/>
          </w:tcPr>
          <w:p w:rsidR="009A4AA2" w:rsidRPr="00387BA8" w:rsidRDefault="009A4AA2" w:rsidP="00153F26">
            <w:pPr>
              <w:spacing w:line="280" w:lineRule="atLeast"/>
              <w:jc w:val="center"/>
              <w:rPr>
                <w:b/>
                <w:szCs w:val="18"/>
              </w:rPr>
            </w:pPr>
            <w:r w:rsidRPr="00387BA8">
              <w:rPr>
                <w:b/>
                <w:szCs w:val="18"/>
              </w:rPr>
              <w:t>Limit plnění</w:t>
            </w:r>
          </w:p>
        </w:tc>
        <w:tc>
          <w:tcPr>
            <w:tcW w:w="1018" w:type="pct"/>
            <w:shd w:val="clear" w:color="auto" w:fill="F3F3F3"/>
            <w:vAlign w:val="center"/>
          </w:tcPr>
          <w:p w:rsidR="009A4AA2" w:rsidRPr="00387BA8" w:rsidRDefault="009A4AA2" w:rsidP="00153F26">
            <w:pPr>
              <w:spacing w:line="280" w:lineRule="atLeast"/>
              <w:jc w:val="center"/>
              <w:rPr>
                <w:b/>
                <w:szCs w:val="18"/>
              </w:rPr>
            </w:pPr>
            <w:r w:rsidRPr="00387BA8">
              <w:rPr>
                <w:b/>
                <w:szCs w:val="18"/>
              </w:rPr>
              <w:t xml:space="preserve">Spoluúčast </w:t>
            </w:r>
          </w:p>
        </w:tc>
      </w:tr>
      <w:tr w:rsidR="009A4AA2" w:rsidRPr="00387BA8" w:rsidTr="00017CC7">
        <w:trPr>
          <w:cantSplit/>
        </w:trPr>
        <w:tc>
          <w:tcPr>
            <w:tcW w:w="319" w:type="pct"/>
            <w:vAlign w:val="center"/>
          </w:tcPr>
          <w:p w:rsidR="009A4AA2" w:rsidRPr="00017CC7" w:rsidRDefault="009A4AA2" w:rsidP="00017CC7">
            <w:pPr>
              <w:pStyle w:val="TabulkaTL"/>
            </w:pPr>
            <w:r w:rsidRPr="00017CC7">
              <w:t>1</w:t>
            </w:r>
          </w:p>
        </w:tc>
        <w:tc>
          <w:tcPr>
            <w:tcW w:w="2487" w:type="pct"/>
            <w:vAlign w:val="center"/>
          </w:tcPr>
          <w:p w:rsidR="009A4AA2" w:rsidRPr="00017CC7" w:rsidRDefault="009A4AA2" w:rsidP="00017CC7">
            <w:pPr>
              <w:pStyle w:val="TabulkaTL"/>
            </w:pPr>
            <w:r w:rsidRPr="00387BA8">
              <w:t>Krádež, při které pachatel překonal překážky chránící pojištěnou věc před odcizením</w:t>
            </w:r>
            <w:r w:rsidR="00DC5226">
              <w:t>.</w:t>
            </w:r>
          </w:p>
        </w:tc>
        <w:tc>
          <w:tcPr>
            <w:tcW w:w="1176" w:type="pct"/>
            <w:vAlign w:val="center"/>
          </w:tcPr>
          <w:p w:rsidR="009A4AA2" w:rsidRPr="00017CC7" w:rsidRDefault="009A4AA2" w:rsidP="00017CC7">
            <w:pPr>
              <w:pStyle w:val="TabulkaTL"/>
              <w:jc w:val="right"/>
            </w:pPr>
            <w:r w:rsidRPr="00017CC7">
              <w:t xml:space="preserve">Dle předmětů pojištění </w:t>
            </w:r>
          </w:p>
        </w:tc>
        <w:tc>
          <w:tcPr>
            <w:tcW w:w="1018" w:type="pct"/>
            <w:vAlign w:val="center"/>
          </w:tcPr>
          <w:p w:rsidR="009A4AA2" w:rsidRPr="00017CC7" w:rsidRDefault="009A4AA2" w:rsidP="00017CC7">
            <w:pPr>
              <w:pStyle w:val="TabulkaTL"/>
              <w:jc w:val="right"/>
            </w:pPr>
            <w:r w:rsidRPr="00017CC7">
              <w:t>1 000 Kč</w:t>
            </w:r>
          </w:p>
        </w:tc>
      </w:tr>
      <w:tr w:rsidR="000F67C7" w:rsidRPr="00387BA8" w:rsidTr="00017CC7">
        <w:trPr>
          <w:cantSplit/>
        </w:trPr>
        <w:tc>
          <w:tcPr>
            <w:tcW w:w="319" w:type="pct"/>
            <w:vAlign w:val="center"/>
          </w:tcPr>
          <w:p w:rsidR="000F67C7" w:rsidRPr="00017CC7" w:rsidRDefault="000F67C7" w:rsidP="00017CC7">
            <w:pPr>
              <w:pStyle w:val="TabulkaTL"/>
            </w:pPr>
            <w:r w:rsidRPr="00017CC7">
              <w:t>2</w:t>
            </w:r>
          </w:p>
        </w:tc>
        <w:tc>
          <w:tcPr>
            <w:tcW w:w="2487" w:type="pct"/>
            <w:vAlign w:val="center"/>
          </w:tcPr>
          <w:p w:rsidR="000F67C7" w:rsidRPr="00387BA8" w:rsidRDefault="000F67C7" w:rsidP="00017CC7">
            <w:pPr>
              <w:pStyle w:val="TabulkaTL"/>
            </w:pPr>
            <w:proofErr w:type="gramStart"/>
            <w:r w:rsidRPr="00387BA8">
              <w:t>Loupež,  loupežné</w:t>
            </w:r>
            <w:proofErr w:type="gramEnd"/>
            <w:r w:rsidRPr="00387BA8">
              <w:t xml:space="preserve"> přepadení při přepravě cenností</w:t>
            </w:r>
            <w:r w:rsidR="00DC5226">
              <w:t>.</w:t>
            </w:r>
          </w:p>
        </w:tc>
        <w:tc>
          <w:tcPr>
            <w:tcW w:w="1176" w:type="pct"/>
            <w:vAlign w:val="center"/>
          </w:tcPr>
          <w:p w:rsidR="000F67C7" w:rsidRPr="00017CC7" w:rsidRDefault="000F67C7" w:rsidP="00017CC7">
            <w:pPr>
              <w:pStyle w:val="TabulkaTL"/>
              <w:jc w:val="right"/>
            </w:pPr>
            <w:r w:rsidRPr="00017CC7">
              <w:t>Dle předmětů pojištění</w:t>
            </w:r>
          </w:p>
        </w:tc>
        <w:tc>
          <w:tcPr>
            <w:tcW w:w="1018" w:type="pct"/>
            <w:vAlign w:val="center"/>
          </w:tcPr>
          <w:p w:rsidR="000F67C7" w:rsidRPr="00017CC7" w:rsidRDefault="000F67C7" w:rsidP="00017CC7">
            <w:pPr>
              <w:pStyle w:val="TabulkaTL"/>
              <w:jc w:val="right"/>
            </w:pPr>
            <w:r w:rsidRPr="00017CC7">
              <w:t>1 000 Kč</w:t>
            </w:r>
          </w:p>
        </w:tc>
      </w:tr>
      <w:tr w:rsidR="009A4AA2" w:rsidRPr="00387BA8" w:rsidTr="00017CC7">
        <w:tc>
          <w:tcPr>
            <w:tcW w:w="319" w:type="pct"/>
            <w:vAlign w:val="center"/>
          </w:tcPr>
          <w:p w:rsidR="009A4AA2" w:rsidRPr="00017CC7" w:rsidRDefault="000F67C7" w:rsidP="00017CC7">
            <w:pPr>
              <w:pStyle w:val="TabulkaTL"/>
            </w:pPr>
            <w:r w:rsidRPr="00017CC7">
              <w:t>3</w:t>
            </w:r>
          </w:p>
        </w:tc>
        <w:tc>
          <w:tcPr>
            <w:tcW w:w="2487" w:type="pct"/>
            <w:vAlign w:val="center"/>
          </w:tcPr>
          <w:p w:rsidR="009A4AA2" w:rsidRPr="00017CC7" w:rsidRDefault="009A4AA2" w:rsidP="00017CC7">
            <w:pPr>
              <w:pStyle w:val="TabulkaTL"/>
            </w:pPr>
            <w:r w:rsidRPr="00017CC7">
              <w:t>Vandalismus – úmyslné poškození nebo zničení věci, i nezjištěným pachatelem</w:t>
            </w:r>
            <w:r w:rsidR="00DC5226">
              <w:t>.</w:t>
            </w:r>
          </w:p>
        </w:tc>
        <w:tc>
          <w:tcPr>
            <w:tcW w:w="1176" w:type="pct"/>
            <w:vAlign w:val="center"/>
          </w:tcPr>
          <w:p w:rsidR="009A4AA2" w:rsidRPr="00017CC7" w:rsidRDefault="009A4AA2" w:rsidP="00017CC7">
            <w:pPr>
              <w:pStyle w:val="TabulkaTL"/>
              <w:jc w:val="right"/>
            </w:pPr>
            <w:r w:rsidRPr="00017CC7">
              <w:t xml:space="preserve">Dle předmětů pojištění, </w:t>
            </w:r>
          </w:p>
          <w:p w:rsidR="009A4AA2" w:rsidRPr="00017CC7" w:rsidRDefault="009A4AA2" w:rsidP="00017CC7">
            <w:pPr>
              <w:pStyle w:val="TabulkaTL"/>
              <w:jc w:val="right"/>
            </w:pPr>
            <w:r w:rsidRPr="00017CC7">
              <w:t xml:space="preserve">Sprejeři:  500 000 Kč </w:t>
            </w:r>
          </w:p>
        </w:tc>
        <w:tc>
          <w:tcPr>
            <w:tcW w:w="1018" w:type="pct"/>
            <w:vAlign w:val="center"/>
          </w:tcPr>
          <w:p w:rsidR="009A4AA2" w:rsidRPr="00017CC7" w:rsidRDefault="009A4AA2" w:rsidP="00017CC7">
            <w:pPr>
              <w:pStyle w:val="TabulkaTL"/>
              <w:jc w:val="right"/>
            </w:pPr>
            <w:r w:rsidRPr="00017CC7">
              <w:t>10% min. 1 000 Kč</w:t>
            </w:r>
          </w:p>
        </w:tc>
      </w:tr>
      <w:tr w:rsidR="009A4AA2" w:rsidRPr="00387BA8" w:rsidTr="00017CC7">
        <w:tc>
          <w:tcPr>
            <w:tcW w:w="319" w:type="pct"/>
            <w:vAlign w:val="center"/>
          </w:tcPr>
          <w:p w:rsidR="009A4AA2" w:rsidRPr="00017CC7" w:rsidRDefault="000F67C7" w:rsidP="00017CC7">
            <w:pPr>
              <w:pStyle w:val="TabulkaTL"/>
            </w:pPr>
            <w:r w:rsidRPr="00017CC7">
              <w:t>4</w:t>
            </w:r>
          </w:p>
        </w:tc>
        <w:tc>
          <w:tcPr>
            <w:tcW w:w="2487" w:type="pct"/>
            <w:vAlign w:val="center"/>
          </w:tcPr>
          <w:p w:rsidR="009A4AA2" w:rsidRPr="00017CC7" w:rsidRDefault="009A4AA2" w:rsidP="00017CC7">
            <w:pPr>
              <w:pStyle w:val="TabulkaTL"/>
            </w:pPr>
            <w:r w:rsidRPr="00017CC7">
              <w:t xml:space="preserve">Ztráta zpronevěrou, zatajením věci, neoprávněným užíváním cizí věci nebo </w:t>
            </w:r>
            <w:proofErr w:type="gramStart"/>
            <w:r w:rsidRPr="00017CC7">
              <w:t>podvodem  (vztahuje</w:t>
            </w:r>
            <w:proofErr w:type="gramEnd"/>
            <w:r w:rsidRPr="00017CC7">
              <w:t xml:space="preserve"> se na předměty definované v odst. 3.1.)</w:t>
            </w:r>
            <w:r w:rsidR="00DC5226">
              <w:t>.</w:t>
            </w:r>
          </w:p>
        </w:tc>
        <w:tc>
          <w:tcPr>
            <w:tcW w:w="1176" w:type="pct"/>
            <w:vAlign w:val="center"/>
          </w:tcPr>
          <w:p w:rsidR="009A4AA2" w:rsidRPr="00017CC7" w:rsidRDefault="00C52DF2" w:rsidP="00017CC7">
            <w:pPr>
              <w:pStyle w:val="TabulkaTL"/>
              <w:jc w:val="right"/>
            </w:pPr>
            <w:r w:rsidRPr="00017CC7">
              <w:t>1</w:t>
            </w:r>
            <w:r w:rsidR="009A4AA2" w:rsidRPr="00017CC7">
              <w:t>00 000 Kč</w:t>
            </w:r>
          </w:p>
        </w:tc>
        <w:tc>
          <w:tcPr>
            <w:tcW w:w="1018" w:type="pct"/>
            <w:vAlign w:val="center"/>
          </w:tcPr>
          <w:p w:rsidR="009A4AA2" w:rsidRPr="00017CC7" w:rsidRDefault="009A4AA2" w:rsidP="00017CC7">
            <w:pPr>
              <w:pStyle w:val="TabulkaTL"/>
              <w:jc w:val="right"/>
            </w:pPr>
            <w:r w:rsidRPr="00017CC7">
              <w:t>1 000 Kč</w:t>
            </w:r>
          </w:p>
        </w:tc>
      </w:tr>
      <w:tr w:rsidR="009A4AA2" w:rsidRPr="00387BA8" w:rsidTr="00017CC7">
        <w:tc>
          <w:tcPr>
            <w:tcW w:w="319" w:type="pct"/>
            <w:vAlign w:val="center"/>
          </w:tcPr>
          <w:p w:rsidR="009A4AA2" w:rsidRPr="00017CC7" w:rsidRDefault="000F67C7" w:rsidP="00017CC7">
            <w:pPr>
              <w:pStyle w:val="TabulkaTL"/>
            </w:pPr>
            <w:r w:rsidRPr="00017CC7">
              <w:t>5</w:t>
            </w:r>
          </w:p>
        </w:tc>
        <w:tc>
          <w:tcPr>
            <w:tcW w:w="2487" w:type="pct"/>
            <w:vAlign w:val="center"/>
          </w:tcPr>
          <w:p w:rsidR="009A4AA2" w:rsidRPr="00017CC7" w:rsidRDefault="009A4AA2" w:rsidP="00017CC7">
            <w:pPr>
              <w:pStyle w:val="TabulkaTL"/>
            </w:pPr>
            <w:r w:rsidRPr="00017CC7">
              <w:t xml:space="preserve">Prostá krádež – toto pojištění se sjednává pro předměty  uvedené pod </w:t>
            </w:r>
            <w:proofErr w:type="spellStart"/>
            <w:r w:rsidRPr="00017CC7">
              <w:t>poř</w:t>
            </w:r>
            <w:proofErr w:type="spellEnd"/>
            <w:r w:rsidRPr="00017CC7">
              <w:t xml:space="preserve">. č. 5 v odstavci </w:t>
            </w:r>
            <w:proofErr w:type="gramStart"/>
            <w:r w:rsidRPr="00017CC7">
              <w:t>3.1. (soubor</w:t>
            </w:r>
            <w:proofErr w:type="gramEnd"/>
            <w:r w:rsidRPr="00017CC7">
              <w:t xml:space="preserve"> uměleckých děl, sbírek, věcí zvláštní kulturní a historické hodnoty vlastní a cizí, včetně exponátů na výstavách)</w:t>
            </w:r>
            <w:r w:rsidR="00DC5226">
              <w:t>.</w:t>
            </w:r>
          </w:p>
        </w:tc>
        <w:tc>
          <w:tcPr>
            <w:tcW w:w="1176" w:type="pct"/>
            <w:vAlign w:val="center"/>
          </w:tcPr>
          <w:p w:rsidR="009A4AA2" w:rsidRPr="00017CC7" w:rsidRDefault="00C52DF2" w:rsidP="00017CC7">
            <w:pPr>
              <w:pStyle w:val="TabulkaTL"/>
              <w:jc w:val="right"/>
            </w:pPr>
            <w:r w:rsidRPr="00017CC7">
              <w:t>1</w:t>
            </w:r>
            <w:r w:rsidR="009A4AA2" w:rsidRPr="00017CC7">
              <w:t>00 000 Kč</w:t>
            </w:r>
          </w:p>
        </w:tc>
        <w:tc>
          <w:tcPr>
            <w:tcW w:w="1018" w:type="pct"/>
            <w:vAlign w:val="center"/>
          </w:tcPr>
          <w:p w:rsidR="009A4AA2" w:rsidRPr="00017CC7" w:rsidRDefault="009A4AA2" w:rsidP="00017CC7">
            <w:pPr>
              <w:pStyle w:val="TabulkaTL"/>
              <w:jc w:val="right"/>
            </w:pPr>
            <w:r w:rsidRPr="00017CC7">
              <w:t>1 000 Kč</w:t>
            </w:r>
          </w:p>
        </w:tc>
      </w:tr>
    </w:tbl>
    <w:p w:rsidR="009B2B04" w:rsidRPr="00387BA8" w:rsidRDefault="009B2B04" w:rsidP="004875F4"/>
    <w:p w:rsidR="00394392" w:rsidRPr="00387BA8" w:rsidRDefault="00394392" w:rsidP="00394392">
      <w:pPr>
        <w:pStyle w:val="Nadpis2"/>
      </w:pPr>
      <w:bookmarkStart w:id="17" w:name="_Toc450552716"/>
      <w:r w:rsidRPr="00387BA8">
        <w:t>Zvláštní ujednání k pojištění odcizení a vandalismu</w:t>
      </w:r>
      <w:bookmarkEnd w:id="17"/>
    </w:p>
    <w:p w:rsidR="004C7701" w:rsidRPr="008D400F" w:rsidRDefault="00394392"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 xml:space="preserve">Pojištění se vztahuje i na úmyslné poškození pojištěné věci malbami, nástřiky nebo polepením. Pojistitel poskytne plnění, jehož výše odpovídá přiměřeným a nezbytně vynaloženým nákladům na vyčistění, případně opravu plochy, která byla pojistnou událostí bezprostředně dotčena. </w:t>
      </w:r>
      <w:r w:rsidR="004C7701" w:rsidRPr="008D400F">
        <w:rPr>
          <w:szCs w:val="18"/>
        </w:rPr>
        <w:t>Vynaložil</w:t>
      </w:r>
      <w:r w:rsidR="00DC5226">
        <w:rPr>
          <w:szCs w:val="18"/>
        </w:rPr>
        <w:t>-li</w:t>
      </w:r>
      <w:r w:rsidR="004C7701" w:rsidRPr="008D400F">
        <w:rPr>
          <w:szCs w:val="18"/>
        </w:rPr>
        <w:t xml:space="preserve"> pojištěný po pojistné události n</w:t>
      </w:r>
      <w:r w:rsidR="00DA51F0" w:rsidRPr="008D400F">
        <w:rPr>
          <w:szCs w:val="18"/>
        </w:rPr>
        <w:t xml:space="preserve">áklady na </w:t>
      </w:r>
      <w:proofErr w:type="gramStart"/>
      <w:r w:rsidRPr="008D400F">
        <w:rPr>
          <w:szCs w:val="18"/>
        </w:rPr>
        <w:t>konzervaci  (prevence</w:t>
      </w:r>
      <w:proofErr w:type="gramEnd"/>
      <w:r w:rsidRPr="008D400F">
        <w:rPr>
          <w:szCs w:val="18"/>
        </w:rPr>
        <w:t xml:space="preserve"> proti poškození spreji a barvami</w:t>
      </w:r>
      <w:r w:rsidR="004C7701" w:rsidRPr="008D400F">
        <w:rPr>
          <w:szCs w:val="18"/>
        </w:rPr>
        <w:t xml:space="preserve">), budou součástí pojistného plnění i takto </w:t>
      </w:r>
      <w:r w:rsidR="004C7701" w:rsidRPr="008D400F">
        <w:rPr>
          <w:szCs w:val="18"/>
        </w:rPr>
        <w:lastRenderedPageBreak/>
        <w:t xml:space="preserve">vynaložené náklady, max. však ve výši 20% z částky vynaložené na konzervaci věci. </w:t>
      </w:r>
    </w:p>
    <w:p w:rsidR="004C7701" w:rsidRPr="008D400F" w:rsidRDefault="004C7701"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 xml:space="preserve">V případě </w:t>
      </w:r>
      <w:r w:rsidRPr="008D400F">
        <w:rPr>
          <w:snapToGrid w:val="0"/>
          <w:szCs w:val="18"/>
        </w:rPr>
        <w:t>pojistných událostí uplatňovaných na kamerovém systému poskytne pojistitel plnění, budou-li pojištěné věci umístěny mimo uzavřený prostor, mimo oplocené prostranství a při jejich odcizení dojde k překonání konstrukčního upevnění.</w:t>
      </w:r>
    </w:p>
    <w:p w:rsidR="00394392" w:rsidRPr="008D400F" w:rsidRDefault="004C7701"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 xml:space="preserve">Pojištění zahrnuje do výše pojistné částky, resp. sjednaného limitu plnění i náklady na odstranění škod </w:t>
      </w:r>
      <w:r w:rsidR="000C1B98" w:rsidRPr="008D400F">
        <w:rPr>
          <w:szCs w:val="18"/>
        </w:rPr>
        <w:t>na stavebních součástech, které vznikly v důsledku odcizení</w:t>
      </w:r>
      <w:r w:rsidR="00DC5226">
        <w:rPr>
          <w:szCs w:val="18"/>
        </w:rPr>
        <w:t>.</w:t>
      </w:r>
    </w:p>
    <w:p w:rsidR="00DA51F0" w:rsidRPr="008D400F" w:rsidRDefault="00DA51F0"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Jsou-li předmětem pojištění věci zaměstnanců, pak se pojištění vztahují na věci, které zaměstnanci pojištěného obvykle nosí do práce, nebo které se nacházejí na místě pojištění v souvislosti s výkonem povolání v zájmu zaměstnavatele. Pojištění se nevztahuje na motorová vozidla nebo přívěsy motorových vozidel, kterým jsou přidělovány státní poznávací značky. Jsou-li předmětem pojištění věci zaměstnanců, vzniká právo na plnění pouze tehdy, jestliže zaměstnavatel za takovouto škodu zaměstnanci neodpovídá</w:t>
      </w:r>
      <w:r w:rsidR="00DC5226">
        <w:rPr>
          <w:szCs w:val="18"/>
        </w:rPr>
        <w:t>.</w:t>
      </w:r>
    </w:p>
    <w:p w:rsidR="00DA51F0" w:rsidRPr="008D400F" w:rsidRDefault="00DA51F0"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V případě škod u jízdních kol (</w:t>
      </w:r>
      <w:proofErr w:type="gramStart"/>
      <w:r w:rsidRPr="008D400F">
        <w:rPr>
          <w:szCs w:val="18"/>
        </w:rPr>
        <w:t>viz  pojistné</w:t>
      </w:r>
      <w:proofErr w:type="gramEnd"/>
      <w:r w:rsidRPr="008D400F">
        <w:rPr>
          <w:szCs w:val="18"/>
        </w:rPr>
        <w:t xml:space="preserve"> nebezpečí odst. 3.2, </w:t>
      </w:r>
      <w:proofErr w:type="spellStart"/>
      <w:r w:rsidRPr="008D400F">
        <w:rPr>
          <w:szCs w:val="18"/>
        </w:rPr>
        <w:t>poř</w:t>
      </w:r>
      <w:proofErr w:type="spellEnd"/>
      <w:r w:rsidRPr="008D400F">
        <w:rPr>
          <w:szCs w:val="18"/>
        </w:rPr>
        <w:t>. 1) poskytne pojistitel plnění, budou-li pojištěné věci zabezpečeny následovně: Místem pojištění bude místo určené nebo obvyklé k odkládání pojištěné věci. Smluvní strany ujednávají, že budou-li pojištěné věci uloženy i mimo uzavřený prostor mimo oplocené prostranství v době pojistné události, poskytne pojistitel plnění, budou-li prokazatelně uzamčeny lankovým nebo řetízkovým zámkem na zamykání jízdních kol k příslušenství budovy nebo ke stavebním součástem budovy, ke stojanům či jinak odolným konstrukcím takovým způsobem, aby ho nebylo možné odcizit, aniž pachatel překonal zámek nebo závažným způsobem rozrušil pevný konstrukční díl samotného předmětu.</w:t>
      </w:r>
    </w:p>
    <w:p w:rsidR="00DA51F0" w:rsidRPr="008D400F" w:rsidRDefault="00DA51F0"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Za uzavřený prostor z hlediska posouzení zabezpečení se bude posuzovat celá budova nebo konkrétní místnost (např. počítačová učebna, kancelář, dílna, laboratoř…). Za uzavřený prostor se zároveň považuje i prostor ze sádrokartonových konstrukcí, sendvičových opláštění, jednoduchých opláštění profilovaným plechem apod.</w:t>
      </w:r>
    </w:p>
    <w:p w:rsidR="009A4AA2" w:rsidRPr="008D400F" w:rsidRDefault="00DA51F0"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 xml:space="preserve">Pro potřeby </w:t>
      </w:r>
      <w:r w:rsidR="003A0F83" w:rsidRPr="008D400F">
        <w:rPr>
          <w:szCs w:val="18"/>
        </w:rPr>
        <w:t>pojištění se</w:t>
      </w:r>
      <w:r w:rsidRPr="008D400F">
        <w:rPr>
          <w:szCs w:val="18"/>
        </w:rPr>
        <w:t xml:space="preserve"> automaty na lístky považují za uzavřený prostor.</w:t>
      </w:r>
    </w:p>
    <w:p w:rsidR="009A4AA2" w:rsidRPr="008D400F" w:rsidRDefault="009A4AA2" w:rsidP="00C2085C">
      <w:pPr>
        <w:numPr>
          <w:ilvl w:val="2"/>
          <w:numId w:val="13"/>
        </w:numPr>
        <w:autoSpaceDE w:val="0"/>
        <w:autoSpaceDN w:val="0"/>
        <w:adjustRightInd w:val="0"/>
        <w:spacing w:before="0" w:line="280" w:lineRule="atLeast"/>
        <w:ind w:left="357" w:hanging="357"/>
        <w:jc w:val="both"/>
        <w:rPr>
          <w:szCs w:val="18"/>
        </w:rPr>
      </w:pPr>
      <w:r w:rsidRPr="008D400F">
        <w:rPr>
          <w:szCs w:val="18"/>
        </w:rPr>
        <w:t>Pojistná nebezpečí dle bodu 3.2 vztahují i na vlastní a cizí:</w:t>
      </w:r>
    </w:p>
    <w:p w:rsidR="009A4AA2" w:rsidRPr="008D400F" w:rsidRDefault="00C2085C" w:rsidP="00C2085C">
      <w:pPr>
        <w:numPr>
          <w:ilvl w:val="0"/>
          <w:numId w:val="14"/>
        </w:numPr>
        <w:spacing w:before="60" w:line="280" w:lineRule="atLeast"/>
        <w:ind w:left="714" w:hanging="357"/>
        <w:jc w:val="both"/>
        <w:rPr>
          <w:szCs w:val="18"/>
        </w:rPr>
      </w:pPr>
      <w:r w:rsidRPr="008D400F">
        <w:rPr>
          <w:szCs w:val="18"/>
        </w:rPr>
        <w:t>v</w:t>
      </w:r>
      <w:r w:rsidR="009A4AA2" w:rsidRPr="008D400F">
        <w:rPr>
          <w:szCs w:val="18"/>
        </w:rPr>
        <w:t xml:space="preserve">ěci městské policie (např. přenosné radary, „botičky“ apod.) včetně věcí používaných ve vozech městské policie. V případě škody způsobené odcizením a vandalismem poskytne pojistitel plnění, budou-li tyto věci a zásoby zabezpečeny v motorovém vozidle následovně: vůz je uzamčen originálním klíčem a je považován za uzamčený prostor. </w:t>
      </w:r>
    </w:p>
    <w:p w:rsidR="009A4AA2" w:rsidRPr="008D400F" w:rsidRDefault="009A4AA2" w:rsidP="00C2085C">
      <w:pPr>
        <w:pStyle w:val="Zkladntext"/>
        <w:numPr>
          <w:ilvl w:val="0"/>
          <w:numId w:val="14"/>
        </w:numPr>
        <w:spacing w:before="60" w:line="280" w:lineRule="atLeast"/>
        <w:ind w:left="714" w:hanging="357"/>
        <w:jc w:val="both"/>
        <w:rPr>
          <w:rFonts w:ascii="Arial" w:hAnsi="Arial"/>
          <w:szCs w:val="18"/>
        </w:rPr>
      </w:pPr>
      <w:r w:rsidRPr="008D400F">
        <w:rPr>
          <w:rFonts w:ascii="Arial" w:hAnsi="Arial"/>
          <w:szCs w:val="18"/>
        </w:rPr>
        <w:t xml:space="preserve">věci zvláštního druhu movitého majetku (knihovní fond, konzervační knihovní fond, historický knihovní fond, sbírky). </w:t>
      </w:r>
    </w:p>
    <w:p w:rsidR="00DA51F0" w:rsidRPr="008D400F" w:rsidRDefault="00740013"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Pojištění se vztahuje i na případ krádeže vloupáním př</w:t>
      </w:r>
      <w:r w:rsidR="0050214B" w:rsidRPr="008D400F">
        <w:rPr>
          <w:szCs w:val="18"/>
        </w:rPr>
        <w:t xml:space="preserve">epravované </w:t>
      </w:r>
      <w:r w:rsidRPr="008D400F">
        <w:rPr>
          <w:szCs w:val="18"/>
        </w:rPr>
        <w:t>mobilní elektroniky z dopravního prostředku</w:t>
      </w:r>
      <w:r w:rsidR="00DC5226">
        <w:rPr>
          <w:szCs w:val="18"/>
        </w:rPr>
        <w:t>.</w:t>
      </w:r>
    </w:p>
    <w:p w:rsidR="00740013" w:rsidRPr="008D400F" w:rsidRDefault="00740013"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Pro místo pojištění mimo území ČR se sjednává limit plnění 100 000 Kč</w:t>
      </w:r>
      <w:r w:rsidR="00DC5226">
        <w:rPr>
          <w:szCs w:val="18"/>
        </w:rPr>
        <w:t>.</w:t>
      </w:r>
    </w:p>
    <w:p w:rsidR="00740013" w:rsidRPr="008D400F" w:rsidRDefault="00740013"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 xml:space="preserve">Právo na pojistné plnění z nebezpečí dle odst. </w:t>
      </w:r>
      <w:proofErr w:type="gramStart"/>
      <w:r w:rsidRPr="008D400F">
        <w:rPr>
          <w:szCs w:val="18"/>
        </w:rPr>
        <w:t xml:space="preserve">3.2., </w:t>
      </w:r>
      <w:proofErr w:type="spellStart"/>
      <w:r w:rsidRPr="008D400F">
        <w:rPr>
          <w:szCs w:val="18"/>
        </w:rPr>
        <w:t>poř</w:t>
      </w:r>
      <w:proofErr w:type="spellEnd"/>
      <w:r w:rsidRPr="008D400F">
        <w:rPr>
          <w:szCs w:val="18"/>
        </w:rPr>
        <w:t>.</w:t>
      </w:r>
      <w:proofErr w:type="gramEnd"/>
      <w:r w:rsidRPr="008D400F">
        <w:rPr>
          <w:szCs w:val="18"/>
        </w:rPr>
        <w:t xml:space="preserve"> č. </w:t>
      </w:r>
      <w:r w:rsidR="005E5452" w:rsidRPr="008D400F">
        <w:rPr>
          <w:szCs w:val="18"/>
        </w:rPr>
        <w:t>4</w:t>
      </w:r>
      <w:r w:rsidR="009B2B04" w:rsidRPr="008D400F">
        <w:rPr>
          <w:szCs w:val="18"/>
        </w:rPr>
        <w:t xml:space="preserve">, </w:t>
      </w:r>
      <w:r w:rsidRPr="008D400F">
        <w:rPr>
          <w:szCs w:val="18"/>
        </w:rPr>
        <w:t xml:space="preserve"> vzniká</w:t>
      </w:r>
      <w:r w:rsidR="009B2B04" w:rsidRPr="008D400F">
        <w:rPr>
          <w:szCs w:val="18"/>
        </w:rPr>
        <w:t xml:space="preserve"> </w:t>
      </w:r>
      <w:r w:rsidRPr="008D400F">
        <w:rPr>
          <w:szCs w:val="18"/>
        </w:rPr>
        <w:t>jen pokud byla škoda hlášena a šetřena policií ČR.</w:t>
      </w:r>
    </w:p>
    <w:p w:rsidR="0050214B" w:rsidRPr="008D400F" w:rsidRDefault="0050214B" w:rsidP="00D963C4">
      <w:pPr>
        <w:numPr>
          <w:ilvl w:val="2"/>
          <w:numId w:val="13"/>
        </w:numPr>
        <w:autoSpaceDE w:val="0"/>
        <w:autoSpaceDN w:val="0"/>
        <w:adjustRightInd w:val="0"/>
        <w:spacing w:before="0" w:after="120" w:line="280" w:lineRule="atLeast"/>
        <w:ind w:left="357" w:hanging="357"/>
        <w:jc w:val="both"/>
        <w:rPr>
          <w:szCs w:val="18"/>
        </w:rPr>
      </w:pPr>
      <w:r w:rsidRPr="008D400F">
        <w:rPr>
          <w:szCs w:val="18"/>
        </w:rPr>
        <w:t xml:space="preserve">Ujednává se odchylný způsob zabezpečení pojištěných věcí: </w:t>
      </w:r>
    </w:p>
    <w:p w:rsidR="0050214B" w:rsidRPr="008D400F" w:rsidRDefault="0050214B" w:rsidP="0050214B">
      <w:pPr>
        <w:autoSpaceDE w:val="0"/>
        <w:autoSpaceDN w:val="0"/>
        <w:adjustRightInd w:val="0"/>
        <w:spacing w:before="0" w:after="120" w:line="280" w:lineRule="atLeast"/>
        <w:ind w:left="357"/>
        <w:jc w:val="both"/>
        <w:rPr>
          <w:szCs w:val="18"/>
        </w:rPr>
      </w:pPr>
      <w:r w:rsidRPr="008D400F">
        <w:rPr>
          <w:szCs w:val="18"/>
        </w:rPr>
        <w:t>Pro veškerý movitý majetek včetně zásob se ujednává, že v případě krádeže, loupeže pojistitel poskytne pojistné plnění v případě, že pachatel překonal překážky nebo opatření chránící předmět pojištění před odcizením. Za minimální zabezpečení se považuje uzamčený prostor s jedním zámkem na vstupech</w:t>
      </w:r>
      <w:r w:rsidR="00C2085C" w:rsidRPr="008D400F">
        <w:rPr>
          <w:szCs w:val="18"/>
        </w:rPr>
        <w:t>.</w:t>
      </w:r>
      <w:r w:rsidRPr="008D400F">
        <w:rPr>
          <w:szCs w:val="18"/>
        </w:rPr>
        <w:t xml:space="preserve"> Pojistitel zároveň akceptuje typy pojištěnými užívaných trezorů z hlediska míry zabezpečení peněžní hotovosti a jiných cenností jako dostačující míru zabezpečení. Způsobem zabezpečení se také rozumí překonání konstrukčního upevnění. </w:t>
      </w:r>
      <w:r w:rsidR="00FA43E7" w:rsidRPr="008D400F">
        <w:rPr>
          <w:szCs w:val="18"/>
        </w:rPr>
        <w:t>U věcí na volném pro</w:t>
      </w:r>
      <w:r w:rsidRPr="008D400F">
        <w:rPr>
          <w:szCs w:val="18"/>
        </w:rPr>
        <w:t xml:space="preserve">stranství </w:t>
      </w:r>
      <w:r w:rsidR="00FA43E7" w:rsidRPr="008D400F">
        <w:rPr>
          <w:szCs w:val="18"/>
        </w:rPr>
        <w:t>se</w:t>
      </w:r>
      <w:r w:rsidRPr="008D400F">
        <w:rPr>
          <w:szCs w:val="18"/>
        </w:rPr>
        <w:t xml:space="preserve"> způsobem zabezpečení také rozumí překážka vytvořená vlastnostmi věci – velká hmotnost, nadměrné rozměry, nutná demontáž apod.</w:t>
      </w:r>
    </w:p>
    <w:p w:rsidR="00FE374D" w:rsidRDefault="00FE374D" w:rsidP="0050214B">
      <w:pPr>
        <w:autoSpaceDE w:val="0"/>
        <w:autoSpaceDN w:val="0"/>
        <w:adjustRightInd w:val="0"/>
        <w:spacing w:before="0" w:after="120" w:line="280" w:lineRule="atLeast"/>
        <w:ind w:left="357"/>
        <w:jc w:val="both"/>
        <w:rPr>
          <w:sz w:val="19"/>
          <w:szCs w:val="19"/>
        </w:rPr>
      </w:pPr>
    </w:p>
    <w:p w:rsidR="008D400F" w:rsidRDefault="008D400F" w:rsidP="0050214B">
      <w:pPr>
        <w:autoSpaceDE w:val="0"/>
        <w:autoSpaceDN w:val="0"/>
        <w:adjustRightInd w:val="0"/>
        <w:spacing w:before="0" w:after="120" w:line="280" w:lineRule="atLeast"/>
        <w:ind w:left="357"/>
        <w:jc w:val="both"/>
        <w:rPr>
          <w:sz w:val="19"/>
          <w:szCs w:val="19"/>
        </w:rPr>
      </w:pPr>
    </w:p>
    <w:p w:rsidR="008D400F" w:rsidRDefault="008D400F" w:rsidP="0050214B">
      <w:pPr>
        <w:autoSpaceDE w:val="0"/>
        <w:autoSpaceDN w:val="0"/>
        <w:adjustRightInd w:val="0"/>
        <w:spacing w:before="0" w:after="120" w:line="280" w:lineRule="atLeast"/>
        <w:ind w:left="357"/>
        <w:jc w:val="both"/>
        <w:rPr>
          <w:sz w:val="19"/>
          <w:szCs w:val="19"/>
        </w:rPr>
      </w:pPr>
    </w:p>
    <w:p w:rsidR="00FE374D" w:rsidRDefault="00222027" w:rsidP="008D400F">
      <w:pPr>
        <w:keepNext/>
        <w:autoSpaceDE w:val="0"/>
        <w:autoSpaceDN w:val="0"/>
        <w:adjustRightInd w:val="0"/>
        <w:spacing w:before="0" w:after="120" w:line="280" w:lineRule="atLeast"/>
        <w:ind w:left="357"/>
        <w:jc w:val="both"/>
        <w:rPr>
          <w:sz w:val="19"/>
          <w:szCs w:val="19"/>
        </w:rPr>
      </w:pPr>
      <w:r>
        <w:rPr>
          <w:sz w:val="19"/>
          <w:szCs w:val="19"/>
        </w:rPr>
        <w:t xml:space="preserve">Tabulka 1: </w:t>
      </w:r>
      <w:r w:rsidR="00FE374D">
        <w:rPr>
          <w:sz w:val="19"/>
          <w:szCs w:val="19"/>
        </w:rPr>
        <w:t>Požadavky na způsob zabezpečení proti odcizení krádeží</w:t>
      </w:r>
      <w:r>
        <w:rPr>
          <w:sz w:val="19"/>
          <w:szCs w:val="19"/>
        </w:rPr>
        <w:t xml:space="preserve"> (movitý majetek)</w:t>
      </w:r>
    </w:p>
    <w:tbl>
      <w:tblPr>
        <w:tblW w:w="5000" w:type="pct"/>
        <w:jc w:val="center"/>
        <w:tblCellMar>
          <w:left w:w="70" w:type="dxa"/>
          <w:right w:w="70" w:type="dxa"/>
        </w:tblCellMar>
        <w:tblLook w:val="0000" w:firstRow="0" w:lastRow="0" w:firstColumn="0" w:lastColumn="0" w:noHBand="0" w:noVBand="0"/>
      </w:tblPr>
      <w:tblGrid>
        <w:gridCol w:w="1161"/>
        <w:gridCol w:w="5590"/>
        <w:gridCol w:w="1229"/>
        <w:gridCol w:w="1230"/>
      </w:tblGrid>
      <w:tr w:rsidR="00FE374D" w:rsidRPr="00CF1314" w:rsidTr="00DC1F87">
        <w:tblPrEx>
          <w:tblCellMar>
            <w:top w:w="0" w:type="dxa"/>
            <w:bottom w:w="0" w:type="dxa"/>
          </w:tblCellMar>
        </w:tblPrEx>
        <w:trPr>
          <w:cantSplit/>
          <w:jc w:val="center"/>
        </w:trPr>
        <w:tc>
          <w:tcPr>
            <w:tcW w:w="630" w:type="pct"/>
            <w:vMerge w:val="restart"/>
            <w:tcBorders>
              <w:top w:val="single" w:sz="12" w:space="0" w:color="auto"/>
              <w:left w:val="single" w:sz="12" w:space="0" w:color="auto"/>
              <w:right w:val="single" w:sz="4" w:space="0" w:color="auto"/>
            </w:tcBorders>
            <w:shd w:val="clear" w:color="auto" w:fill="D9D9D9"/>
            <w:vAlign w:val="center"/>
          </w:tcPr>
          <w:p w:rsidR="00FE374D" w:rsidRPr="00DC1F87" w:rsidRDefault="00FE374D" w:rsidP="00DC1F87">
            <w:pPr>
              <w:jc w:val="center"/>
              <w:rPr>
                <w:bCs/>
                <w:szCs w:val="18"/>
              </w:rPr>
            </w:pPr>
            <w:r w:rsidRPr="00DC1F87">
              <w:rPr>
                <w:bCs/>
                <w:szCs w:val="18"/>
              </w:rPr>
              <w:t>Kód zabezpečení</w:t>
            </w:r>
          </w:p>
        </w:tc>
        <w:tc>
          <w:tcPr>
            <w:tcW w:w="3035" w:type="pct"/>
            <w:vMerge w:val="restart"/>
            <w:tcBorders>
              <w:top w:val="single" w:sz="12" w:space="0" w:color="auto"/>
              <w:left w:val="single" w:sz="4" w:space="0" w:color="auto"/>
              <w:right w:val="single" w:sz="4" w:space="0" w:color="auto"/>
            </w:tcBorders>
            <w:shd w:val="clear" w:color="auto" w:fill="D9D9D9"/>
            <w:vAlign w:val="center"/>
          </w:tcPr>
          <w:p w:rsidR="00FE374D" w:rsidRPr="00DC1F87" w:rsidRDefault="00FE374D" w:rsidP="00DC1F87">
            <w:pPr>
              <w:jc w:val="center"/>
              <w:rPr>
                <w:bCs/>
                <w:szCs w:val="18"/>
              </w:rPr>
            </w:pPr>
            <w:r w:rsidRPr="00DC1F87">
              <w:rPr>
                <w:bCs/>
                <w:szCs w:val="18"/>
              </w:rPr>
              <w:t>Zabezpečení uzamčeného prostoru</w:t>
            </w:r>
          </w:p>
        </w:tc>
        <w:tc>
          <w:tcPr>
            <w:tcW w:w="1335" w:type="pct"/>
            <w:gridSpan w:val="2"/>
            <w:tcBorders>
              <w:top w:val="single" w:sz="12" w:space="0" w:color="auto"/>
              <w:left w:val="single" w:sz="4" w:space="0" w:color="auto"/>
              <w:bottom w:val="single" w:sz="4" w:space="0" w:color="auto"/>
              <w:right w:val="single" w:sz="12" w:space="0" w:color="auto"/>
            </w:tcBorders>
            <w:shd w:val="clear" w:color="auto" w:fill="D9D9D9"/>
          </w:tcPr>
          <w:p w:rsidR="00FE374D" w:rsidRPr="00DC1F87" w:rsidRDefault="00FE374D" w:rsidP="00DC1F87">
            <w:pPr>
              <w:jc w:val="center"/>
              <w:rPr>
                <w:bCs/>
                <w:szCs w:val="18"/>
              </w:rPr>
            </w:pPr>
            <w:r w:rsidRPr="00DC1F87">
              <w:rPr>
                <w:bCs/>
                <w:szCs w:val="18"/>
              </w:rPr>
              <w:t>Limity plnění (v Kč):</w:t>
            </w:r>
          </w:p>
        </w:tc>
      </w:tr>
      <w:tr w:rsidR="00FE374D" w:rsidRPr="00CF1314" w:rsidTr="00DC1F87">
        <w:tblPrEx>
          <w:tblCellMar>
            <w:top w:w="0" w:type="dxa"/>
            <w:bottom w:w="0" w:type="dxa"/>
          </w:tblCellMar>
        </w:tblPrEx>
        <w:trPr>
          <w:cantSplit/>
          <w:jc w:val="center"/>
        </w:trPr>
        <w:tc>
          <w:tcPr>
            <w:tcW w:w="630" w:type="pct"/>
            <w:vMerge/>
            <w:tcBorders>
              <w:left w:val="single" w:sz="12" w:space="0" w:color="auto"/>
              <w:bottom w:val="single" w:sz="12" w:space="0" w:color="auto"/>
              <w:right w:val="single" w:sz="4" w:space="0" w:color="auto"/>
            </w:tcBorders>
            <w:shd w:val="clear" w:color="auto" w:fill="D9D9D9"/>
            <w:vAlign w:val="center"/>
          </w:tcPr>
          <w:p w:rsidR="00FE374D" w:rsidRPr="00DC1F87" w:rsidRDefault="00FE374D" w:rsidP="00DC1F87">
            <w:pPr>
              <w:jc w:val="center"/>
              <w:rPr>
                <w:bCs/>
                <w:szCs w:val="18"/>
              </w:rPr>
            </w:pPr>
          </w:p>
        </w:tc>
        <w:tc>
          <w:tcPr>
            <w:tcW w:w="3035" w:type="pct"/>
            <w:vMerge/>
            <w:tcBorders>
              <w:left w:val="single" w:sz="4" w:space="0" w:color="auto"/>
              <w:bottom w:val="single" w:sz="12" w:space="0" w:color="auto"/>
              <w:right w:val="single" w:sz="4" w:space="0" w:color="auto"/>
            </w:tcBorders>
            <w:shd w:val="clear" w:color="auto" w:fill="D9D9D9"/>
            <w:vAlign w:val="center"/>
          </w:tcPr>
          <w:p w:rsidR="00FE374D" w:rsidRPr="00DC1F87" w:rsidRDefault="00FE374D" w:rsidP="00DC1F87">
            <w:pPr>
              <w:jc w:val="center"/>
              <w:rPr>
                <w:bCs/>
                <w:szCs w:val="18"/>
              </w:rPr>
            </w:pPr>
          </w:p>
        </w:tc>
        <w:tc>
          <w:tcPr>
            <w:tcW w:w="667" w:type="pct"/>
            <w:tcBorders>
              <w:top w:val="single" w:sz="4" w:space="0" w:color="auto"/>
              <w:left w:val="single" w:sz="4" w:space="0" w:color="auto"/>
              <w:bottom w:val="single" w:sz="12" w:space="0" w:color="auto"/>
              <w:right w:val="single" w:sz="4" w:space="0" w:color="auto"/>
            </w:tcBorders>
            <w:shd w:val="clear" w:color="auto" w:fill="D9D9D9"/>
          </w:tcPr>
          <w:p w:rsidR="00FE374D" w:rsidRPr="00DC1F87" w:rsidRDefault="00FE374D" w:rsidP="00DC1F87">
            <w:pPr>
              <w:jc w:val="center"/>
              <w:rPr>
                <w:bCs/>
                <w:szCs w:val="18"/>
              </w:rPr>
            </w:pPr>
          </w:p>
        </w:tc>
        <w:tc>
          <w:tcPr>
            <w:tcW w:w="668" w:type="pct"/>
            <w:tcBorders>
              <w:top w:val="single" w:sz="4" w:space="0" w:color="auto"/>
              <w:left w:val="single" w:sz="4" w:space="0" w:color="auto"/>
              <w:bottom w:val="single" w:sz="12" w:space="0" w:color="auto"/>
              <w:right w:val="single" w:sz="12" w:space="0" w:color="auto"/>
            </w:tcBorders>
            <w:shd w:val="clear" w:color="auto" w:fill="D9D9D9"/>
          </w:tcPr>
          <w:p w:rsidR="00FE374D" w:rsidRPr="00DC1F87" w:rsidRDefault="00FE374D" w:rsidP="00DC1F87">
            <w:pPr>
              <w:jc w:val="center"/>
              <w:rPr>
                <w:bCs/>
                <w:szCs w:val="18"/>
              </w:rPr>
            </w:pPr>
            <w:r w:rsidRPr="00DC1F87">
              <w:rPr>
                <w:bCs/>
                <w:szCs w:val="18"/>
              </w:rPr>
              <w:t>EZS nebo fyzická ostraha</w:t>
            </w:r>
          </w:p>
        </w:tc>
      </w:tr>
      <w:tr w:rsidR="00FE374D" w:rsidRPr="00CF1314" w:rsidTr="00DC1F87">
        <w:tblPrEx>
          <w:tblCellMar>
            <w:top w:w="0" w:type="dxa"/>
            <w:bottom w:w="0" w:type="dxa"/>
          </w:tblCellMar>
        </w:tblPrEx>
        <w:trPr>
          <w:cantSplit/>
          <w:jc w:val="center"/>
        </w:trPr>
        <w:tc>
          <w:tcPr>
            <w:tcW w:w="630" w:type="pct"/>
            <w:tcBorders>
              <w:top w:val="single" w:sz="12" w:space="0" w:color="auto"/>
              <w:left w:val="single" w:sz="12" w:space="0" w:color="auto"/>
              <w:bottom w:val="single" w:sz="12" w:space="0" w:color="auto"/>
              <w:right w:val="single" w:sz="4" w:space="0" w:color="auto"/>
            </w:tcBorders>
            <w:vAlign w:val="center"/>
          </w:tcPr>
          <w:p w:rsidR="00FE374D" w:rsidRPr="00DC1F87" w:rsidRDefault="00FE374D" w:rsidP="00DC1F87">
            <w:pPr>
              <w:jc w:val="center"/>
              <w:rPr>
                <w:bCs/>
                <w:szCs w:val="18"/>
              </w:rPr>
            </w:pPr>
            <w:r w:rsidRPr="00DC1F87">
              <w:rPr>
                <w:bCs/>
                <w:szCs w:val="18"/>
              </w:rPr>
              <w:t>O0</w:t>
            </w:r>
          </w:p>
        </w:tc>
        <w:tc>
          <w:tcPr>
            <w:tcW w:w="3035" w:type="pct"/>
            <w:tcBorders>
              <w:top w:val="single" w:sz="12" w:space="0" w:color="auto"/>
              <w:left w:val="single" w:sz="4" w:space="0" w:color="auto"/>
              <w:bottom w:val="single" w:sz="12" w:space="0" w:color="auto"/>
              <w:right w:val="single" w:sz="4" w:space="0" w:color="auto"/>
            </w:tcBorders>
            <w:vAlign w:val="center"/>
          </w:tcPr>
          <w:p w:rsidR="00FE374D" w:rsidRPr="00DC1F87" w:rsidRDefault="00FE374D" w:rsidP="00FE374D">
            <w:pPr>
              <w:rPr>
                <w:bCs/>
                <w:szCs w:val="18"/>
              </w:rPr>
            </w:pPr>
            <w:r w:rsidRPr="00DC1F87">
              <w:rPr>
                <w:szCs w:val="18"/>
              </w:rPr>
              <w:t>Všechny vstupní dveře jsou uzamčeny</w:t>
            </w:r>
            <w:r w:rsidRPr="00DC1F87">
              <w:rPr>
                <w:bCs/>
                <w:szCs w:val="18"/>
              </w:rPr>
              <w:t xml:space="preserve"> a okna jsou uzavřena.</w:t>
            </w:r>
          </w:p>
        </w:tc>
        <w:tc>
          <w:tcPr>
            <w:tcW w:w="667" w:type="pct"/>
            <w:tcBorders>
              <w:top w:val="single" w:sz="12" w:space="0" w:color="auto"/>
              <w:left w:val="single" w:sz="4" w:space="0" w:color="auto"/>
              <w:bottom w:val="single" w:sz="12" w:space="0" w:color="auto"/>
              <w:right w:val="single" w:sz="4" w:space="0" w:color="auto"/>
            </w:tcBorders>
            <w:vAlign w:val="center"/>
          </w:tcPr>
          <w:p w:rsidR="00FE374D" w:rsidRPr="00DC1F87" w:rsidRDefault="00FE374D" w:rsidP="00DC1F87">
            <w:pPr>
              <w:jc w:val="center"/>
              <w:rPr>
                <w:bCs/>
                <w:szCs w:val="18"/>
              </w:rPr>
            </w:pPr>
            <w:r w:rsidRPr="00DC1F87">
              <w:rPr>
                <w:bCs/>
                <w:szCs w:val="18"/>
              </w:rPr>
              <w:t>200 000</w:t>
            </w:r>
          </w:p>
        </w:tc>
        <w:tc>
          <w:tcPr>
            <w:tcW w:w="668" w:type="pct"/>
            <w:tcBorders>
              <w:top w:val="single" w:sz="12" w:space="0" w:color="auto"/>
              <w:left w:val="single" w:sz="4" w:space="0" w:color="auto"/>
              <w:bottom w:val="single" w:sz="12" w:space="0" w:color="auto"/>
              <w:right w:val="single" w:sz="12" w:space="0" w:color="auto"/>
            </w:tcBorders>
            <w:vAlign w:val="center"/>
          </w:tcPr>
          <w:p w:rsidR="00FE374D" w:rsidRPr="00DC1F87" w:rsidRDefault="00FE374D" w:rsidP="00DC1F87">
            <w:pPr>
              <w:jc w:val="center"/>
              <w:rPr>
                <w:bCs/>
                <w:szCs w:val="18"/>
              </w:rPr>
            </w:pPr>
            <w:r w:rsidRPr="00DC1F87">
              <w:rPr>
                <w:bCs/>
                <w:szCs w:val="18"/>
              </w:rPr>
              <w:t>500 000</w:t>
            </w:r>
          </w:p>
        </w:tc>
      </w:tr>
      <w:tr w:rsidR="00FE374D" w:rsidRPr="00CF1314" w:rsidTr="00FE374D">
        <w:tblPrEx>
          <w:tblCellMar>
            <w:top w:w="0" w:type="dxa"/>
            <w:bottom w:w="0" w:type="dxa"/>
          </w:tblCellMar>
        </w:tblPrEx>
        <w:trPr>
          <w:cantSplit/>
          <w:jc w:val="center"/>
        </w:trPr>
        <w:tc>
          <w:tcPr>
            <w:tcW w:w="630" w:type="pct"/>
            <w:vMerge w:val="restart"/>
            <w:tcBorders>
              <w:top w:val="single" w:sz="12" w:space="0" w:color="auto"/>
              <w:left w:val="single" w:sz="12" w:space="0" w:color="auto"/>
              <w:right w:val="single" w:sz="4" w:space="0" w:color="auto"/>
            </w:tcBorders>
            <w:vAlign w:val="center"/>
          </w:tcPr>
          <w:p w:rsidR="00FE374D" w:rsidRPr="00CF1314" w:rsidRDefault="00FE374D" w:rsidP="00DC1F87">
            <w:pPr>
              <w:jc w:val="center"/>
              <w:rPr>
                <w:bCs/>
                <w:szCs w:val="18"/>
              </w:rPr>
            </w:pPr>
            <w:r w:rsidRPr="00CF1314">
              <w:rPr>
                <w:bCs/>
                <w:szCs w:val="18"/>
              </w:rPr>
              <w:t>O1</w:t>
            </w:r>
          </w:p>
        </w:tc>
        <w:tc>
          <w:tcPr>
            <w:tcW w:w="3035" w:type="pct"/>
            <w:tcBorders>
              <w:top w:val="single" w:sz="12" w:space="0" w:color="auto"/>
              <w:left w:val="single" w:sz="4" w:space="0" w:color="auto"/>
              <w:bottom w:val="dotted" w:sz="4" w:space="0" w:color="auto"/>
              <w:right w:val="single" w:sz="4" w:space="0" w:color="auto"/>
            </w:tcBorders>
          </w:tcPr>
          <w:p w:rsidR="00FE374D" w:rsidRPr="00CF1314" w:rsidRDefault="00FE374D" w:rsidP="00FE374D">
            <w:pPr>
              <w:rPr>
                <w:bCs/>
                <w:szCs w:val="18"/>
              </w:rPr>
            </w:pPr>
            <w:r w:rsidRPr="00CF1314">
              <w:rPr>
                <w:bCs/>
                <w:szCs w:val="18"/>
              </w:rPr>
              <w:t xml:space="preserve">Dveře jsou uzamčeny zámkem s cylindrickou vložkou v BT 3 dle ČSN EN 1627, nebo cylindrickou vložkou s překrytým profilem nebo se zvýšenou odolností proti vyhmatání. </w:t>
            </w:r>
          </w:p>
        </w:tc>
        <w:tc>
          <w:tcPr>
            <w:tcW w:w="667" w:type="pct"/>
            <w:vMerge w:val="restart"/>
            <w:tcBorders>
              <w:top w:val="single" w:sz="12" w:space="0" w:color="auto"/>
              <w:left w:val="single" w:sz="4" w:space="0" w:color="auto"/>
              <w:right w:val="single" w:sz="4" w:space="0" w:color="auto"/>
            </w:tcBorders>
            <w:vAlign w:val="center"/>
          </w:tcPr>
          <w:p w:rsidR="00FE374D" w:rsidRPr="00CF1314" w:rsidRDefault="00FE374D" w:rsidP="00DC1F87">
            <w:pPr>
              <w:jc w:val="center"/>
              <w:rPr>
                <w:bCs/>
                <w:szCs w:val="18"/>
              </w:rPr>
            </w:pPr>
            <w:r>
              <w:rPr>
                <w:bCs/>
                <w:szCs w:val="18"/>
              </w:rPr>
              <w:t>4</w:t>
            </w:r>
            <w:r w:rsidRPr="00CF1314">
              <w:rPr>
                <w:bCs/>
                <w:szCs w:val="18"/>
              </w:rPr>
              <w:t>00 000</w:t>
            </w:r>
          </w:p>
        </w:tc>
        <w:tc>
          <w:tcPr>
            <w:tcW w:w="668" w:type="pct"/>
            <w:vMerge w:val="restart"/>
            <w:tcBorders>
              <w:top w:val="single" w:sz="12" w:space="0" w:color="auto"/>
              <w:left w:val="single" w:sz="4" w:space="0" w:color="auto"/>
              <w:right w:val="single" w:sz="12" w:space="0" w:color="auto"/>
            </w:tcBorders>
            <w:vAlign w:val="center"/>
          </w:tcPr>
          <w:p w:rsidR="00FE374D" w:rsidRPr="00CF1314" w:rsidRDefault="00FE374D" w:rsidP="00DC1F87">
            <w:pPr>
              <w:jc w:val="center"/>
              <w:rPr>
                <w:bCs/>
                <w:szCs w:val="18"/>
              </w:rPr>
            </w:pPr>
            <w:r w:rsidRPr="00CF1314">
              <w:rPr>
                <w:bCs/>
                <w:szCs w:val="18"/>
              </w:rPr>
              <w:t>1 000 000</w:t>
            </w:r>
          </w:p>
        </w:tc>
      </w:tr>
      <w:tr w:rsidR="00FE374D" w:rsidRPr="00CF1314" w:rsidTr="00FE374D">
        <w:tblPrEx>
          <w:tblCellMar>
            <w:top w:w="0" w:type="dxa"/>
            <w:bottom w:w="0" w:type="dxa"/>
          </w:tblCellMar>
        </w:tblPrEx>
        <w:trPr>
          <w:cantSplit/>
          <w:jc w:val="center"/>
        </w:trPr>
        <w:tc>
          <w:tcPr>
            <w:tcW w:w="630" w:type="pct"/>
            <w:vMerge/>
            <w:tcBorders>
              <w:left w:val="single" w:sz="12" w:space="0" w:color="auto"/>
              <w:right w:val="single" w:sz="4" w:space="0" w:color="auto"/>
            </w:tcBorders>
            <w:vAlign w:val="center"/>
          </w:tcPr>
          <w:p w:rsidR="00FE374D" w:rsidRPr="00CF1314" w:rsidRDefault="00FE374D" w:rsidP="00DC1F87">
            <w:pPr>
              <w:jc w:val="center"/>
              <w:rPr>
                <w:bCs/>
                <w:szCs w:val="18"/>
              </w:rPr>
            </w:pPr>
          </w:p>
        </w:tc>
        <w:tc>
          <w:tcPr>
            <w:tcW w:w="3035" w:type="pct"/>
            <w:tcBorders>
              <w:top w:val="dotted" w:sz="4" w:space="0" w:color="auto"/>
              <w:left w:val="single" w:sz="4" w:space="0" w:color="auto"/>
              <w:bottom w:val="dotted" w:sz="4" w:space="0" w:color="auto"/>
              <w:right w:val="single" w:sz="4" w:space="0" w:color="auto"/>
            </w:tcBorders>
          </w:tcPr>
          <w:p w:rsidR="00FE374D" w:rsidRPr="00CF1314" w:rsidRDefault="00FE374D" w:rsidP="00FE374D">
            <w:pPr>
              <w:rPr>
                <w:bCs/>
                <w:szCs w:val="18"/>
              </w:rPr>
            </w:pPr>
            <w:r>
              <w:rPr>
                <w:bCs/>
                <w:szCs w:val="18"/>
              </w:rPr>
              <w:t>Nebo jsou dveře</w:t>
            </w:r>
            <w:r w:rsidRPr="00CF1314">
              <w:rPr>
                <w:bCs/>
                <w:szCs w:val="18"/>
              </w:rPr>
              <w:t xml:space="preserve"> uzamčeny visacím zámkem </w:t>
            </w:r>
            <w:r>
              <w:rPr>
                <w:bCs/>
                <w:szCs w:val="18"/>
              </w:rPr>
              <w:t xml:space="preserve">s tvrzeným třmenem a </w:t>
            </w:r>
            <w:r w:rsidRPr="00CF1314">
              <w:rPr>
                <w:bCs/>
                <w:szCs w:val="18"/>
              </w:rPr>
              <w:t>cylindrickou vložkou</w:t>
            </w:r>
            <w:r>
              <w:rPr>
                <w:bCs/>
                <w:szCs w:val="18"/>
              </w:rPr>
              <w:t xml:space="preserve"> (za postačující se považuje visací zámek</w:t>
            </w:r>
            <w:r w:rsidRPr="00CF1314">
              <w:rPr>
                <w:bCs/>
                <w:szCs w:val="18"/>
              </w:rPr>
              <w:t xml:space="preserve"> BT </w:t>
            </w:r>
            <w:r>
              <w:rPr>
                <w:bCs/>
                <w:szCs w:val="18"/>
              </w:rPr>
              <w:t>2</w:t>
            </w:r>
            <w:r w:rsidRPr="00CF1314">
              <w:rPr>
                <w:bCs/>
                <w:szCs w:val="18"/>
              </w:rPr>
              <w:t xml:space="preserve"> ČSN EN 1627</w:t>
            </w:r>
            <w:r>
              <w:rPr>
                <w:bCs/>
                <w:szCs w:val="18"/>
              </w:rPr>
              <w:t>.</w:t>
            </w:r>
          </w:p>
        </w:tc>
        <w:tc>
          <w:tcPr>
            <w:tcW w:w="667" w:type="pct"/>
            <w:vMerge/>
            <w:tcBorders>
              <w:left w:val="single" w:sz="4" w:space="0" w:color="auto"/>
              <w:right w:val="single" w:sz="4" w:space="0" w:color="auto"/>
            </w:tcBorders>
            <w:vAlign w:val="center"/>
          </w:tcPr>
          <w:p w:rsidR="00FE374D" w:rsidRPr="00CF1314" w:rsidRDefault="00FE374D" w:rsidP="00DC1F87">
            <w:pPr>
              <w:jc w:val="center"/>
              <w:rPr>
                <w:bCs/>
                <w:szCs w:val="18"/>
              </w:rPr>
            </w:pPr>
          </w:p>
        </w:tc>
        <w:tc>
          <w:tcPr>
            <w:tcW w:w="668" w:type="pct"/>
            <w:vMerge/>
            <w:tcBorders>
              <w:left w:val="single" w:sz="4" w:space="0" w:color="auto"/>
              <w:right w:val="single" w:sz="12" w:space="0" w:color="auto"/>
            </w:tcBorders>
            <w:vAlign w:val="center"/>
          </w:tcPr>
          <w:p w:rsidR="00FE374D" w:rsidRPr="00CF1314" w:rsidRDefault="00FE374D" w:rsidP="00DC1F87">
            <w:pPr>
              <w:jc w:val="center"/>
              <w:rPr>
                <w:bCs/>
                <w:szCs w:val="18"/>
              </w:rPr>
            </w:pPr>
          </w:p>
        </w:tc>
      </w:tr>
      <w:tr w:rsidR="00FE374D" w:rsidRPr="00CF1314" w:rsidTr="00FE374D">
        <w:tblPrEx>
          <w:tblCellMar>
            <w:top w:w="0" w:type="dxa"/>
            <w:bottom w:w="0" w:type="dxa"/>
          </w:tblCellMar>
        </w:tblPrEx>
        <w:trPr>
          <w:cantSplit/>
          <w:jc w:val="center"/>
        </w:trPr>
        <w:tc>
          <w:tcPr>
            <w:tcW w:w="630" w:type="pct"/>
            <w:vMerge/>
            <w:tcBorders>
              <w:left w:val="single" w:sz="12" w:space="0" w:color="auto"/>
              <w:bottom w:val="single" w:sz="12" w:space="0" w:color="auto"/>
              <w:right w:val="single" w:sz="4" w:space="0" w:color="auto"/>
            </w:tcBorders>
            <w:vAlign w:val="center"/>
          </w:tcPr>
          <w:p w:rsidR="00FE374D" w:rsidRPr="00CF1314" w:rsidRDefault="00FE374D" w:rsidP="00DC1F87">
            <w:pPr>
              <w:jc w:val="center"/>
              <w:rPr>
                <w:bCs/>
                <w:szCs w:val="18"/>
              </w:rPr>
            </w:pPr>
          </w:p>
        </w:tc>
        <w:tc>
          <w:tcPr>
            <w:tcW w:w="3035" w:type="pct"/>
            <w:tcBorders>
              <w:top w:val="dotted" w:sz="4" w:space="0" w:color="auto"/>
              <w:left w:val="single" w:sz="4" w:space="0" w:color="auto"/>
              <w:bottom w:val="single" w:sz="12" w:space="0" w:color="auto"/>
              <w:right w:val="single" w:sz="4" w:space="0" w:color="auto"/>
            </w:tcBorders>
          </w:tcPr>
          <w:p w:rsidR="00FE374D" w:rsidRPr="00CF1314" w:rsidRDefault="00FE374D" w:rsidP="00FE374D">
            <w:pPr>
              <w:rPr>
                <w:bCs/>
                <w:szCs w:val="18"/>
              </w:rPr>
            </w:pPr>
            <w:r w:rsidRPr="00CF1314">
              <w:rPr>
                <w:bCs/>
                <w:szCs w:val="18"/>
              </w:rPr>
              <w:t>Prosklené plochy nejsou mechanicky zabezpečeny</w:t>
            </w:r>
            <w:r w:rsidR="00471C57">
              <w:rPr>
                <w:bCs/>
                <w:szCs w:val="18"/>
              </w:rPr>
              <w:t>,</w:t>
            </w:r>
            <w:r>
              <w:rPr>
                <w:bCs/>
                <w:szCs w:val="18"/>
              </w:rPr>
              <w:t xml:space="preserve"> </w:t>
            </w:r>
            <w:r w:rsidRPr="00751EB1">
              <w:rPr>
                <w:bCs/>
                <w:szCs w:val="18"/>
              </w:rPr>
              <w:t>okna jsou uzavřena</w:t>
            </w:r>
            <w:r>
              <w:rPr>
                <w:bCs/>
                <w:szCs w:val="18"/>
              </w:rPr>
              <w:t>.</w:t>
            </w:r>
          </w:p>
        </w:tc>
        <w:tc>
          <w:tcPr>
            <w:tcW w:w="667" w:type="pct"/>
            <w:vMerge/>
            <w:tcBorders>
              <w:left w:val="single" w:sz="4" w:space="0" w:color="auto"/>
              <w:bottom w:val="single" w:sz="12" w:space="0" w:color="auto"/>
              <w:right w:val="single" w:sz="4" w:space="0" w:color="auto"/>
            </w:tcBorders>
          </w:tcPr>
          <w:p w:rsidR="00FE374D" w:rsidRPr="00CF1314" w:rsidRDefault="00FE374D" w:rsidP="00DC1F87">
            <w:pPr>
              <w:jc w:val="center"/>
              <w:rPr>
                <w:bCs/>
                <w:szCs w:val="18"/>
              </w:rPr>
            </w:pPr>
          </w:p>
        </w:tc>
        <w:tc>
          <w:tcPr>
            <w:tcW w:w="668" w:type="pct"/>
            <w:vMerge/>
            <w:tcBorders>
              <w:left w:val="single" w:sz="4" w:space="0" w:color="auto"/>
              <w:bottom w:val="single" w:sz="12" w:space="0" w:color="auto"/>
              <w:right w:val="single" w:sz="12" w:space="0" w:color="auto"/>
            </w:tcBorders>
          </w:tcPr>
          <w:p w:rsidR="00FE374D" w:rsidRPr="00CF1314" w:rsidRDefault="00FE374D" w:rsidP="00DC1F87">
            <w:pPr>
              <w:jc w:val="center"/>
              <w:rPr>
                <w:bCs/>
                <w:szCs w:val="18"/>
              </w:rPr>
            </w:pPr>
          </w:p>
        </w:tc>
      </w:tr>
      <w:tr w:rsidR="00FE374D" w:rsidRPr="00CF1314" w:rsidTr="00FE374D">
        <w:tblPrEx>
          <w:tblCellMar>
            <w:top w:w="0" w:type="dxa"/>
            <w:bottom w:w="0" w:type="dxa"/>
          </w:tblCellMar>
        </w:tblPrEx>
        <w:trPr>
          <w:cantSplit/>
          <w:jc w:val="center"/>
        </w:trPr>
        <w:tc>
          <w:tcPr>
            <w:tcW w:w="630" w:type="pct"/>
            <w:vMerge w:val="restart"/>
            <w:tcBorders>
              <w:top w:val="single" w:sz="12" w:space="0" w:color="auto"/>
              <w:left w:val="single" w:sz="12" w:space="0" w:color="auto"/>
              <w:right w:val="single" w:sz="4" w:space="0" w:color="auto"/>
            </w:tcBorders>
            <w:vAlign w:val="center"/>
          </w:tcPr>
          <w:p w:rsidR="00FE374D" w:rsidRPr="00CF1314" w:rsidRDefault="00FE374D" w:rsidP="00DC1F87">
            <w:pPr>
              <w:jc w:val="center"/>
              <w:rPr>
                <w:bCs/>
                <w:szCs w:val="18"/>
              </w:rPr>
            </w:pPr>
            <w:r w:rsidRPr="00CF1314">
              <w:rPr>
                <w:bCs/>
                <w:szCs w:val="18"/>
              </w:rPr>
              <w:t>O2</w:t>
            </w:r>
          </w:p>
        </w:tc>
        <w:tc>
          <w:tcPr>
            <w:tcW w:w="3035" w:type="pct"/>
            <w:tcBorders>
              <w:top w:val="single" w:sz="12" w:space="0" w:color="auto"/>
              <w:left w:val="single" w:sz="4" w:space="0" w:color="auto"/>
              <w:bottom w:val="dotted" w:sz="4" w:space="0" w:color="auto"/>
              <w:right w:val="single" w:sz="4" w:space="0" w:color="auto"/>
            </w:tcBorders>
          </w:tcPr>
          <w:p w:rsidR="00FE374D" w:rsidRPr="00CF1314" w:rsidRDefault="00FE374D" w:rsidP="00FE374D">
            <w:pPr>
              <w:rPr>
                <w:bCs/>
                <w:szCs w:val="18"/>
              </w:rPr>
            </w:pPr>
            <w:proofErr w:type="gramStart"/>
            <w:r>
              <w:rPr>
                <w:bCs/>
                <w:szCs w:val="18"/>
              </w:rPr>
              <w:t xml:space="preserve">Dveře </w:t>
            </w:r>
            <w:r w:rsidRPr="00CF1314">
              <w:rPr>
                <w:bCs/>
                <w:szCs w:val="18"/>
              </w:rPr>
              <w:t xml:space="preserve"> jsou</w:t>
            </w:r>
            <w:proofErr w:type="gramEnd"/>
            <w:r w:rsidRPr="00CF1314">
              <w:rPr>
                <w:bCs/>
                <w:szCs w:val="18"/>
              </w:rPr>
              <w:t xml:space="preserve"> uzamčeny bezpečnostním uzamykacím systémem min. v BT 3 ČSN EN 1627</w:t>
            </w:r>
            <w:r w:rsidRPr="00CF1314">
              <w:rPr>
                <w:szCs w:val="18"/>
              </w:rPr>
              <w:t>, nebo jsou dveře uzamčeny uzamykacím systémem  - komplet tvořící cylindrická vložka a kování zajišťující zvýšenou odolnost proti překonání cylindrické vložky vyhmatáním, rozlomením, vytržením a odvrtáním</w:t>
            </w:r>
            <w:r w:rsidR="00471C57">
              <w:rPr>
                <w:szCs w:val="18"/>
              </w:rPr>
              <w:t>.</w:t>
            </w:r>
          </w:p>
        </w:tc>
        <w:tc>
          <w:tcPr>
            <w:tcW w:w="667" w:type="pct"/>
            <w:vMerge w:val="restart"/>
            <w:tcBorders>
              <w:top w:val="single" w:sz="12" w:space="0" w:color="auto"/>
              <w:left w:val="single" w:sz="4" w:space="0" w:color="auto"/>
              <w:right w:val="single" w:sz="4" w:space="0" w:color="auto"/>
            </w:tcBorders>
            <w:vAlign w:val="center"/>
          </w:tcPr>
          <w:p w:rsidR="00FE374D" w:rsidRPr="00CF1314" w:rsidRDefault="00FE374D" w:rsidP="00DC1F87">
            <w:pPr>
              <w:jc w:val="center"/>
              <w:rPr>
                <w:bCs/>
                <w:szCs w:val="18"/>
              </w:rPr>
            </w:pPr>
            <w:r>
              <w:rPr>
                <w:bCs/>
                <w:szCs w:val="18"/>
              </w:rPr>
              <w:t>6</w:t>
            </w:r>
            <w:r w:rsidRPr="00CF1314">
              <w:rPr>
                <w:bCs/>
                <w:szCs w:val="18"/>
              </w:rPr>
              <w:t>00 000</w:t>
            </w:r>
          </w:p>
        </w:tc>
        <w:tc>
          <w:tcPr>
            <w:tcW w:w="668" w:type="pct"/>
            <w:vMerge w:val="restart"/>
            <w:tcBorders>
              <w:top w:val="single" w:sz="12" w:space="0" w:color="auto"/>
              <w:left w:val="single" w:sz="4" w:space="0" w:color="auto"/>
              <w:right w:val="single" w:sz="12" w:space="0" w:color="auto"/>
            </w:tcBorders>
            <w:vAlign w:val="center"/>
          </w:tcPr>
          <w:p w:rsidR="00FE374D" w:rsidRPr="00CF1314" w:rsidRDefault="00FE374D" w:rsidP="00DC1F87">
            <w:pPr>
              <w:jc w:val="center"/>
              <w:rPr>
                <w:bCs/>
                <w:szCs w:val="18"/>
              </w:rPr>
            </w:pPr>
            <w:r>
              <w:rPr>
                <w:bCs/>
                <w:szCs w:val="18"/>
              </w:rPr>
              <w:t>5</w:t>
            </w:r>
            <w:r w:rsidRPr="00CF1314">
              <w:rPr>
                <w:bCs/>
                <w:szCs w:val="18"/>
              </w:rPr>
              <w:t xml:space="preserve"> 000 000</w:t>
            </w:r>
          </w:p>
        </w:tc>
      </w:tr>
      <w:tr w:rsidR="00FE374D" w:rsidRPr="00CF1314" w:rsidTr="00FE374D">
        <w:tblPrEx>
          <w:tblCellMar>
            <w:top w:w="0" w:type="dxa"/>
            <w:bottom w:w="0" w:type="dxa"/>
          </w:tblCellMar>
        </w:tblPrEx>
        <w:trPr>
          <w:cantSplit/>
          <w:jc w:val="center"/>
        </w:trPr>
        <w:tc>
          <w:tcPr>
            <w:tcW w:w="630" w:type="pct"/>
            <w:vMerge/>
            <w:tcBorders>
              <w:left w:val="single" w:sz="12" w:space="0" w:color="auto"/>
              <w:right w:val="single" w:sz="4" w:space="0" w:color="auto"/>
            </w:tcBorders>
            <w:vAlign w:val="center"/>
          </w:tcPr>
          <w:p w:rsidR="00FE374D" w:rsidRPr="00CF1314" w:rsidRDefault="00FE374D" w:rsidP="00DC1F87">
            <w:pPr>
              <w:jc w:val="center"/>
              <w:rPr>
                <w:bCs/>
                <w:szCs w:val="18"/>
              </w:rPr>
            </w:pPr>
          </w:p>
        </w:tc>
        <w:tc>
          <w:tcPr>
            <w:tcW w:w="3035" w:type="pct"/>
            <w:tcBorders>
              <w:top w:val="dotted" w:sz="4" w:space="0" w:color="auto"/>
              <w:left w:val="single" w:sz="4" w:space="0" w:color="auto"/>
              <w:bottom w:val="dotted" w:sz="4" w:space="0" w:color="auto"/>
              <w:right w:val="single" w:sz="4" w:space="0" w:color="auto"/>
            </w:tcBorders>
          </w:tcPr>
          <w:p w:rsidR="00FE374D" w:rsidRPr="00CF1314" w:rsidRDefault="00FE374D" w:rsidP="00FE374D">
            <w:pPr>
              <w:rPr>
                <w:bCs/>
                <w:szCs w:val="18"/>
              </w:rPr>
            </w:pPr>
            <w:r>
              <w:rPr>
                <w:bCs/>
                <w:szCs w:val="18"/>
              </w:rPr>
              <w:t>Nebo jsou dveře</w:t>
            </w:r>
            <w:r w:rsidRPr="00CF1314">
              <w:rPr>
                <w:bCs/>
                <w:szCs w:val="18"/>
              </w:rPr>
              <w:t xml:space="preserve"> uzamčeny visacím zámkem </w:t>
            </w:r>
            <w:r>
              <w:rPr>
                <w:bCs/>
                <w:szCs w:val="18"/>
              </w:rPr>
              <w:t xml:space="preserve">s tvrzeným třmenem a </w:t>
            </w:r>
            <w:r w:rsidRPr="00CF1314">
              <w:rPr>
                <w:bCs/>
                <w:szCs w:val="18"/>
              </w:rPr>
              <w:t>cylindrickou vložkou</w:t>
            </w:r>
            <w:r>
              <w:rPr>
                <w:bCs/>
                <w:szCs w:val="18"/>
              </w:rPr>
              <w:t xml:space="preserve"> (za postačující se považuje visací zámek</w:t>
            </w:r>
            <w:r w:rsidRPr="00CF1314">
              <w:rPr>
                <w:bCs/>
                <w:szCs w:val="18"/>
              </w:rPr>
              <w:t xml:space="preserve"> BT </w:t>
            </w:r>
            <w:r>
              <w:rPr>
                <w:bCs/>
                <w:szCs w:val="18"/>
              </w:rPr>
              <w:t>3</w:t>
            </w:r>
            <w:r w:rsidRPr="00CF1314">
              <w:rPr>
                <w:bCs/>
                <w:szCs w:val="18"/>
              </w:rPr>
              <w:t xml:space="preserve"> ČSN EN 1627</w:t>
            </w:r>
            <w:r>
              <w:rPr>
                <w:bCs/>
                <w:szCs w:val="18"/>
              </w:rPr>
              <w:t>)</w:t>
            </w:r>
            <w:r w:rsidR="00471C57">
              <w:rPr>
                <w:bCs/>
                <w:szCs w:val="18"/>
              </w:rPr>
              <w:t>.</w:t>
            </w:r>
          </w:p>
        </w:tc>
        <w:tc>
          <w:tcPr>
            <w:tcW w:w="667" w:type="pct"/>
            <w:vMerge/>
            <w:tcBorders>
              <w:left w:val="single" w:sz="4" w:space="0" w:color="auto"/>
              <w:right w:val="single" w:sz="4" w:space="0" w:color="auto"/>
            </w:tcBorders>
            <w:vAlign w:val="center"/>
          </w:tcPr>
          <w:p w:rsidR="00FE374D" w:rsidRPr="00CF1314" w:rsidRDefault="00FE374D" w:rsidP="00DC1F87">
            <w:pPr>
              <w:jc w:val="center"/>
              <w:rPr>
                <w:bCs/>
                <w:szCs w:val="18"/>
              </w:rPr>
            </w:pPr>
          </w:p>
        </w:tc>
        <w:tc>
          <w:tcPr>
            <w:tcW w:w="668" w:type="pct"/>
            <w:vMerge/>
            <w:tcBorders>
              <w:left w:val="single" w:sz="4" w:space="0" w:color="auto"/>
              <w:right w:val="single" w:sz="12" w:space="0" w:color="auto"/>
            </w:tcBorders>
            <w:vAlign w:val="center"/>
          </w:tcPr>
          <w:p w:rsidR="00FE374D" w:rsidRPr="00CF1314" w:rsidRDefault="00FE374D" w:rsidP="00DC1F87">
            <w:pPr>
              <w:jc w:val="center"/>
              <w:rPr>
                <w:bCs/>
                <w:szCs w:val="18"/>
              </w:rPr>
            </w:pPr>
          </w:p>
        </w:tc>
      </w:tr>
      <w:tr w:rsidR="00FE374D" w:rsidRPr="00CF1314" w:rsidTr="00FE374D">
        <w:tblPrEx>
          <w:tblCellMar>
            <w:top w:w="0" w:type="dxa"/>
            <w:bottom w:w="0" w:type="dxa"/>
          </w:tblCellMar>
        </w:tblPrEx>
        <w:trPr>
          <w:cantSplit/>
          <w:jc w:val="center"/>
        </w:trPr>
        <w:tc>
          <w:tcPr>
            <w:tcW w:w="630" w:type="pct"/>
            <w:vMerge/>
            <w:tcBorders>
              <w:left w:val="single" w:sz="12" w:space="0" w:color="auto"/>
              <w:bottom w:val="single" w:sz="12" w:space="0" w:color="auto"/>
              <w:right w:val="single" w:sz="4" w:space="0" w:color="auto"/>
            </w:tcBorders>
            <w:vAlign w:val="center"/>
          </w:tcPr>
          <w:p w:rsidR="00FE374D" w:rsidRPr="00CF1314" w:rsidRDefault="00FE374D" w:rsidP="00DC1F87">
            <w:pPr>
              <w:jc w:val="center"/>
              <w:rPr>
                <w:bCs/>
                <w:szCs w:val="18"/>
              </w:rPr>
            </w:pPr>
          </w:p>
        </w:tc>
        <w:tc>
          <w:tcPr>
            <w:tcW w:w="3035" w:type="pct"/>
            <w:tcBorders>
              <w:top w:val="dotted" w:sz="4" w:space="0" w:color="auto"/>
              <w:left w:val="single" w:sz="4" w:space="0" w:color="auto"/>
              <w:bottom w:val="single" w:sz="12" w:space="0" w:color="auto"/>
              <w:right w:val="single" w:sz="4" w:space="0" w:color="auto"/>
            </w:tcBorders>
          </w:tcPr>
          <w:p w:rsidR="00FE374D" w:rsidRPr="00CF1314" w:rsidRDefault="00FE374D" w:rsidP="00FE374D">
            <w:pPr>
              <w:rPr>
                <w:bCs/>
                <w:szCs w:val="18"/>
              </w:rPr>
            </w:pPr>
            <w:r w:rsidRPr="00CF1314">
              <w:rPr>
                <w:bCs/>
                <w:szCs w:val="18"/>
              </w:rPr>
              <w:t xml:space="preserve">Všechna okna, prosklené dveře a ostatní prosklené plochy o velikosti nad 300 cm2 nebo ostatní technické otvory s plochou větší než </w:t>
            </w:r>
            <w:r>
              <w:rPr>
                <w:bCs/>
                <w:szCs w:val="18"/>
              </w:rPr>
              <w:t>6</w:t>
            </w:r>
            <w:r w:rsidRPr="00CF1314">
              <w:rPr>
                <w:bCs/>
                <w:szCs w:val="18"/>
              </w:rPr>
              <w:t xml:space="preserve">00 cm2, které jsou svou spodní hranou </w:t>
            </w:r>
            <w:r w:rsidRPr="00E03079">
              <w:rPr>
                <w:bCs/>
                <w:szCs w:val="18"/>
              </w:rPr>
              <w:t>níže než </w:t>
            </w:r>
            <w:r w:rsidRPr="00CF1314">
              <w:rPr>
                <w:bCs/>
                <w:szCs w:val="18"/>
              </w:rPr>
              <w:t xml:space="preserve"> 3 m nad okolním terénem nebo nad snadno přístupnou přilehající konstrukcí, musí být opatřeny ochrannou mříží nebo uzamčeny křídlovým nebo roletovým uzávěrem nebo folií či sklem odolným proti proražení</w:t>
            </w:r>
            <w:r>
              <w:rPr>
                <w:bCs/>
                <w:szCs w:val="18"/>
              </w:rPr>
              <w:t xml:space="preserve"> nebo jsou prosklené plochy chráněny čidly tříštění skla a dveřní a okenní křídla magnetickými kontakty EZS</w:t>
            </w:r>
            <w:r w:rsidRPr="00CF1314">
              <w:rPr>
                <w:bCs/>
                <w:szCs w:val="18"/>
              </w:rPr>
              <w:t>.</w:t>
            </w:r>
          </w:p>
        </w:tc>
        <w:tc>
          <w:tcPr>
            <w:tcW w:w="667" w:type="pct"/>
            <w:vMerge/>
            <w:tcBorders>
              <w:left w:val="single" w:sz="4" w:space="0" w:color="auto"/>
              <w:bottom w:val="single" w:sz="12" w:space="0" w:color="auto"/>
              <w:right w:val="single" w:sz="4" w:space="0" w:color="auto"/>
            </w:tcBorders>
          </w:tcPr>
          <w:p w:rsidR="00FE374D" w:rsidRPr="00CF1314" w:rsidRDefault="00FE374D" w:rsidP="00DC1F87">
            <w:pPr>
              <w:jc w:val="center"/>
              <w:rPr>
                <w:bCs/>
                <w:szCs w:val="18"/>
              </w:rPr>
            </w:pPr>
          </w:p>
        </w:tc>
        <w:tc>
          <w:tcPr>
            <w:tcW w:w="668" w:type="pct"/>
            <w:vMerge/>
            <w:tcBorders>
              <w:left w:val="single" w:sz="4" w:space="0" w:color="auto"/>
              <w:bottom w:val="single" w:sz="12" w:space="0" w:color="auto"/>
              <w:right w:val="single" w:sz="12" w:space="0" w:color="auto"/>
            </w:tcBorders>
          </w:tcPr>
          <w:p w:rsidR="00FE374D" w:rsidRPr="00CF1314" w:rsidRDefault="00FE374D" w:rsidP="00DC1F87">
            <w:pPr>
              <w:jc w:val="center"/>
              <w:rPr>
                <w:bCs/>
                <w:szCs w:val="18"/>
              </w:rPr>
            </w:pPr>
          </w:p>
        </w:tc>
      </w:tr>
    </w:tbl>
    <w:p w:rsidR="00FE374D" w:rsidRDefault="00FE374D"/>
    <w:p w:rsidR="00222027" w:rsidRPr="00222027" w:rsidRDefault="00222027" w:rsidP="008D400F">
      <w:pPr>
        <w:keepNext/>
        <w:autoSpaceDE w:val="0"/>
        <w:autoSpaceDN w:val="0"/>
        <w:adjustRightInd w:val="0"/>
        <w:spacing w:before="0" w:after="120" w:line="280" w:lineRule="atLeast"/>
        <w:ind w:left="357"/>
        <w:jc w:val="both"/>
        <w:rPr>
          <w:sz w:val="19"/>
          <w:szCs w:val="19"/>
        </w:rPr>
      </w:pPr>
      <w:proofErr w:type="gramStart"/>
      <w:r w:rsidRPr="00222027">
        <w:rPr>
          <w:sz w:val="19"/>
          <w:szCs w:val="19"/>
        </w:rPr>
        <w:t>Tabulka  2 Požadavky</w:t>
      </w:r>
      <w:proofErr w:type="gramEnd"/>
      <w:r w:rsidRPr="00222027">
        <w:rPr>
          <w:sz w:val="19"/>
          <w:szCs w:val="19"/>
        </w:rPr>
        <w:t xml:space="preserve"> na způsob  zabezpečení uložených cenností </w:t>
      </w:r>
    </w:p>
    <w:tbl>
      <w:tblPr>
        <w:tblW w:w="5000" w:type="pct"/>
        <w:jc w:val="center"/>
        <w:tblCellMar>
          <w:left w:w="70" w:type="dxa"/>
          <w:right w:w="70" w:type="dxa"/>
        </w:tblCellMar>
        <w:tblLook w:val="0000" w:firstRow="0" w:lastRow="0" w:firstColumn="0" w:lastColumn="0" w:noHBand="0" w:noVBand="0"/>
      </w:tblPr>
      <w:tblGrid>
        <w:gridCol w:w="1697"/>
        <w:gridCol w:w="9"/>
        <w:gridCol w:w="1919"/>
        <w:gridCol w:w="1833"/>
        <w:gridCol w:w="1805"/>
        <w:gridCol w:w="28"/>
        <w:gridCol w:w="1919"/>
      </w:tblGrid>
      <w:tr w:rsidR="00222027" w:rsidRPr="00CC46A7" w:rsidTr="00DC1F87">
        <w:tblPrEx>
          <w:tblCellMar>
            <w:top w:w="0" w:type="dxa"/>
            <w:bottom w:w="0" w:type="dxa"/>
          </w:tblCellMar>
        </w:tblPrEx>
        <w:trPr>
          <w:cantSplit/>
          <w:jc w:val="center"/>
        </w:trPr>
        <w:tc>
          <w:tcPr>
            <w:tcW w:w="926" w:type="pct"/>
            <w:gridSpan w:val="2"/>
            <w:tcBorders>
              <w:top w:val="single" w:sz="12" w:space="0" w:color="auto"/>
              <w:left w:val="single" w:sz="12" w:space="0" w:color="auto"/>
              <w:bottom w:val="single" w:sz="12" w:space="0" w:color="auto"/>
              <w:right w:val="single" w:sz="4" w:space="0" w:color="auto"/>
            </w:tcBorders>
            <w:shd w:val="clear" w:color="auto" w:fill="D9D9D9"/>
            <w:vAlign w:val="center"/>
          </w:tcPr>
          <w:p w:rsidR="00222027" w:rsidRPr="00CC46A7" w:rsidRDefault="00222027" w:rsidP="00222027">
            <w:pPr>
              <w:spacing w:before="0"/>
              <w:jc w:val="center"/>
              <w:rPr>
                <w:bCs/>
                <w:szCs w:val="18"/>
              </w:rPr>
            </w:pPr>
            <w:r w:rsidRPr="00CC46A7">
              <w:rPr>
                <w:bCs/>
                <w:szCs w:val="18"/>
              </w:rPr>
              <w:t>Třída</w:t>
            </w:r>
          </w:p>
          <w:p w:rsidR="00222027" w:rsidRPr="00CC46A7" w:rsidRDefault="00222027" w:rsidP="00222027">
            <w:pPr>
              <w:spacing w:before="0"/>
              <w:jc w:val="center"/>
              <w:rPr>
                <w:bCs/>
                <w:szCs w:val="18"/>
              </w:rPr>
            </w:pPr>
            <w:r>
              <w:rPr>
                <w:bCs/>
                <w:szCs w:val="18"/>
              </w:rPr>
              <w:t>o</w:t>
            </w:r>
            <w:r w:rsidRPr="00CC46A7">
              <w:rPr>
                <w:bCs/>
                <w:szCs w:val="18"/>
              </w:rPr>
              <w:t>dolnosti</w:t>
            </w:r>
            <w:r>
              <w:rPr>
                <w:bCs/>
                <w:szCs w:val="18"/>
              </w:rPr>
              <w:t xml:space="preserve"> </w:t>
            </w:r>
            <w:r w:rsidRPr="00CC46A7">
              <w:rPr>
                <w:bCs/>
                <w:szCs w:val="18"/>
              </w:rPr>
              <w:t xml:space="preserve">trezoru </w:t>
            </w:r>
            <w:r>
              <w:rPr>
                <w:bCs/>
                <w:szCs w:val="18"/>
              </w:rPr>
              <w:t>dle ČSN EN 1143-1</w:t>
            </w:r>
          </w:p>
        </w:tc>
        <w:tc>
          <w:tcPr>
            <w:tcW w:w="1042" w:type="pct"/>
            <w:tcBorders>
              <w:top w:val="single" w:sz="12" w:space="0" w:color="auto"/>
              <w:left w:val="single" w:sz="4" w:space="0" w:color="auto"/>
              <w:bottom w:val="single" w:sz="12" w:space="0" w:color="auto"/>
              <w:right w:val="single" w:sz="4" w:space="0" w:color="auto"/>
            </w:tcBorders>
            <w:shd w:val="clear" w:color="auto" w:fill="D9D9D9"/>
            <w:vAlign w:val="center"/>
          </w:tcPr>
          <w:p w:rsidR="00222027" w:rsidRPr="00CC46A7" w:rsidRDefault="00222027" w:rsidP="00DC1F87">
            <w:pPr>
              <w:jc w:val="center"/>
              <w:rPr>
                <w:bCs/>
                <w:szCs w:val="18"/>
              </w:rPr>
            </w:pPr>
            <w:r w:rsidRPr="00CC46A7">
              <w:rPr>
                <w:bCs/>
                <w:szCs w:val="18"/>
              </w:rPr>
              <w:t>Zabezpečení uzamčeného prostoru dle kódů Tabulky 1</w:t>
            </w:r>
          </w:p>
        </w:tc>
        <w:tc>
          <w:tcPr>
            <w:tcW w:w="995" w:type="pct"/>
            <w:tcBorders>
              <w:top w:val="single" w:sz="12" w:space="0" w:color="auto"/>
              <w:left w:val="single" w:sz="4" w:space="0" w:color="auto"/>
              <w:bottom w:val="single" w:sz="12" w:space="0" w:color="auto"/>
              <w:right w:val="single" w:sz="4" w:space="0" w:color="auto"/>
            </w:tcBorders>
            <w:shd w:val="clear" w:color="auto" w:fill="D9D9D9"/>
          </w:tcPr>
          <w:p w:rsidR="004A6F83" w:rsidRDefault="004A6F83" w:rsidP="004A6F83">
            <w:pPr>
              <w:spacing w:before="0"/>
              <w:jc w:val="center"/>
              <w:rPr>
                <w:bCs/>
                <w:szCs w:val="18"/>
              </w:rPr>
            </w:pPr>
          </w:p>
          <w:p w:rsidR="00222027" w:rsidRDefault="004A6F83" w:rsidP="004A6F83">
            <w:pPr>
              <w:spacing w:before="0"/>
              <w:jc w:val="center"/>
              <w:rPr>
                <w:bCs/>
                <w:szCs w:val="18"/>
              </w:rPr>
            </w:pPr>
            <w:r>
              <w:rPr>
                <w:bCs/>
                <w:szCs w:val="18"/>
              </w:rPr>
              <w:t xml:space="preserve">Limity plnění (v </w:t>
            </w:r>
            <w:r w:rsidR="00222027" w:rsidRPr="00CC46A7">
              <w:rPr>
                <w:bCs/>
                <w:szCs w:val="18"/>
              </w:rPr>
              <w:t>Kč):</w:t>
            </w:r>
          </w:p>
          <w:p w:rsidR="004A6F83" w:rsidRDefault="004A6F83" w:rsidP="004A6F83">
            <w:pPr>
              <w:spacing w:before="0"/>
              <w:jc w:val="center"/>
              <w:rPr>
                <w:bCs/>
                <w:szCs w:val="18"/>
              </w:rPr>
            </w:pPr>
          </w:p>
          <w:p w:rsidR="00222027" w:rsidRPr="00CC46A7" w:rsidRDefault="00222027" w:rsidP="00222027">
            <w:pPr>
              <w:spacing w:before="0"/>
              <w:jc w:val="center"/>
              <w:rPr>
                <w:bCs/>
                <w:szCs w:val="18"/>
              </w:rPr>
            </w:pPr>
            <w:r>
              <w:rPr>
                <w:bCs/>
                <w:szCs w:val="18"/>
              </w:rPr>
              <w:t>Bez EZS</w:t>
            </w:r>
          </w:p>
        </w:tc>
        <w:tc>
          <w:tcPr>
            <w:tcW w:w="980" w:type="pct"/>
            <w:tcBorders>
              <w:top w:val="single" w:sz="12" w:space="0" w:color="auto"/>
              <w:left w:val="single" w:sz="4" w:space="0" w:color="auto"/>
              <w:bottom w:val="single" w:sz="12" w:space="0" w:color="auto"/>
              <w:right w:val="single" w:sz="4" w:space="0" w:color="auto"/>
            </w:tcBorders>
            <w:shd w:val="clear" w:color="auto" w:fill="D9D9D9"/>
          </w:tcPr>
          <w:p w:rsidR="00222027" w:rsidRDefault="00222027" w:rsidP="00DC1F87">
            <w:pPr>
              <w:jc w:val="center"/>
              <w:rPr>
                <w:bCs/>
                <w:szCs w:val="18"/>
              </w:rPr>
            </w:pPr>
            <w:r>
              <w:rPr>
                <w:bCs/>
                <w:szCs w:val="18"/>
              </w:rPr>
              <w:t>Limit plnění (v Kč)</w:t>
            </w:r>
          </w:p>
          <w:p w:rsidR="00222027" w:rsidRPr="00CC46A7" w:rsidRDefault="00222027" w:rsidP="00DC1F87">
            <w:pPr>
              <w:jc w:val="center"/>
              <w:rPr>
                <w:bCs/>
                <w:szCs w:val="18"/>
              </w:rPr>
            </w:pPr>
            <w:r w:rsidRPr="00CC46A7">
              <w:rPr>
                <w:bCs/>
                <w:szCs w:val="18"/>
              </w:rPr>
              <w:t xml:space="preserve">EZS nebo </w:t>
            </w:r>
            <w:r>
              <w:rPr>
                <w:bCs/>
                <w:szCs w:val="18"/>
              </w:rPr>
              <w:t>f</w:t>
            </w:r>
            <w:r w:rsidRPr="00CC46A7">
              <w:rPr>
                <w:bCs/>
                <w:szCs w:val="18"/>
              </w:rPr>
              <w:t>yzická ostraha</w:t>
            </w:r>
          </w:p>
        </w:tc>
        <w:tc>
          <w:tcPr>
            <w:tcW w:w="1057" w:type="pct"/>
            <w:gridSpan w:val="2"/>
            <w:tcBorders>
              <w:top w:val="single" w:sz="12" w:space="0" w:color="auto"/>
              <w:left w:val="single" w:sz="4" w:space="0" w:color="auto"/>
              <w:bottom w:val="single" w:sz="12" w:space="0" w:color="auto"/>
              <w:right w:val="single" w:sz="12" w:space="0" w:color="auto"/>
            </w:tcBorders>
            <w:shd w:val="clear" w:color="auto" w:fill="D9D9D9"/>
          </w:tcPr>
          <w:p w:rsidR="004A6F83" w:rsidRDefault="004A6F83" w:rsidP="00DC1F87">
            <w:pPr>
              <w:jc w:val="center"/>
              <w:rPr>
                <w:bCs/>
                <w:szCs w:val="18"/>
              </w:rPr>
            </w:pPr>
            <w:r>
              <w:rPr>
                <w:bCs/>
                <w:szCs w:val="18"/>
              </w:rPr>
              <w:t>Limit plnění v Kč</w:t>
            </w:r>
          </w:p>
          <w:p w:rsidR="00222027" w:rsidRPr="00CC46A7" w:rsidRDefault="00222027" w:rsidP="00DC1F87">
            <w:pPr>
              <w:jc w:val="center"/>
              <w:rPr>
                <w:bCs/>
                <w:szCs w:val="18"/>
              </w:rPr>
            </w:pPr>
            <w:r w:rsidRPr="00CC46A7">
              <w:rPr>
                <w:bCs/>
                <w:szCs w:val="18"/>
              </w:rPr>
              <w:t xml:space="preserve">EZS </w:t>
            </w:r>
            <w:r>
              <w:rPr>
                <w:bCs/>
                <w:szCs w:val="18"/>
              </w:rPr>
              <w:t>a současně</w:t>
            </w:r>
            <w:r w:rsidRPr="00CC46A7">
              <w:rPr>
                <w:bCs/>
                <w:szCs w:val="18"/>
              </w:rPr>
              <w:t xml:space="preserve"> </w:t>
            </w:r>
            <w:r>
              <w:rPr>
                <w:bCs/>
                <w:szCs w:val="18"/>
              </w:rPr>
              <w:t>f</w:t>
            </w:r>
            <w:r w:rsidRPr="00CC46A7">
              <w:rPr>
                <w:bCs/>
                <w:szCs w:val="18"/>
              </w:rPr>
              <w:t>yzická ostraha</w:t>
            </w:r>
          </w:p>
        </w:tc>
      </w:tr>
      <w:tr w:rsidR="00222027" w:rsidRPr="00185167" w:rsidTr="00DC1F87">
        <w:tblPrEx>
          <w:tblCellMar>
            <w:top w:w="0" w:type="dxa"/>
            <w:bottom w:w="0" w:type="dxa"/>
          </w:tblCellMar>
        </w:tblPrEx>
        <w:trPr>
          <w:cantSplit/>
          <w:jc w:val="center"/>
        </w:trPr>
        <w:tc>
          <w:tcPr>
            <w:tcW w:w="921" w:type="pct"/>
            <w:vMerge w:val="restart"/>
            <w:tcBorders>
              <w:top w:val="single" w:sz="12" w:space="0" w:color="auto"/>
              <w:left w:val="single" w:sz="12" w:space="0" w:color="auto"/>
              <w:right w:val="single" w:sz="4" w:space="0" w:color="auto"/>
            </w:tcBorders>
            <w:vAlign w:val="center"/>
          </w:tcPr>
          <w:p w:rsidR="00222027" w:rsidRPr="00CC46A7" w:rsidRDefault="00222027" w:rsidP="00DC1F87">
            <w:pPr>
              <w:jc w:val="center"/>
              <w:rPr>
                <w:bCs/>
                <w:szCs w:val="18"/>
              </w:rPr>
            </w:pPr>
            <w:proofErr w:type="gramStart"/>
            <w:r w:rsidRPr="00CC46A7">
              <w:rPr>
                <w:bCs/>
                <w:szCs w:val="18"/>
              </w:rPr>
              <w:t>Pokladna</w:t>
            </w:r>
            <w:r>
              <w:rPr>
                <w:bCs/>
                <w:szCs w:val="18"/>
              </w:rPr>
              <w:t xml:space="preserve">, </w:t>
            </w:r>
            <w:r w:rsidRPr="00CC46A7">
              <w:rPr>
                <w:bCs/>
                <w:szCs w:val="18"/>
              </w:rPr>
              <w:t xml:space="preserve"> schránka</w:t>
            </w:r>
            <w:proofErr w:type="gramEnd"/>
            <w:r w:rsidRPr="00CC46A7">
              <w:rPr>
                <w:bCs/>
                <w:szCs w:val="18"/>
              </w:rPr>
              <w:t xml:space="preserve"> nebo </w:t>
            </w:r>
            <w:r>
              <w:rPr>
                <w:bCs/>
                <w:szCs w:val="18"/>
              </w:rPr>
              <w:t>zásuvka</w:t>
            </w:r>
            <w:r w:rsidRPr="00CC46A7">
              <w:rPr>
                <w:bCs/>
                <w:szCs w:val="18"/>
              </w:rPr>
              <w:t xml:space="preserve"> (necertifikováno)</w:t>
            </w:r>
          </w:p>
        </w:tc>
        <w:tc>
          <w:tcPr>
            <w:tcW w:w="1046" w:type="pct"/>
            <w:gridSpan w:val="2"/>
            <w:tcBorders>
              <w:top w:val="single" w:sz="12" w:space="0" w:color="auto"/>
              <w:left w:val="single" w:sz="4" w:space="0" w:color="auto"/>
              <w:bottom w:val="dotted" w:sz="4" w:space="0" w:color="auto"/>
              <w:right w:val="single" w:sz="4" w:space="0" w:color="auto"/>
            </w:tcBorders>
          </w:tcPr>
          <w:p w:rsidR="00222027" w:rsidRPr="00CC46A7" w:rsidRDefault="00222027" w:rsidP="00DC1F87">
            <w:pPr>
              <w:jc w:val="center"/>
              <w:rPr>
                <w:bCs/>
                <w:szCs w:val="18"/>
              </w:rPr>
            </w:pPr>
            <w:r w:rsidRPr="00CC46A7">
              <w:rPr>
                <w:bCs/>
                <w:szCs w:val="18"/>
              </w:rPr>
              <w:t>O</w:t>
            </w:r>
            <w:r>
              <w:rPr>
                <w:bCs/>
                <w:szCs w:val="18"/>
              </w:rPr>
              <w:t>0</w:t>
            </w:r>
            <w:r w:rsidRPr="00CC46A7">
              <w:rPr>
                <w:bCs/>
                <w:szCs w:val="18"/>
              </w:rPr>
              <w:t xml:space="preserve"> </w:t>
            </w:r>
          </w:p>
        </w:tc>
        <w:tc>
          <w:tcPr>
            <w:tcW w:w="995" w:type="pct"/>
            <w:tcBorders>
              <w:top w:val="single" w:sz="12" w:space="0" w:color="auto"/>
              <w:left w:val="single" w:sz="4" w:space="0" w:color="auto"/>
              <w:bottom w:val="dotted" w:sz="4" w:space="0" w:color="auto"/>
              <w:right w:val="single" w:sz="4" w:space="0" w:color="auto"/>
            </w:tcBorders>
          </w:tcPr>
          <w:p w:rsidR="00222027" w:rsidRPr="00571A05" w:rsidRDefault="00222027" w:rsidP="00DC1F87">
            <w:pPr>
              <w:jc w:val="center"/>
              <w:rPr>
                <w:bCs/>
                <w:szCs w:val="18"/>
              </w:rPr>
            </w:pPr>
            <w:r w:rsidRPr="00571A05">
              <w:rPr>
                <w:bCs/>
                <w:szCs w:val="18"/>
              </w:rPr>
              <w:t>20 000</w:t>
            </w:r>
          </w:p>
        </w:tc>
        <w:tc>
          <w:tcPr>
            <w:tcW w:w="995" w:type="pct"/>
            <w:gridSpan w:val="2"/>
            <w:tcBorders>
              <w:top w:val="single" w:sz="12" w:space="0" w:color="auto"/>
              <w:left w:val="single" w:sz="4" w:space="0" w:color="auto"/>
              <w:bottom w:val="dotted" w:sz="4" w:space="0" w:color="auto"/>
              <w:right w:val="single" w:sz="4" w:space="0" w:color="auto"/>
            </w:tcBorders>
          </w:tcPr>
          <w:p w:rsidR="00222027" w:rsidRPr="00571A05" w:rsidRDefault="00222027" w:rsidP="00DC1F87">
            <w:pPr>
              <w:jc w:val="center"/>
              <w:rPr>
                <w:bCs/>
                <w:szCs w:val="18"/>
              </w:rPr>
            </w:pPr>
            <w:r w:rsidRPr="00571A05">
              <w:rPr>
                <w:bCs/>
                <w:szCs w:val="18"/>
              </w:rPr>
              <w:t>50 000</w:t>
            </w:r>
          </w:p>
        </w:tc>
        <w:tc>
          <w:tcPr>
            <w:tcW w:w="1043" w:type="pct"/>
            <w:tcBorders>
              <w:top w:val="single" w:sz="12" w:space="0" w:color="auto"/>
              <w:left w:val="single" w:sz="4" w:space="0" w:color="auto"/>
              <w:bottom w:val="dotted" w:sz="4" w:space="0" w:color="auto"/>
              <w:right w:val="single" w:sz="12" w:space="0" w:color="auto"/>
            </w:tcBorders>
          </w:tcPr>
          <w:p w:rsidR="00222027" w:rsidRPr="00185167" w:rsidRDefault="00222027" w:rsidP="00DC1F87">
            <w:pPr>
              <w:jc w:val="center"/>
              <w:rPr>
                <w:bCs/>
                <w:szCs w:val="18"/>
              </w:rPr>
            </w:pPr>
            <w:r w:rsidRPr="00185167">
              <w:rPr>
                <w:bCs/>
                <w:szCs w:val="18"/>
              </w:rPr>
              <w:t>50 000</w:t>
            </w:r>
          </w:p>
        </w:tc>
      </w:tr>
      <w:tr w:rsidR="00222027" w:rsidRPr="00185167" w:rsidTr="004A6F83">
        <w:tblPrEx>
          <w:tblCellMar>
            <w:top w:w="0" w:type="dxa"/>
            <w:bottom w:w="0" w:type="dxa"/>
          </w:tblCellMar>
        </w:tblPrEx>
        <w:trPr>
          <w:cantSplit/>
          <w:jc w:val="center"/>
        </w:trPr>
        <w:tc>
          <w:tcPr>
            <w:tcW w:w="921" w:type="pct"/>
            <w:vMerge/>
            <w:tcBorders>
              <w:left w:val="single" w:sz="12" w:space="0" w:color="auto"/>
              <w:right w:val="single" w:sz="4" w:space="0" w:color="auto"/>
            </w:tcBorders>
            <w:vAlign w:val="center"/>
          </w:tcPr>
          <w:p w:rsidR="00222027" w:rsidRPr="00CC46A7" w:rsidRDefault="00222027" w:rsidP="00DC1F87">
            <w:pPr>
              <w:jc w:val="center"/>
              <w:rPr>
                <w:bCs/>
                <w:szCs w:val="18"/>
              </w:rPr>
            </w:pPr>
          </w:p>
        </w:tc>
        <w:tc>
          <w:tcPr>
            <w:tcW w:w="1046" w:type="pct"/>
            <w:gridSpan w:val="2"/>
            <w:tcBorders>
              <w:top w:val="dotted" w:sz="4" w:space="0" w:color="auto"/>
              <w:left w:val="single" w:sz="4" w:space="0" w:color="auto"/>
              <w:bottom w:val="dotted" w:sz="4" w:space="0" w:color="auto"/>
              <w:right w:val="single" w:sz="4" w:space="0" w:color="auto"/>
            </w:tcBorders>
          </w:tcPr>
          <w:p w:rsidR="00222027" w:rsidRPr="00CC46A7" w:rsidRDefault="00222027" w:rsidP="00DC1F87">
            <w:pPr>
              <w:jc w:val="center"/>
              <w:rPr>
                <w:bCs/>
                <w:szCs w:val="18"/>
              </w:rPr>
            </w:pPr>
            <w:r w:rsidRPr="00CC46A7">
              <w:rPr>
                <w:bCs/>
                <w:szCs w:val="18"/>
              </w:rPr>
              <w:t>O</w:t>
            </w:r>
            <w:r>
              <w:rPr>
                <w:bCs/>
                <w:szCs w:val="18"/>
              </w:rPr>
              <w:t>1</w:t>
            </w:r>
          </w:p>
        </w:tc>
        <w:tc>
          <w:tcPr>
            <w:tcW w:w="995" w:type="pct"/>
            <w:tcBorders>
              <w:top w:val="dotted" w:sz="4" w:space="0" w:color="auto"/>
              <w:left w:val="single" w:sz="4" w:space="0" w:color="auto"/>
              <w:bottom w:val="dotted" w:sz="4" w:space="0" w:color="auto"/>
              <w:right w:val="single" w:sz="4" w:space="0" w:color="auto"/>
            </w:tcBorders>
          </w:tcPr>
          <w:p w:rsidR="00222027" w:rsidRPr="00571A05" w:rsidRDefault="00222027" w:rsidP="00DC1F87">
            <w:pPr>
              <w:jc w:val="center"/>
              <w:rPr>
                <w:bCs/>
                <w:szCs w:val="18"/>
              </w:rPr>
            </w:pPr>
            <w:r w:rsidRPr="00571A05">
              <w:rPr>
                <w:bCs/>
                <w:szCs w:val="18"/>
              </w:rPr>
              <w:t>50 000</w:t>
            </w:r>
          </w:p>
        </w:tc>
        <w:tc>
          <w:tcPr>
            <w:tcW w:w="995" w:type="pct"/>
            <w:gridSpan w:val="2"/>
            <w:tcBorders>
              <w:top w:val="dotted" w:sz="4" w:space="0" w:color="auto"/>
              <w:left w:val="single" w:sz="4" w:space="0" w:color="auto"/>
              <w:bottom w:val="dotted" w:sz="4" w:space="0" w:color="auto"/>
              <w:right w:val="single" w:sz="4" w:space="0" w:color="auto"/>
            </w:tcBorders>
          </w:tcPr>
          <w:p w:rsidR="00222027" w:rsidRPr="00571A05" w:rsidRDefault="00222027" w:rsidP="00DC1F87">
            <w:pPr>
              <w:jc w:val="center"/>
              <w:rPr>
                <w:bCs/>
                <w:szCs w:val="18"/>
              </w:rPr>
            </w:pPr>
            <w:r w:rsidRPr="00571A05">
              <w:rPr>
                <w:bCs/>
                <w:szCs w:val="18"/>
              </w:rPr>
              <w:t>100 000</w:t>
            </w:r>
          </w:p>
        </w:tc>
        <w:tc>
          <w:tcPr>
            <w:tcW w:w="1043" w:type="pct"/>
            <w:tcBorders>
              <w:top w:val="dotted" w:sz="4" w:space="0" w:color="auto"/>
              <w:left w:val="single" w:sz="4" w:space="0" w:color="auto"/>
              <w:bottom w:val="dotted" w:sz="4" w:space="0" w:color="auto"/>
              <w:right w:val="single" w:sz="12" w:space="0" w:color="auto"/>
            </w:tcBorders>
          </w:tcPr>
          <w:p w:rsidR="00222027" w:rsidRPr="00185167" w:rsidRDefault="00222027" w:rsidP="00DC1F87">
            <w:pPr>
              <w:jc w:val="center"/>
              <w:rPr>
                <w:bCs/>
                <w:szCs w:val="18"/>
              </w:rPr>
            </w:pPr>
            <w:r w:rsidRPr="00185167">
              <w:rPr>
                <w:bCs/>
                <w:szCs w:val="18"/>
              </w:rPr>
              <w:t>200 000</w:t>
            </w:r>
          </w:p>
        </w:tc>
      </w:tr>
      <w:tr w:rsidR="00222027" w:rsidRPr="00185167" w:rsidTr="004A6F83">
        <w:tblPrEx>
          <w:tblCellMar>
            <w:top w:w="0" w:type="dxa"/>
            <w:bottom w:w="0" w:type="dxa"/>
          </w:tblCellMar>
        </w:tblPrEx>
        <w:trPr>
          <w:cantSplit/>
          <w:jc w:val="center"/>
        </w:trPr>
        <w:tc>
          <w:tcPr>
            <w:tcW w:w="921" w:type="pct"/>
            <w:vMerge/>
            <w:tcBorders>
              <w:left w:val="single" w:sz="12" w:space="0" w:color="auto"/>
              <w:bottom w:val="single" w:sz="12" w:space="0" w:color="auto"/>
              <w:right w:val="single" w:sz="4" w:space="0" w:color="auto"/>
            </w:tcBorders>
            <w:vAlign w:val="center"/>
          </w:tcPr>
          <w:p w:rsidR="00222027" w:rsidRPr="00CC46A7" w:rsidRDefault="00222027" w:rsidP="00DC1F87">
            <w:pPr>
              <w:jc w:val="center"/>
              <w:rPr>
                <w:bCs/>
                <w:szCs w:val="18"/>
              </w:rPr>
            </w:pPr>
          </w:p>
        </w:tc>
        <w:tc>
          <w:tcPr>
            <w:tcW w:w="1046" w:type="pct"/>
            <w:gridSpan w:val="2"/>
            <w:tcBorders>
              <w:top w:val="dotted" w:sz="4" w:space="0" w:color="auto"/>
              <w:left w:val="single" w:sz="4" w:space="0" w:color="auto"/>
              <w:bottom w:val="single" w:sz="12" w:space="0" w:color="auto"/>
              <w:right w:val="single" w:sz="4" w:space="0" w:color="auto"/>
            </w:tcBorders>
          </w:tcPr>
          <w:p w:rsidR="00222027" w:rsidRPr="00CC46A7" w:rsidRDefault="00222027" w:rsidP="00DC1F87">
            <w:pPr>
              <w:jc w:val="center"/>
              <w:rPr>
                <w:bCs/>
                <w:szCs w:val="18"/>
              </w:rPr>
            </w:pPr>
            <w:r w:rsidRPr="00CC46A7">
              <w:rPr>
                <w:bCs/>
                <w:szCs w:val="18"/>
              </w:rPr>
              <w:t>O</w:t>
            </w:r>
            <w:r>
              <w:rPr>
                <w:bCs/>
                <w:szCs w:val="18"/>
              </w:rPr>
              <w:t>2</w:t>
            </w:r>
          </w:p>
        </w:tc>
        <w:tc>
          <w:tcPr>
            <w:tcW w:w="995" w:type="pct"/>
            <w:tcBorders>
              <w:top w:val="dotted" w:sz="4" w:space="0" w:color="auto"/>
              <w:left w:val="single" w:sz="4" w:space="0" w:color="auto"/>
              <w:bottom w:val="single" w:sz="12" w:space="0" w:color="auto"/>
              <w:right w:val="single" w:sz="4" w:space="0" w:color="auto"/>
            </w:tcBorders>
          </w:tcPr>
          <w:p w:rsidR="00222027" w:rsidRPr="00571A05" w:rsidRDefault="00222027" w:rsidP="00DC1F87">
            <w:pPr>
              <w:jc w:val="center"/>
              <w:rPr>
                <w:bCs/>
                <w:szCs w:val="18"/>
              </w:rPr>
            </w:pPr>
            <w:r w:rsidRPr="00571A05">
              <w:rPr>
                <w:bCs/>
                <w:szCs w:val="18"/>
              </w:rPr>
              <w:t>100 000</w:t>
            </w:r>
          </w:p>
        </w:tc>
        <w:tc>
          <w:tcPr>
            <w:tcW w:w="995" w:type="pct"/>
            <w:gridSpan w:val="2"/>
            <w:tcBorders>
              <w:top w:val="dotted" w:sz="4" w:space="0" w:color="auto"/>
              <w:left w:val="single" w:sz="4" w:space="0" w:color="auto"/>
              <w:bottom w:val="single" w:sz="12" w:space="0" w:color="auto"/>
              <w:right w:val="single" w:sz="4" w:space="0" w:color="auto"/>
            </w:tcBorders>
          </w:tcPr>
          <w:p w:rsidR="00222027" w:rsidRPr="00571A05" w:rsidRDefault="00222027" w:rsidP="00DC1F87">
            <w:pPr>
              <w:jc w:val="center"/>
              <w:rPr>
                <w:bCs/>
                <w:szCs w:val="18"/>
              </w:rPr>
            </w:pPr>
            <w:r w:rsidRPr="00571A05">
              <w:rPr>
                <w:bCs/>
                <w:szCs w:val="18"/>
              </w:rPr>
              <w:t>200 000</w:t>
            </w:r>
          </w:p>
        </w:tc>
        <w:tc>
          <w:tcPr>
            <w:tcW w:w="1043" w:type="pct"/>
            <w:tcBorders>
              <w:top w:val="dotted" w:sz="4" w:space="0" w:color="auto"/>
              <w:left w:val="single" w:sz="4" w:space="0" w:color="auto"/>
              <w:bottom w:val="single" w:sz="12" w:space="0" w:color="auto"/>
              <w:right w:val="single" w:sz="12" w:space="0" w:color="auto"/>
            </w:tcBorders>
          </w:tcPr>
          <w:p w:rsidR="00222027" w:rsidRPr="00185167" w:rsidRDefault="00222027" w:rsidP="00DC1F87">
            <w:pPr>
              <w:jc w:val="center"/>
              <w:rPr>
                <w:bCs/>
                <w:szCs w:val="18"/>
              </w:rPr>
            </w:pPr>
            <w:r w:rsidRPr="00185167">
              <w:rPr>
                <w:bCs/>
                <w:szCs w:val="18"/>
              </w:rPr>
              <w:t>400 000</w:t>
            </w:r>
          </w:p>
        </w:tc>
      </w:tr>
      <w:tr w:rsidR="00222027" w:rsidRPr="00185167" w:rsidTr="004A6F83">
        <w:tblPrEx>
          <w:tblCellMar>
            <w:top w:w="0" w:type="dxa"/>
            <w:bottom w:w="0" w:type="dxa"/>
          </w:tblCellMar>
        </w:tblPrEx>
        <w:trPr>
          <w:cantSplit/>
          <w:jc w:val="center"/>
        </w:trPr>
        <w:tc>
          <w:tcPr>
            <w:tcW w:w="921" w:type="pct"/>
            <w:vMerge w:val="restart"/>
            <w:tcBorders>
              <w:left w:val="single" w:sz="12" w:space="0" w:color="auto"/>
              <w:right w:val="single" w:sz="4" w:space="0" w:color="auto"/>
            </w:tcBorders>
            <w:vAlign w:val="center"/>
          </w:tcPr>
          <w:p w:rsidR="00222027" w:rsidRDefault="00222027" w:rsidP="00DC1F87">
            <w:pPr>
              <w:jc w:val="center"/>
              <w:rPr>
                <w:bCs/>
                <w:szCs w:val="18"/>
              </w:rPr>
            </w:pPr>
            <w:r w:rsidRPr="00CC46A7">
              <w:rPr>
                <w:bCs/>
                <w:szCs w:val="18"/>
              </w:rPr>
              <w:t>Trezor nezjištěné konstrukce</w:t>
            </w:r>
          </w:p>
          <w:p w:rsidR="00222027" w:rsidRPr="00CC46A7" w:rsidRDefault="00222027" w:rsidP="00DC1F87">
            <w:pPr>
              <w:jc w:val="center"/>
              <w:rPr>
                <w:bCs/>
                <w:szCs w:val="18"/>
              </w:rPr>
            </w:pPr>
            <w:r w:rsidRPr="00CC46A7">
              <w:rPr>
                <w:bCs/>
                <w:szCs w:val="18"/>
              </w:rPr>
              <w:t>(necertifikováno)</w:t>
            </w:r>
          </w:p>
        </w:tc>
        <w:tc>
          <w:tcPr>
            <w:tcW w:w="1046" w:type="pct"/>
            <w:gridSpan w:val="2"/>
            <w:tcBorders>
              <w:left w:val="single" w:sz="4" w:space="0" w:color="auto"/>
              <w:bottom w:val="dotted" w:sz="4" w:space="0" w:color="auto"/>
              <w:right w:val="single" w:sz="4" w:space="0" w:color="auto"/>
            </w:tcBorders>
          </w:tcPr>
          <w:p w:rsidR="00222027" w:rsidRPr="00CC46A7" w:rsidRDefault="00222027" w:rsidP="00DC1F87">
            <w:pPr>
              <w:jc w:val="center"/>
              <w:rPr>
                <w:bCs/>
                <w:szCs w:val="18"/>
              </w:rPr>
            </w:pPr>
            <w:r w:rsidRPr="00CC46A7">
              <w:rPr>
                <w:bCs/>
                <w:szCs w:val="18"/>
              </w:rPr>
              <w:t>O</w:t>
            </w:r>
            <w:r>
              <w:rPr>
                <w:bCs/>
                <w:szCs w:val="18"/>
              </w:rPr>
              <w:t>0</w:t>
            </w:r>
            <w:r w:rsidRPr="00CC46A7">
              <w:rPr>
                <w:bCs/>
                <w:szCs w:val="18"/>
              </w:rPr>
              <w:t xml:space="preserve"> </w:t>
            </w:r>
          </w:p>
        </w:tc>
        <w:tc>
          <w:tcPr>
            <w:tcW w:w="995" w:type="pct"/>
            <w:tcBorders>
              <w:left w:val="single" w:sz="4" w:space="0" w:color="auto"/>
              <w:bottom w:val="dotted" w:sz="4" w:space="0" w:color="auto"/>
              <w:right w:val="single" w:sz="4" w:space="0" w:color="auto"/>
            </w:tcBorders>
          </w:tcPr>
          <w:p w:rsidR="00222027" w:rsidRPr="00185167" w:rsidRDefault="00222027" w:rsidP="00DC1F87">
            <w:pPr>
              <w:jc w:val="center"/>
              <w:rPr>
                <w:bCs/>
                <w:szCs w:val="18"/>
              </w:rPr>
            </w:pPr>
            <w:r w:rsidRPr="00185167">
              <w:rPr>
                <w:bCs/>
                <w:szCs w:val="18"/>
              </w:rPr>
              <w:t>50 000</w:t>
            </w:r>
          </w:p>
        </w:tc>
        <w:tc>
          <w:tcPr>
            <w:tcW w:w="995" w:type="pct"/>
            <w:gridSpan w:val="2"/>
            <w:tcBorders>
              <w:left w:val="single" w:sz="4" w:space="0" w:color="auto"/>
              <w:bottom w:val="dotted" w:sz="4" w:space="0" w:color="auto"/>
              <w:right w:val="single" w:sz="4" w:space="0" w:color="auto"/>
            </w:tcBorders>
          </w:tcPr>
          <w:p w:rsidR="00222027" w:rsidRPr="00185167" w:rsidRDefault="00222027" w:rsidP="00DC1F87">
            <w:pPr>
              <w:jc w:val="center"/>
              <w:rPr>
                <w:bCs/>
                <w:szCs w:val="18"/>
              </w:rPr>
            </w:pPr>
            <w:r w:rsidRPr="00185167">
              <w:rPr>
                <w:bCs/>
                <w:szCs w:val="18"/>
              </w:rPr>
              <w:t>150 000</w:t>
            </w:r>
          </w:p>
        </w:tc>
        <w:tc>
          <w:tcPr>
            <w:tcW w:w="1043" w:type="pct"/>
            <w:tcBorders>
              <w:left w:val="single" w:sz="4" w:space="0" w:color="auto"/>
              <w:bottom w:val="dotted" w:sz="4" w:space="0" w:color="auto"/>
              <w:right w:val="single" w:sz="12" w:space="0" w:color="auto"/>
            </w:tcBorders>
          </w:tcPr>
          <w:p w:rsidR="00222027" w:rsidRPr="00185167" w:rsidRDefault="00222027" w:rsidP="00DC1F87">
            <w:pPr>
              <w:jc w:val="center"/>
              <w:rPr>
                <w:bCs/>
                <w:szCs w:val="18"/>
              </w:rPr>
            </w:pPr>
            <w:r>
              <w:rPr>
                <w:bCs/>
                <w:szCs w:val="18"/>
              </w:rPr>
              <w:t>5</w:t>
            </w:r>
            <w:r w:rsidRPr="00185167">
              <w:rPr>
                <w:bCs/>
                <w:szCs w:val="18"/>
              </w:rPr>
              <w:t>00 000</w:t>
            </w:r>
          </w:p>
        </w:tc>
      </w:tr>
      <w:tr w:rsidR="00222027" w:rsidRPr="00185167" w:rsidTr="004A6F83">
        <w:tblPrEx>
          <w:tblCellMar>
            <w:top w:w="0" w:type="dxa"/>
            <w:bottom w:w="0" w:type="dxa"/>
          </w:tblCellMar>
        </w:tblPrEx>
        <w:trPr>
          <w:cantSplit/>
          <w:jc w:val="center"/>
        </w:trPr>
        <w:tc>
          <w:tcPr>
            <w:tcW w:w="921" w:type="pct"/>
            <w:vMerge/>
            <w:tcBorders>
              <w:left w:val="single" w:sz="12" w:space="0" w:color="auto"/>
              <w:right w:val="single" w:sz="4" w:space="0" w:color="auto"/>
            </w:tcBorders>
            <w:vAlign w:val="center"/>
          </w:tcPr>
          <w:p w:rsidR="00222027" w:rsidRPr="00CC46A7" w:rsidRDefault="00222027" w:rsidP="00DC1F87">
            <w:pPr>
              <w:jc w:val="center"/>
              <w:rPr>
                <w:bCs/>
                <w:szCs w:val="18"/>
              </w:rPr>
            </w:pPr>
          </w:p>
        </w:tc>
        <w:tc>
          <w:tcPr>
            <w:tcW w:w="1046" w:type="pct"/>
            <w:gridSpan w:val="2"/>
            <w:tcBorders>
              <w:top w:val="dotted" w:sz="4" w:space="0" w:color="auto"/>
              <w:left w:val="single" w:sz="4" w:space="0" w:color="auto"/>
              <w:bottom w:val="dotted" w:sz="4" w:space="0" w:color="auto"/>
              <w:right w:val="single" w:sz="4" w:space="0" w:color="auto"/>
            </w:tcBorders>
          </w:tcPr>
          <w:p w:rsidR="00222027" w:rsidRPr="00CC46A7" w:rsidRDefault="00222027" w:rsidP="00DC1F87">
            <w:pPr>
              <w:jc w:val="center"/>
              <w:rPr>
                <w:bCs/>
                <w:szCs w:val="18"/>
              </w:rPr>
            </w:pPr>
            <w:r w:rsidRPr="00CC46A7">
              <w:rPr>
                <w:bCs/>
                <w:szCs w:val="18"/>
              </w:rPr>
              <w:t>O</w:t>
            </w:r>
            <w:r>
              <w:rPr>
                <w:bCs/>
                <w:szCs w:val="18"/>
              </w:rPr>
              <w:t>1</w:t>
            </w:r>
          </w:p>
        </w:tc>
        <w:tc>
          <w:tcPr>
            <w:tcW w:w="995" w:type="pct"/>
            <w:tcBorders>
              <w:top w:val="dotted" w:sz="4" w:space="0" w:color="auto"/>
              <w:left w:val="single" w:sz="4" w:space="0" w:color="auto"/>
              <w:bottom w:val="dotted" w:sz="4" w:space="0" w:color="auto"/>
              <w:right w:val="single" w:sz="4" w:space="0" w:color="auto"/>
            </w:tcBorders>
          </w:tcPr>
          <w:p w:rsidR="00222027" w:rsidRPr="00185167" w:rsidRDefault="00222027" w:rsidP="00DC1F87">
            <w:pPr>
              <w:jc w:val="center"/>
              <w:rPr>
                <w:bCs/>
                <w:szCs w:val="18"/>
              </w:rPr>
            </w:pPr>
            <w:r w:rsidRPr="00185167">
              <w:rPr>
                <w:bCs/>
                <w:szCs w:val="18"/>
              </w:rPr>
              <w:t>200 000</w:t>
            </w:r>
          </w:p>
        </w:tc>
        <w:tc>
          <w:tcPr>
            <w:tcW w:w="995" w:type="pct"/>
            <w:gridSpan w:val="2"/>
            <w:tcBorders>
              <w:top w:val="dotted" w:sz="4" w:space="0" w:color="auto"/>
              <w:left w:val="single" w:sz="4" w:space="0" w:color="auto"/>
              <w:bottom w:val="dotted" w:sz="4" w:space="0" w:color="auto"/>
              <w:right w:val="single" w:sz="4" w:space="0" w:color="auto"/>
            </w:tcBorders>
          </w:tcPr>
          <w:p w:rsidR="00222027" w:rsidRPr="00185167" w:rsidRDefault="00222027" w:rsidP="00DC1F87">
            <w:pPr>
              <w:jc w:val="center"/>
              <w:rPr>
                <w:bCs/>
                <w:szCs w:val="18"/>
              </w:rPr>
            </w:pPr>
            <w:r w:rsidRPr="00185167">
              <w:rPr>
                <w:bCs/>
                <w:szCs w:val="18"/>
              </w:rPr>
              <w:t>400 000</w:t>
            </w:r>
          </w:p>
        </w:tc>
        <w:tc>
          <w:tcPr>
            <w:tcW w:w="1043" w:type="pct"/>
            <w:tcBorders>
              <w:top w:val="dotted" w:sz="4" w:space="0" w:color="auto"/>
              <w:left w:val="single" w:sz="4" w:space="0" w:color="auto"/>
              <w:bottom w:val="dotted" w:sz="4" w:space="0" w:color="auto"/>
              <w:right w:val="single" w:sz="12" w:space="0" w:color="auto"/>
            </w:tcBorders>
          </w:tcPr>
          <w:p w:rsidR="00222027" w:rsidRPr="00185167" w:rsidRDefault="00222027" w:rsidP="00DC1F87">
            <w:pPr>
              <w:jc w:val="center"/>
              <w:rPr>
                <w:bCs/>
                <w:szCs w:val="18"/>
              </w:rPr>
            </w:pPr>
            <w:r>
              <w:rPr>
                <w:bCs/>
                <w:szCs w:val="18"/>
              </w:rPr>
              <w:t>1 0</w:t>
            </w:r>
            <w:r w:rsidRPr="00185167">
              <w:rPr>
                <w:bCs/>
                <w:szCs w:val="18"/>
              </w:rPr>
              <w:t>00 000</w:t>
            </w:r>
          </w:p>
        </w:tc>
      </w:tr>
      <w:tr w:rsidR="00222027" w:rsidRPr="00185167" w:rsidTr="004A6F83">
        <w:tblPrEx>
          <w:tblCellMar>
            <w:top w:w="0" w:type="dxa"/>
            <w:bottom w:w="0" w:type="dxa"/>
          </w:tblCellMar>
        </w:tblPrEx>
        <w:trPr>
          <w:cantSplit/>
          <w:jc w:val="center"/>
        </w:trPr>
        <w:tc>
          <w:tcPr>
            <w:tcW w:w="921" w:type="pct"/>
            <w:vMerge/>
            <w:tcBorders>
              <w:left w:val="single" w:sz="12" w:space="0" w:color="auto"/>
              <w:bottom w:val="single" w:sz="12" w:space="0" w:color="auto"/>
              <w:right w:val="single" w:sz="4" w:space="0" w:color="auto"/>
            </w:tcBorders>
            <w:vAlign w:val="center"/>
          </w:tcPr>
          <w:p w:rsidR="00222027" w:rsidRPr="00CC46A7" w:rsidRDefault="00222027" w:rsidP="00DC1F87">
            <w:pPr>
              <w:jc w:val="center"/>
              <w:rPr>
                <w:bCs/>
                <w:szCs w:val="18"/>
              </w:rPr>
            </w:pPr>
          </w:p>
        </w:tc>
        <w:tc>
          <w:tcPr>
            <w:tcW w:w="1046" w:type="pct"/>
            <w:gridSpan w:val="2"/>
            <w:tcBorders>
              <w:top w:val="dotted" w:sz="4" w:space="0" w:color="auto"/>
              <w:left w:val="single" w:sz="4" w:space="0" w:color="auto"/>
              <w:bottom w:val="single" w:sz="12" w:space="0" w:color="auto"/>
              <w:right w:val="single" w:sz="4" w:space="0" w:color="auto"/>
            </w:tcBorders>
          </w:tcPr>
          <w:p w:rsidR="00222027" w:rsidRPr="00CC46A7" w:rsidRDefault="00222027" w:rsidP="00DC1F87">
            <w:pPr>
              <w:jc w:val="center"/>
              <w:rPr>
                <w:bCs/>
                <w:szCs w:val="18"/>
              </w:rPr>
            </w:pPr>
            <w:r w:rsidRPr="00CC46A7">
              <w:rPr>
                <w:bCs/>
                <w:szCs w:val="18"/>
              </w:rPr>
              <w:t>O</w:t>
            </w:r>
            <w:r>
              <w:rPr>
                <w:bCs/>
                <w:szCs w:val="18"/>
              </w:rPr>
              <w:t>2</w:t>
            </w:r>
          </w:p>
        </w:tc>
        <w:tc>
          <w:tcPr>
            <w:tcW w:w="995" w:type="pct"/>
            <w:tcBorders>
              <w:top w:val="dotted" w:sz="4" w:space="0" w:color="auto"/>
              <w:left w:val="single" w:sz="4" w:space="0" w:color="auto"/>
              <w:bottom w:val="single" w:sz="12" w:space="0" w:color="auto"/>
              <w:right w:val="single" w:sz="4" w:space="0" w:color="auto"/>
            </w:tcBorders>
          </w:tcPr>
          <w:p w:rsidR="00222027" w:rsidRPr="00185167" w:rsidRDefault="00222027" w:rsidP="00DC1F87">
            <w:pPr>
              <w:jc w:val="center"/>
              <w:rPr>
                <w:bCs/>
                <w:szCs w:val="18"/>
              </w:rPr>
            </w:pPr>
            <w:r>
              <w:rPr>
                <w:bCs/>
                <w:szCs w:val="18"/>
              </w:rPr>
              <w:t>5</w:t>
            </w:r>
            <w:r w:rsidRPr="00185167">
              <w:rPr>
                <w:bCs/>
                <w:szCs w:val="18"/>
              </w:rPr>
              <w:t>00 000</w:t>
            </w:r>
          </w:p>
        </w:tc>
        <w:tc>
          <w:tcPr>
            <w:tcW w:w="995" w:type="pct"/>
            <w:gridSpan w:val="2"/>
            <w:tcBorders>
              <w:top w:val="dotted" w:sz="4" w:space="0" w:color="auto"/>
              <w:left w:val="single" w:sz="4" w:space="0" w:color="auto"/>
              <w:bottom w:val="single" w:sz="12" w:space="0" w:color="auto"/>
              <w:right w:val="single" w:sz="4" w:space="0" w:color="auto"/>
            </w:tcBorders>
          </w:tcPr>
          <w:p w:rsidR="00222027" w:rsidRPr="00185167" w:rsidRDefault="00222027" w:rsidP="00DC1F87">
            <w:pPr>
              <w:jc w:val="center"/>
              <w:rPr>
                <w:bCs/>
                <w:szCs w:val="18"/>
              </w:rPr>
            </w:pPr>
            <w:r w:rsidRPr="00185167">
              <w:rPr>
                <w:bCs/>
                <w:szCs w:val="18"/>
              </w:rPr>
              <w:t>600 000</w:t>
            </w:r>
          </w:p>
        </w:tc>
        <w:tc>
          <w:tcPr>
            <w:tcW w:w="1043" w:type="pct"/>
            <w:tcBorders>
              <w:top w:val="dotted" w:sz="4" w:space="0" w:color="auto"/>
              <w:left w:val="single" w:sz="4" w:space="0" w:color="auto"/>
              <w:bottom w:val="single" w:sz="12" w:space="0" w:color="auto"/>
              <w:right w:val="single" w:sz="12" w:space="0" w:color="auto"/>
            </w:tcBorders>
          </w:tcPr>
          <w:p w:rsidR="00222027" w:rsidRPr="00185167" w:rsidRDefault="00222027" w:rsidP="00DC1F87">
            <w:pPr>
              <w:jc w:val="center"/>
              <w:rPr>
                <w:bCs/>
                <w:szCs w:val="18"/>
              </w:rPr>
            </w:pPr>
            <w:r>
              <w:rPr>
                <w:bCs/>
                <w:szCs w:val="18"/>
              </w:rPr>
              <w:t>2 50</w:t>
            </w:r>
            <w:r w:rsidRPr="00185167">
              <w:rPr>
                <w:bCs/>
                <w:szCs w:val="18"/>
              </w:rPr>
              <w:t>0 000</w:t>
            </w:r>
          </w:p>
        </w:tc>
      </w:tr>
    </w:tbl>
    <w:p w:rsidR="00222027" w:rsidRDefault="00222027"/>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Default="001E2A3C" w:rsidP="00740013">
      <w:pPr>
        <w:autoSpaceDE w:val="0"/>
        <w:autoSpaceDN w:val="0"/>
        <w:adjustRightInd w:val="0"/>
        <w:spacing w:before="0" w:line="280" w:lineRule="atLeast"/>
        <w:ind w:left="357"/>
        <w:jc w:val="both"/>
        <w:rPr>
          <w:sz w:val="19"/>
          <w:szCs w:val="19"/>
        </w:rPr>
      </w:pPr>
    </w:p>
    <w:p w:rsidR="001E2A3C" w:rsidRPr="00387BA8" w:rsidRDefault="001E2A3C" w:rsidP="00740013">
      <w:pPr>
        <w:autoSpaceDE w:val="0"/>
        <w:autoSpaceDN w:val="0"/>
        <w:adjustRightInd w:val="0"/>
        <w:spacing w:before="0" w:line="280" w:lineRule="atLeast"/>
        <w:ind w:left="357"/>
        <w:jc w:val="both"/>
        <w:rPr>
          <w:sz w:val="19"/>
          <w:szCs w:val="19"/>
        </w:rPr>
      </w:pPr>
    </w:p>
    <w:p w:rsidR="00D47CF4" w:rsidRPr="00387BA8" w:rsidRDefault="00D47CF4" w:rsidP="001F7B8C">
      <w:pPr>
        <w:pStyle w:val="Nadpis1"/>
      </w:pPr>
      <w:bookmarkStart w:id="18" w:name="_Toc450552717"/>
      <w:r w:rsidRPr="00387BA8">
        <w:t>Škodové pojištění skel</w:t>
      </w:r>
      <w:bookmarkEnd w:id="18"/>
    </w:p>
    <w:p w:rsidR="00D47CF4" w:rsidRPr="00387BA8" w:rsidRDefault="00D47CF4" w:rsidP="009C6A19">
      <w:pPr>
        <w:pStyle w:val="Nadpis2"/>
      </w:pPr>
      <w:bookmarkStart w:id="19" w:name="_Toc450552718"/>
      <w:r w:rsidRPr="00387BA8">
        <w:t>Předmět pojištění, pojistná hodnota, pojistná částka</w:t>
      </w:r>
      <w:bookmarkEnd w:id="19"/>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387"/>
        <w:gridCol w:w="1559"/>
        <w:gridCol w:w="1667"/>
      </w:tblGrid>
      <w:tr w:rsidR="00740013" w:rsidRPr="00387BA8" w:rsidTr="00740013">
        <w:trPr>
          <w:cantSplit/>
        </w:trPr>
        <w:tc>
          <w:tcPr>
            <w:tcW w:w="567" w:type="dxa"/>
            <w:tcBorders>
              <w:bottom w:val="single" w:sz="4" w:space="0" w:color="auto"/>
            </w:tcBorders>
            <w:shd w:val="clear" w:color="auto" w:fill="F3F3F3"/>
            <w:vAlign w:val="center"/>
          </w:tcPr>
          <w:p w:rsidR="00740013" w:rsidRPr="00387BA8" w:rsidRDefault="00740013" w:rsidP="00153F26">
            <w:pPr>
              <w:spacing w:line="280" w:lineRule="atLeast"/>
              <w:rPr>
                <w:b/>
                <w:szCs w:val="18"/>
              </w:rPr>
            </w:pPr>
            <w:proofErr w:type="spellStart"/>
            <w:r w:rsidRPr="00387BA8">
              <w:rPr>
                <w:b/>
                <w:szCs w:val="18"/>
              </w:rPr>
              <w:t>Poř</w:t>
            </w:r>
            <w:proofErr w:type="spellEnd"/>
          </w:p>
        </w:tc>
        <w:tc>
          <w:tcPr>
            <w:tcW w:w="5387" w:type="dxa"/>
            <w:tcBorders>
              <w:bottom w:val="single" w:sz="4" w:space="0" w:color="auto"/>
            </w:tcBorders>
            <w:shd w:val="clear" w:color="auto" w:fill="F3F3F3"/>
            <w:vAlign w:val="center"/>
          </w:tcPr>
          <w:p w:rsidR="00740013" w:rsidRPr="00387BA8" w:rsidRDefault="00740013" w:rsidP="00153F26">
            <w:pPr>
              <w:spacing w:line="280" w:lineRule="atLeast"/>
              <w:rPr>
                <w:b/>
                <w:szCs w:val="18"/>
              </w:rPr>
            </w:pPr>
            <w:r w:rsidRPr="00387BA8">
              <w:rPr>
                <w:b/>
                <w:szCs w:val="18"/>
              </w:rPr>
              <w:t>Předmět pojištění</w:t>
            </w:r>
          </w:p>
        </w:tc>
        <w:tc>
          <w:tcPr>
            <w:tcW w:w="1559" w:type="dxa"/>
            <w:tcBorders>
              <w:bottom w:val="single" w:sz="4" w:space="0" w:color="auto"/>
            </w:tcBorders>
            <w:shd w:val="clear" w:color="auto" w:fill="F3F3F3"/>
          </w:tcPr>
          <w:p w:rsidR="00740013" w:rsidRPr="00387BA8" w:rsidRDefault="00740013" w:rsidP="00153F26">
            <w:pPr>
              <w:spacing w:line="280" w:lineRule="atLeast"/>
              <w:jc w:val="right"/>
              <w:rPr>
                <w:b/>
                <w:szCs w:val="18"/>
              </w:rPr>
            </w:pPr>
            <w:r w:rsidRPr="00387BA8">
              <w:rPr>
                <w:b/>
                <w:szCs w:val="18"/>
              </w:rPr>
              <w:t>Pojistná částka</w:t>
            </w:r>
          </w:p>
        </w:tc>
        <w:tc>
          <w:tcPr>
            <w:tcW w:w="1667" w:type="dxa"/>
            <w:tcBorders>
              <w:bottom w:val="single" w:sz="4" w:space="0" w:color="auto"/>
            </w:tcBorders>
            <w:shd w:val="clear" w:color="auto" w:fill="F3F3F3"/>
            <w:vAlign w:val="center"/>
          </w:tcPr>
          <w:p w:rsidR="00740013" w:rsidRPr="00387BA8" w:rsidRDefault="00740013" w:rsidP="00153F26">
            <w:pPr>
              <w:spacing w:line="280" w:lineRule="atLeast"/>
              <w:rPr>
                <w:b/>
                <w:szCs w:val="18"/>
              </w:rPr>
            </w:pPr>
            <w:r w:rsidRPr="00387BA8">
              <w:rPr>
                <w:b/>
                <w:szCs w:val="18"/>
              </w:rPr>
              <w:t>Pozn.</w:t>
            </w:r>
          </w:p>
        </w:tc>
      </w:tr>
      <w:tr w:rsidR="00740013" w:rsidRPr="00C23FDE" w:rsidTr="00740013">
        <w:tc>
          <w:tcPr>
            <w:tcW w:w="567" w:type="dxa"/>
            <w:vAlign w:val="center"/>
          </w:tcPr>
          <w:p w:rsidR="00740013" w:rsidRPr="00C23FDE" w:rsidRDefault="00740013" w:rsidP="00153F26">
            <w:pPr>
              <w:spacing w:line="280" w:lineRule="atLeast"/>
              <w:jc w:val="center"/>
              <w:rPr>
                <w:sz w:val="16"/>
                <w:szCs w:val="16"/>
              </w:rPr>
            </w:pPr>
            <w:r w:rsidRPr="00C23FDE">
              <w:rPr>
                <w:sz w:val="16"/>
                <w:szCs w:val="16"/>
              </w:rPr>
              <w:t>1</w:t>
            </w:r>
          </w:p>
        </w:tc>
        <w:tc>
          <w:tcPr>
            <w:tcW w:w="5387" w:type="dxa"/>
          </w:tcPr>
          <w:p w:rsidR="00740013" w:rsidRPr="00F96F29" w:rsidRDefault="00740013" w:rsidP="00F96F29">
            <w:pPr>
              <w:spacing w:line="280" w:lineRule="atLeast"/>
              <w:rPr>
                <w:rFonts w:eastAsia="Calibri" w:cs="Times New Roman"/>
                <w:color w:val="000000"/>
                <w:sz w:val="16"/>
                <w:szCs w:val="16"/>
                <w:lang w:eastAsia="en-US"/>
              </w:rPr>
            </w:pPr>
            <w:r w:rsidRPr="00F96F29">
              <w:rPr>
                <w:rFonts w:eastAsia="Calibri" w:cs="Times New Roman"/>
                <w:color w:val="000000"/>
                <w:sz w:val="16"/>
                <w:szCs w:val="16"/>
                <w:lang w:eastAsia="en-US"/>
              </w:rPr>
              <w:t xml:space="preserve">Soubor  skel  -  skleněných    </w:t>
            </w:r>
            <w:proofErr w:type="gramStart"/>
            <w:r w:rsidRPr="00F96F29">
              <w:rPr>
                <w:rFonts w:eastAsia="Calibri" w:cs="Times New Roman"/>
                <w:color w:val="000000"/>
                <w:sz w:val="16"/>
                <w:szCs w:val="16"/>
                <w:lang w:eastAsia="en-US"/>
              </w:rPr>
              <w:t>výplní    stavebních</w:t>
            </w:r>
            <w:proofErr w:type="gramEnd"/>
            <w:r w:rsidRPr="00F96F29">
              <w:rPr>
                <w:rFonts w:eastAsia="Calibri" w:cs="Times New Roman"/>
                <w:color w:val="000000"/>
                <w:sz w:val="16"/>
                <w:szCs w:val="16"/>
                <w:lang w:eastAsia="en-US"/>
              </w:rPr>
              <w:t xml:space="preserve">    součástí    (okenních, dveřních, výlohových), skleněné  výplně  movitého  charakteru  uvnitř  budovy (skleněné pulty, skleněné stěny, výstavní skříňky a vitríny, zrcadla, obložení stěn, stropů a podhledů apod.)  bez  udání   tloušťky  skla  včetně  nalepených (neodnímatelných) snímačů zabezpečovacích zařízení nebo elektrické instalace související se sklem, nalepených fólií, nápisů, malby a  jiných výzdob, dále reklamních tabulí, štítů, markýz, butonů,  reklamních  a  jiných nápisů, fasádních obložení vnějších stěn budov, vnější vitríny apod., světelné neónové nápisy a světelné </w:t>
            </w:r>
            <w:r w:rsidR="0043665C" w:rsidRPr="00F96F29">
              <w:rPr>
                <w:rFonts w:eastAsia="Calibri" w:cs="Times New Roman"/>
                <w:color w:val="000000"/>
                <w:sz w:val="16"/>
                <w:szCs w:val="16"/>
                <w:lang w:eastAsia="en-US"/>
              </w:rPr>
              <w:t>reklamy a nápisy včetně elektro</w:t>
            </w:r>
            <w:r w:rsidRPr="00F96F29">
              <w:rPr>
                <w:rFonts w:eastAsia="Calibri" w:cs="Times New Roman"/>
                <w:color w:val="000000"/>
                <w:sz w:val="16"/>
                <w:szCs w:val="16"/>
                <w:lang w:eastAsia="en-US"/>
              </w:rPr>
              <w:t>instalace a nosných rámů a konstrukcí apod.</w:t>
            </w:r>
          </w:p>
        </w:tc>
        <w:tc>
          <w:tcPr>
            <w:tcW w:w="1559" w:type="dxa"/>
            <w:vAlign w:val="center"/>
          </w:tcPr>
          <w:p w:rsidR="00740013" w:rsidRPr="00C23FDE" w:rsidRDefault="00740013" w:rsidP="00153F26">
            <w:pPr>
              <w:jc w:val="right"/>
              <w:rPr>
                <w:bCs/>
                <w:color w:val="000000"/>
                <w:sz w:val="16"/>
                <w:szCs w:val="16"/>
              </w:rPr>
            </w:pPr>
            <w:r w:rsidRPr="00C23FDE">
              <w:rPr>
                <w:bCs/>
                <w:color w:val="000000"/>
                <w:sz w:val="16"/>
                <w:szCs w:val="16"/>
              </w:rPr>
              <w:t>500 000 Kč</w:t>
            </w:r>
          </w:p>
        </w:tc>
        <w:tc>
          <w:tcPr>
            <w:tcW w:w="1667" w:type="dxa"/>
            <w:vAlign w:val="center"/>
          </w:tcPr>
          <w:p w:rsidR="00740013" w:rsidRPr="00C23FDE" w:rsidRDefault="00740013" w:rsidP="00153F26">
            <w:pPr>
              <w:spacing w:before="0"/>
              <w:rPr>
                <w:bCs/>
                <w:sz w:val="16"/>
                <w:szCs w:val="16"/>
              </w:rPr>
            </w:pPr>
            <w:r w:rsidRPr="00C23FDE">
              <w:rPr>
                <w:bCs/>
                <w:sz w:val="16"/>
                <w:szCs w:val="16"/>
              </w:rPr>
              <w:t>Nová hodnota</w:t>
            </w:r>
          </w:p>
          <w:p w:rsidR="00740013" w:rsidRPr="00C23FDE" w:rsidRDefault="00740013" w:rsidP="00153F26">
            <w:pPr>
              <w:spacing w:before="0"/>
              <w:rPr>
                <w:bCs/>
                <w:sz w:val="16"/>
                <w:szCs w:val="16"/>
              </w:rPr>
            </w:pPr>
            <w:r w:rsidRPr="00C23FDE">
              <w:rPr>
                <w:bCs/>
                <w:sz w:val="16"/>
                <w:szCs w:val="16"/>
              </w:rPr>
              <w:t>První riziko</w:t>
            </w:r>
          </w:p>
        </w:tc>
      </w:tr>
    </w:tbl>
    <w:p w:rsidR="00740013" w:rsidRPr="00C23FDE" w:rsidRDefault="00740013" w:rsidP="00740013">
      <w:pPr>
        <w:rPr>
          <w:sz w:val="16"/>
          <w:szCs w:val="16"/>
        </w:rPr>
      </w:pPr>
    </w:p>
    <w:p w:rsidR="00D47CF4" w:rsidRPr="00C23FDE" w:rsidRDefault="00D47CF4" w:rsidP="009C6A19">
      <w:pPr>
        <w:pStyle w:val="Nadpis2"/>
      </w:pPr>
      <w:bookmarkStart w:id="20" w:name="_Toc450552719"/>
      <w:r w:rsidRPr="00C23FDE">
        <w:t>Pojistná nebezpečí</w:t>
      </w:r>
      <w:r w:rsidR="00740013" w:rsidRPr="00C23FDE">
        <w:t>, limity plnění a spoluúčasti</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3"/>
        <w:gridCol w:w="1738"/>
        <w:gridCol w:w="1545"/>
      </w:tblGrid>
      <w:tr w:rsidR="00C23FDE" w:rsidRPr="00C23FDE" w:rsidTr="00C23FDE">
        <w:trPr>
          <w:cantSplit/>
          <w:trHeight w:val="334"/>
        </w:trPr>
        <w:tc>
          <w:tcPr>
            <w:tcW w:w="3232" w:type="pct"/>
            <w:shd w:val="clear" w:color="auto" w:fill="F3F3F3"/>
            <w:vAlign w:val="center"/>
          </w:tcPr>
          <w:p w:rsidR="00C23FDE" w:rsidRPr="00C23FDE" w:rsidRDefault="00C23FDE" w:rsidP="00153F26">
            <w:pPr>
              <w:spacing w:line="280" w:lineRule="atLeast"/>
              <w:rPr>
                <w:b/>
                <w:szCs w:val="18"/>
              </w:rPr>
            </w:pPr>
            <w:r w:rsidRPr="00C23FDE">
              <w:rPr>
                <w:b/>
                <w:szCs w:val="18"/>
              </w:rPr>
              <w:t xml:space="preserve">Druh </w:t>
            </w:r>
          </w:p>
        </w:tc>
        <w:tc>
          <w:tcPr>
            <w:tcW w:w="936" w:type="pct"/>
            <w:shd w:val="clear" w:color="auto" w:fill="F3F3F3"/>
            <w:vAlign w:val="center"/>
          </w:tcPr>
          <w:p w:rsidR="00C23FDE" w:rsidRPr="00C23FDE" w:rsidRDefault="00C23FDE" w:rsidP="00153F26">
            <w:pPr>
              <w:spacing w:line="280" w:lineRule="atLeast"/>
              <w:jc w:val="center"/>
              <w:rPr>
                <w:b/>
                <w:szCs w:val="18"/>
              </w:rPr>
            </w:pPr>
            <w:r w:rsidRPr="00C23FDE">
              <w:rPr>
                <w:b/>
                <w:szCs w:val="18"/>
              </w:rPr>
              <w:t>Limit plnění</w:t>
            </w:r>
          </w:p>
        </w:tc>
        <w:tc>
          <w:tcPr>
            <w:tcW w:w="832" w:type="pct"/>
            <w:shd w:val="clear" w:color="auto" w:fill="F3F3F3"/>
            <w:vAlign w:val="center"/>
          </w:tcPr>
          <w:p w:rsidR="00C23FDE" w:rsidRPr="00C23FDE" w:rsidRDefault="00C23FDE" w:rsidP="00153F26">
            <w:pPr>
              <w:spacing w:line="280" w:lineRule="atLeast"/>
              <w:jc w:val="center"/>
              <w:rPr>
                <w:b/>
                <w:szCs w:val="18"/>
              </w:rPr>
            </w:pPr>
            <w:r w:rsidRPr="00C23FDE">
              <w:rPr>
                <w:b/>
                <w:szCs w:val="18"/>
              </w:rPr>
              <w:t xml:space="preserve">Spoluúčast </w:t>
            </w:r>
          </w:p>
        </w:tc>
      </w:tr>
      <w:tr w:rsidR="00C23FDE" w:rsidRPr="00C23FDE" w:rsidTr="00C23FDE">
        <w:trPr>
          <w:cantSplit/>
        </w:trPr>
        <w:tc>
          <w:tcPr>
            <w:tcW w:w="3232" w:type="pct"/>
            <w:vAlign w:val="center"/>
          </w:tcPr>
          <w:p w:rsidR="00C23FDE" w:rsidRPr="00C23FDE" w:rsidRDefault="00C23FDE" w:rsidP="00740013">
            <w:pPr>
              <w:spacing w:after="120"/>
              <w:rPr>
                <w:szCs w:val="18"/>
              </w:rPr>
            </w:pPr>
            <w:r w:rsidRPr="00C23FDE">
              <w:rPr>
                <w:szCs w:val="18"/>
              </w:rPr>
              <w:t>Pro věci pojištěné dle odstavce 4.1 se pojištění sjednává pro případ náhlého poškození nebo zničení pojištěného zařízen</w:t>
            </w:r>
            <w:r w:rsidR="00471C57">
              <w:rPr>
                <w:szCs w:val="18"/>
              </w:rPr>
              <w:t>í jakoukoliv nahodilou událostí.</w:t>
            </w:r>
          </w:p>
        </w:tc>
        <w:tc>
          <w:tcPr>
            <w:tcW w:w="936" w:type="pct"/>
            <w:vAlign w:val="center"/>
          </w:tcPr>
          <w:p w:rsidR="00C23FDE" w:rsidRPr="00C23FDE" w:rsidRDefault="00C23FDE" w:rsidP="00740013">
            <w:pPr>
              <w:spacing w:before="0"/>
              <w:jc w:val="right"/>
              <w:rPr>
                <w:szCs w:val="18"/>
              </w:rPr>
            </w:pPr>
            <w:r w:rsidRPr="00C23FDE">
              <w:rPr>
                <w:szCs w:val="18"/>
              </w:rPr>
              <w:t>500 000 Kč</w:t>
            </w:r>
          </w:p>
        </w:tc>
        <w:tc>
          <w:tcPr>
            <w:tcW w:w="832" w:type="pct"/>
            <w:vAlign w:val="center"/>
          </w:tcPr>
          <w:p w:rsidR="00C23FDE" w:rsidRPr="00C23FDE" w:rsidRDefault="00C23FDE" w:rsidP="00740013">
            <w:pPr>
              <w:spacing w:before="0"/>
              <w:jc w:val="right"/>
              <w:rPr>
                <w:bCs/>
                <w:szCs w:val="18"/>
              </w:rPr>
            </w:pPr>
            <w:r w:rsidRPr="00C23FDE">
              <w:rPr>
                <w:bCs/>
                <w:szCs w:val="18"/>
              </w:rPr>
              <w:t>1 000 Kč</w:t>
            </w:r>
          </w:p>
        </w:tc>
      </w:tr>
    </w:tbl>
    <w:p w:rsidR="00740013" w:rsidRPr="00387BA8" w:rsidRDefault="00740013" w:rsidP="00740013"/>
    <w:p w:rsidR="00D47CF4" w:rsidRPr="00387BA8" w:rsidRDefault="00D47CF4" w:rsidP="00D84A51">
      <w:pPr>
        <w:pStyle w:val="Nadpis2"/>
      </w:pPr>
      <w:bookmarkStart w:id="21" w:name="_Toc450552720"/>
      <w:r w:rsidRPr="00387BA8">
        <w:t>Zvláštní ujednání</w:t>
      </w:r>
      <w:r w:rsidR="009B2B04" w:rsidRPr="00387BA8">
        <w:t xml:space="preserve"> k pojištění skel</w:t>
      </w:r>
      <w:bookmarkEnd w:id="21"/>
    </w:p>
    <w:p w:rsidR="00D84A51" w:rsidRPr="00387BA8" w:rsidRDefault="00D84A51" w:rsidP="00D963C4">
      <w:pPr>
        <w:numPr>
          <w:ilvl w:val="0"/>
          <w:numId w:val="8"/>
        </w:numPr>
        <w:autoSpaceDE w:val="0"/>
        <w:autoSpaceDN w:val="0"/>
        <w:adjustRightInd w:val="0"/>
        <w:spacing w:before="0" w:after="120" w:line="280" w:lineRule="atLeast"/>
        <w:jc w:val="both"/>
        <w:rPr>
          <w:sz w:val="19"/>
          <w:szCs w:val="19"/>
        </w:rPr>
      </w:pPr>
      <w:r w:rsidRPr="00387BA8">
        <w:rPr>
          <w:sz w:val="19"/>
          <w:szCs w:val="19"/>
        </w:rPr>
        <w:t>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(např. ochranných mříží, markýz, uzávěrů oken apod.), maximálně však do výše 30 % pojistné částky.</w:t>
      </w:r>
    </w:p>
    <w:p w:rsidR="00D84A51" w:rsidRPr="00387BA8" w:rsidRDefault="00D84A51" w:rsidP="00D963C4">
      <w:pPr>
        <w:numPr>
          <w:ilvl w:val="0"/>
          <w:numId w:val="8"/>
        </w:numPr>
        <w:autoSpaceDE w:val="0"/>
        <w:autoSpaceDN w:val="0"/>
        <w:adjustRightInd w:val="0"/>
        <w:spacing w:before="0" w:after="120" w:line="280" w:lineRule="atLeast"/>
        <w:jc w:val="both"/>
        <w:rPr>
          <w:sz w:val="19"/>
          <w:szCs w:val="19"/>
        </w:rPr>
      </w:pPr>
      <w:r w:rsidRPr="00387BA8">
        <w:rPr>
          <w:sz w:val="19"/>
          <w:szCs w:val="19"/>
        </w:rPr>
        <w:t>Pojištění se vztahuje na skla bez ohledu na jejich tloušťku.</w:t>
      </w:r>
    </w:p>
    <w:p w:rsidR="009B652A" w:rsidRPr="00387BA8" w:rsidRDefault="009B652A" w:rsidP="00D963C4">
      <w:pPr>
        <w:numPr>
          <w:ilvl w:val="0"/>
          <w:numId w:val="8"/>
        </w:numPr>
        <w:autoSpaceDE w:val="0"/>
        <w:autoSpaceDN w:val="0"/>
        <w:adjustRightInd w:val="0"/>
        <w:spacing w:before="0" w:after="120" w:line="280" w:lineRule="atLeast"/>
        <w:jc w:val="both"/>
        <w:rPr>
          <w:sz w:val="19"/>
          <w:szCs w:val="19"/>
        </w:rPr>
      </w:pPr>
      <w:r w:rsidRPr="00387BA8">
        <w:rPr>
          <w:sz w:val="19"/>
          <w:szCs w:val="19"/>
        </w:rPr>
        <w:t xml:space="preserve">Pojištěny jsou náklady na lešení či jiné pomocné prostředky </w:t>
      </w:r>
      <w:r w:rsidR="008F123A" w:rsidRPr="00387BA8">
        <w:rPr>
          <w:sz w:val="19"/>
          <w:szCs w:val="19"/>
        </w:rPr>
        <w:t xml:space="preserve">sloužící </w:t>
      </w:r>
      <w:r w:rsidRPr="00387BA8">
        <w:rPr>
          <w:sz w:val="19"/>
          <w:szCs w:val="19"/>
        </w:rPr>
        <w:t>k opravě či výměně skel</w:t>
      </w:r>
      <w:r w:rsidR="008F123A" w:rsidRPr="00387BA8">
        <w:rPr>
          <w:sz w:val="19"/>
          <w:szCs w:val="19"/>
        </w:rPr>
        <w:t>.</w:t>
      </w:r>
      <w:r w:rsidRPr="00387BA8">
        <w:rPr>
          <w:sz w:val="19"/>
          <w:szCs w:val="19"/>
        </w:rPr>
        <w:t xml:space="preserve"> </w:t>
      </w:r>
    </w:p>
    <w:p w:rsidR="00260094" w:rsidRPr="00387BA8" w:rsidRDefault="00260094" w:rsidP="005E0B25">
      <w:pPr>
        <w:spacing w:before="0" w:after="120" w:line="280" w:lineRule="atLeast"/>
        <w:jc w:val="both"/>
        <w:rPr>
          <w:sz w:val="20"/>
        </w:rPr>
      </w:pPr>
    </w:p>
    <w:p w:rsidR="00D47CF4" w:rsidRPr="00387BA8" w:rsidRDefault="00D47CF4" w:rsidP="00260094">
      <w:pPr>
        <w:pStyle w:val="Nadpis1"/>
      </w:pPr>
      <w:bookmarkStart w:id="22" w:name="_Toc450552721"/>
      <w:r w:rsidRPr="00387BA8">
        <w:t>Škodové pojištění elektroniky</w:t>
      </w:r>
      <w:bookmarkEnd w:id="22"/>
    </w:p>
    <w:p w:rsidR="00D47CF4" w:rsidRPr="00387BA8" w:rsidRDefault="00D47CF4" w:rsidP="00747619">
      <w:pPr>
        <w:pStyle w:val="Nadpis2"/>
        <w:ind w:left="476" w:hanging="476"/>
      </w:pPr>
      <w:bookmarkStart w:id="23" w:name="_Toc450552722"/>
      <w:r w:rsidRPr="00387BA8">
        <w:t>Předmět pojištění, pojistná hodnota, pojistná částka</w:t>
      </w:r>
      <w:r w:rsidR="00747619" w:rsidRPr="00387BA8">
        <w:t>, spoluúčast</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361"/>
        <w:gridCol w:w="1558"/>
        <w:gridCol w:w="1276"/>
        <w:gridCol w:w="1523"/>
      </w:tblGrid>
      <w:tr w:rsidR="000F13C0" w:rsidRPr="00387BA8" w:rsidTr="000F13C0">
        <w:trPr>
          <w:cantSplit/>
        </w:trPr>
        <w:tc>
          <w:tcPr>
            <w:tcW w:w="306" w:type="pct"/>
            <w:tcBorders>
              <w:bottom w:val="single" w:sz="4" w:space="0" w:color="auto"/>
            </w:tcBorders>
            <w:shd w:val="clear" w:color="auto" w:fill="F3F3F3"/>
            <w:vAlign w:val="center"/>
          </w:tcPr>
          <w:p w:rsidR="000F13C0" w:rsidRPr="00387BA8" w:rsidRDefault="000F13C0" w:rsidP="00E74986">
            <w:pPr>
              <w:spacing w:line="280" w:lineRule="atLeast"/>
              <w:rPr>
                <w:b/>
                <w:szCs w:val="18"/>
              </w:rPr>
            </w:pPr>
          </w:p>
        </w:tc>
        <w:tc>
          <w:tcPr>
            <w:tcW w:w="2348" w:type="pct"/>
            <w:tcBorders>
              <w:bottom w:val="single" w:sz="4" w:space="0" w:color="auto"/>
            </w:tcBorders>
            <w:shd w:val="clear" w:color="auto" w:fill="F3F3F3"/>
            <w:vAlign w:val="center"/>
          </w:tcPr>
          <w:p w:rsidR="000F13C0" w:rsidRPr="00387BA8" w:rsidRDefault="000F13C0" w:rsidP="00E74986">
            <w:pPr>
              <w:spacing w:line="280" w:lineRule="atLeast"/>
              <w:rPr>
                <w:b/>
                <w:szCs w:val="18"/>
              </w:rPr>
            </w:pPr>
            <w:r w:rsidRPr="00387BA8">
              <w:rPr>
                <w:b/>
                <w:szCs w:val="18"/>
              </w:rPr>
              <w:t>Předmět pojištění</w:t>
            </w:r>
          </w:p>
        </w:tc>
        <w:tc>
          <w:tcPr>
            <w:tcW w:w="839" w:type="pct"/>
            <w:tcBorders>
              <w:bottom w:val="single" w:sz="4" w:space="0" w:color="auto"/>
            </w:tcBorders>
            <w:shd w:val="clear" w:color="auto" w:fill="F3F3F3"/>
          </w:tcPr>
          <w:p w:rsidR="000F13C0" w:rsidRPr="00387BA8" w:rsidRDefault="000F13C0" w:rsidP="00260094">
            <w:pPr>
              <w:spacing w:line="280" w:lineRule="atLeast"/>
              <w:jc w:val="right"/>
              <w:rPr>
                <w:b/>
                <w:szCs w:val="18"/>
              </w:rPr>
            </w:pPr>
            <w:r w:rsidRPr="00387BA8">
              <w:rPr>
                <w:b/>
                <w:szCs w:val="18"/>
              </w:rPr>
              <w:t>Pojistná částka</w:t>
            </w:r>
          </w:p>
        </w:tc>
        <w:tc>
          <w:tcPr>
            <w:tcW w:w="687" w:type="pct"/>
            <w:tcBorders>
              <w:bottom w:val="single" w:sz="4" w:space="0" w:color="auto"/>
            </w:tcBorders>
            <w:shd w:val="clear" w:color="auto" w:fill="F3F3F3"/>
          </w:tcPr>
          <w:p w:rsidR="000F13C0" w:rsidRPr="00387BA8" w:rsidRDefault="000F13C0" w:rsidP="00E74986">
            <w:pPr>
              <w:spacing w:line="280" w:lineRule="atLeast"/>
              <w:jc w:val="right"/>
              <w:rPr>
                <w:b/>
                <w:szCs w:val="18"/>
              </w:rPr>
            </w:pPr>
            <w:r w:rsidRPr="00387BA8">
              <w:rPr>
                <w:b/>
                <w:szCs w:val="18"/>
              </w:rPr>
              <w:t>Spoluúčast</w:t>
            </w:r>
          </w:p>
        </w:tc>
        <w:tc>
          <w:tcPr>
            <w:tcW w:w="820" w:type="pct"/>
            <w:tcBorders>
              <w:bottom w:val="single" w:sz="4" w:space="0" w:color="auto"/>
            </w:tcBorders>
            <w:shd w:val="clear" w:color="auto" w:fill="F3F3F3"/>
          </w:tcPr>
          <w:p w:rsidR="000F13C0" w:rsidRPr="00387BA8" w:rsidRDefault="000F13C0" w:rsidP="00E74986">
            <w:pPr>
              <w:spacing w:line="280" w:lineRule="atLeast"/>
              <w:jc w:val="right"/>
              <w:rPr>
                <w:b/>
                <w:szCs w:val="18"/>
              </w:rPr>
            </w:pPr>
            <w:r w:rsidRPr="00387BA8">
              <w:rPr>
                <w:b/>
                <w:szCs w:val="18"/>
              </w:rPr>
              <w:t>Pozn.</w:t>
            </w:r>
          </w:p>
        </w:tc>
      </w:tr>
      <w:tr w:rsidR="000F13C0" w:rsidRPr="00387BA8" w:rsidTr="000F13C0">
        <w:tc>
          <w:tcPr>
            <w:tcW w:w="306" w:type="pct"/>
            <w:vAlign w:val="center"/>
          </w:tcPr>
          <w:p w:rsidR="000F13C0" w:rsidRPr="00C23FDE" w:rsidRDefault="000F13C0" w:rsidP="00E74986">
            <w:pPr>
              <w:spacing w:line="280" w:lineRule="atLeast"/>
              <w:jc w:val="center"/>
              <w:rPr>
                <w:sz w:val="16"/>
                <w:szCs w:val="16"/>
              </w:rPr>
            </w:pPr>
            <w:r w:rsidRPr="00C23FDE">
              <w:rPr>
                <w:sz w:val="16"/>
                <w:szCs w:val="16"/>
              </w:rPr>
              <w:t>1</w:t>
            </w:r>
          </w:p>
        </w:tc>
        <w:tc>
          <w:tcPr>
            <w:tcW w:w="2348" w:type="pct"/>
          </w:tcPr>
          <w:p w:rsidR="0043665C" w:rsidRPr="00C23FDE" w:rsidRDefault="000F13C0" w:rsidP="000F67C7">
            <w:pPr>
              <w:spacing w:before="0" w:line="280" w:lineRule="atLeast"/>
              <w:rPr>
                <w:sz w:val="16"/>
                <w:szCs w:val="16"/>
              </w:rPr>
            </w:pPr>
            <w:r w:rsidRPr="00C23FDE">
              <w:rPr>
                <w:sz w:val="16"/>
                <w:szCs w:val="16"/>
              </w:rPr>
              <w:t xml:space="preserve">Soubor vlastní a cizí elektroniky  </w:t>
            </w:r>
          </w:p>
          <w:p w:rsidR="000F13C0" w:rsidRPr="00C23FDE" w:rsidRDefault="000F13C0" w:rsidP="000F67C7">
            <w:pPr>
              <w:spacing w:before="0" w:line="280" w:lineRule="atLeast"/>
              <w:rPr>
                <w:sz w:val="16"/>
                <w:szCs w:val="16"/>
              </w:rPr>
            </w:pPr>
            <w:r w:rsidRPr="00C23FDE">
              <w:rPr>
                <w:sz w:val="16"/>
                <w:szCs w:val="16"/>
              </w:rPr>
              <w:t xml:space="preserve">(stacionární i mobilní) </w:t>
            </w:r>
          </w:p>
        </w:tc>
        <w:tc>
          <w:tcPr>
            <w:tcW w:w="839" w:type="pct"/>
            <w:vAlign w:val="center"/>
          </w:tcPr>
          <w:p w:rsidR="000F13C0" w:rsidRPr="00C23FDE" w:rsidRDefault="000F13C0" w:rsidP="00260094">
            <w:pPr>
              <w:spacing w:line="280" w:lineRule="atLeast"/>
              <w:jc w:val="right"/>
              <w:rPr>
                <w:bCs/>
                <w:sz w:val="16"/>
                <w:szCs w:val="16"/>
              </w:rPr>
            </w:pPr>
            <w:r w:rsidRPr="00C23FDE">
              <w:rPr>
                <w:bCs/>
                <w:sz w:val="16"/>
                <w:szCs w:val="16"/>
              </w:rPr>
              <w:t>3 000</w:t>
            </w:r>
            <w:r w:rsidR="009B2B04" w:rsidRPr="00C23FDE">
              <w:rPr>
                <w:bCs/>
                <w:sz w:val="16"/>
                <w:szCs w:val="16"/>
              </w:rPr>
              <w:t> </w:t>
            </w:r>
            <w:r w:rsidRPr="00C23FDE">
              <w:rPr>
                <w:bCs/>
                <w:sz w:val="16"/>
                <w:szCs w:val="16"/>
              </w:rPr>
              <w:t>000</w:t>
            </w:r>
            <w:r w:rsidR="009B2B04" w:rsidRPr="00C23FDE">
              <w:rPr>
                <w:bCs/>
                <w:sz w:val="16"/>
                <w:szCs w:val="16"/>
              </w:rPr>
              <w:t xml:space="preserve"> Kč</w:t>
            </w:r>
          </w:p>
        </w:tc>
        <w:tc>
          <w:tcPr>
            <w:tcW w:w="687" w:type="pct"/>
            <w:vAlign w:val="center"/>
          </w:tcPr>
          <w:p w:rsidR="000F13C0" w:rsidRPr="00C23FDE" w:rsidRDefault="000F13C0" w:rsidP="00747619">
            <w:pPr>
              <w:spacing w:line="280" w:lineRule="atLeast"/>
              <w:jc w:val="right"/>
              <w:rPr>
                <w:bCs/>
                <w:sz w:val="16"/>
                <w:szCs w:val="16"/>
              </w:rPr>
            </w:pPr>
            <w:r w:rsidRPr="00C23FDE">
              <w:rPr>
                <w:bCs/>
                <w:sz w:val="16"/>
                <w:szCs w:val="16"/>
              </w:rPr>
              <w:t>5 000 Kč</w:t>
            </w:r>
          </w:p>
        </w:tc>
        <w:tc>
          <w:tcPr>
            <w:tcW w:w="820" w:type="pct"/>
            <w:vAlign w:val="center"/>
          </w:tcPr>
          <w:p w:rsidR="000F13C0" w:rsidRPr="00C23FDE" w:rsidRDefault="000F13C0" w:rsidP="000F13C0">
            <w:pPr>
              <w:spacing w:before="0"/>
              <w:rPr>
                <w:bCs/>
                <w:sz w:val="16"/>
                <w:szCs w:val="16"/>
              </w:rPr>
            </w:pPr>
            <w:r w:rsidRPr="00C23FDE">
              <w:rPr>
                <w:bCs/>
                <w:sz w:val="16"/>
                <w:szCs w:val="16"/>
              </w:rPr>
              <w:t>Nová hodnota</w:t>
            </w:r>
          </w:p>
          <w:p w:rsidR="000F13C0" w:rsidRPr="00C23FDE" w:rsidRDefault="000F13C0" w:rsidP="000F13C0">
            <w:pPr>
              <w:spacing w:before="0"/>
              <w:jc w:val="right"/>
              <w:rPr>
                <w:bCs/>
                <w:sz w:val="16"/>
                <w:szCs w:val="16"/>
              </w:rPr>
            </w:pPr>
            <w:r w:rsidRPr="00C23FDE">
              <w:rPr>
                <w:bCs/>
                <w:sz w:val="16"/>
                <w:szCs w:val="16"/>
              </w:rPr>
              <w:t>První riziko</w:t>
            </w:r>
          </w:p>
        </w:tc>
      </w:tr>
    </w:tbl>
    <w:p w:rsidR="00D47CF4" w:rsidRPr="00387BA8" w:rsidRDefault="00D47CF4" w:rsidP="00747619">
      <w:pPr>
        <w:pStyle w:val="Nadpis2"/>
      </w:pPr>
      <w:bookmarkStart w:id="24" w:name="_Toc450552723"/>
      <w:r w:rsidRPr="00387BA8">
        <w:t>Pojistná nebezpečí</w:t>
      </w:r>
      <w:bookmarkEnd w:id="24"/>
    </w:p>
    <w:p w:rsidR="00D47CF4" w:rsidRPr="008D400F" w:rsidRDefault="009F4019" w:rsidP="009F1CEA">
      <w:pPr>
        <w:widowControl w:val="0"/>
        <w:spacing w:line="280" w:lineRule="atLeast"/>
        <w:jc w:val="both"/>
        <w:rPr>
          <w:szCs w:val="18"/>
        </w:rPr>
      </w:pPr>
      <w:proofErr w:type="gramStart"/>
      <w:r w:rsidRPr="008D400F">
        <w:rPr>
          <w:szCs w:val="18"/>
        </w:rPr>
        <w:t xml:space="preserve">Pro  </w:t>
      </w:r>
      <w:r w:rsidR="00D47CF4" w:rsidRPr="008D400F">
        <w:rPr>
          <w:szCs w:val="18"/>
        </w:rPr>
        <w:t>věci</w:t>
      </w:r>
      <w:proofErr w:type="gramEnd"/>
      <w:r w:rsidR="00D47CF4" w:rsidRPr="008D400F">
        <w:rPr>
          <w:szCs w:val="18"/>
        </w:rPr>
        <w:t xml:space="preserve">  pojištěné  dle  odstavce  5.1  se   poji</w:t>
      </w:r>
      <w:r w:rsidR="006B3A0B" w:rsidRPr="008D400F">
        <w:rPr>
          <w:szCs w:val="18"/>
        </w:rPr>
        <w:t xml:space="preserve">štění  sjednává  pro   případ  </w:t>
      </w:r>
      <w:r w:rsidR="00D47CF4" w:rsidRPr="008D400F">
        <w:rPr>
          <w:szCs w:val="18"/>
        </w:rPr>
        <w:t xml:space="preserve">náhlého poškození  nebo  zničení  </w:t>
      </w:r>
      <w:r w:rsidR="00D47CF4" w:rsidRPr="008D400F">
        <w:rPr>
          <w:szCs w:val="18"/>
        </w:rPr>
        <w:lastRenderedPageBreak/>
        <w:t>pojištěného zařízení jakoukoliv nahodilou</w:t>
      </w:r>
      <w:r w:rsidR="006B3A0B" w:rsidRPr="008D400F">
        <w:rPr>
          <w:szCs w:val="18"/>
        </w:rPr>
        <w:t xml:space="preserve"> </w:t>
      </w:r>
      <w:r w:rsidR="00D47CF4" w:rsidRPr="008D400F">
        <w:rPr>
          <w:szCs w:val="18"/>
        </w:rPr>
        <w:t>událostí mimo škody vzniklé poji</w:t>
      </w:r>
      <w:r w:rsidR="006B3A0B" w:rsidRPr="008D400F">
        <w:rPr>
          <w:szCs w:val="18"/>
        </w:rPr>
        <w:t xml:space="preserve">stným  nebezpečím  živelním a </w:t>
      </w:r>
      <w:r w:rsidR="00D47CF4" w:rsidRPr="008D400F">
        <w:rPr>
          <w:szCs w:val="18"/>
        </w:rPr>
        <w:t>p</w:t>
      </w:r>
      <w:r w:rsidR="006B3A0B" w:rsidRPr="008D400F">
        <w:rPr>
          <w:szCs w:val="18"/>
        </w:rPr>
        <w:t xml:space="preserve">ojistným nebezpečím </w:t>
      </w:r>
      <w:r w:rsidR="00D47CF4" w:rsidRPr="008D400F">
        <w:rPr>
          <w:szCs w:val="18"/>
        </w:rPr>
        <w:t>odcizení (pojištěného zařízení)</w:t>
      </w:r>
      <w:r w:rsidR="006B3A0B" w:rsidRPr="008D400F">
        <w:rPr>
          <w:szCs w:val="18"/>
        </w:rPr>
        <w:t xml:space="preserve"> s </w:t>
      </w:r>
      <w:proofErr w:type="spellStart"/>
      <w:r w:rsidR="006B3A0B" w:rsidRPr="008D400F">
        <w:rPr>
          <w:szCs w:val="18"/>
        </w:rPr>
        <w:t>výj</w:t>
      </w:r>
      <w:r w:rsidR="009B2B04" w:rsidRPr="008D400F">
        <w:rPr>
          <w:szCs w:val="18"/>
        </w:rPr>
        <w:t>í</w:t>
      </w:r>
      <w:r w:rsidR="006B3A0B" w:rsidRPr="008D400F">
        <w:rPr>
          <w:szCs w:val="18"/>
        </w:rPr>
        <w:t>mkou</w:t>
      </w:r>
      <w:proofErr w:type="spellEnd"/>
      <w:r w:rsidR="006B3A0B" w:rsidRPr="008D400F">
        <w:rPr>
          <w:szCs w:val="18"/>
        </w:rPr>
        <w:t xml:space="preserve"> přenosné elektroniky, kde se pojištění vztahuje i na odcizení elekt</w:t>
      </w:r>
      <w:r w:rsidR="00361678" w:rsidRPr="008D400F">
        <w:rPr>
          <w:szCs w:val="18"/>
        </w:rPr>
        <w:t>roniky ze zaparkovaných vozidel</w:t>
      </w:r>
      <w:r w:rsidR="006B3A0B" w:rsidRPr="008D400F">
        <w:rPr>
          <w:szCs w:val="18"/>
        </w:rPr>
        <w:t>.</w:t>
      </w:r>
    </w:p>
    <w:p w:rsidR="00D47CF4" w:rsidRPr="00387BA8" w:rsidRDefault="00D47CF4" w:rsidP="00747619">
      <w:pPr>
        <w:pStyle w:val="Nadpis2"/>
      </w:pPr>
      <w:bookmarkStart w:id="25" w:name="_Toc450552724"/>
      <w:r w:rsidRPr="00387BA8">
        <w:t>Zvláštní ujednání</w:t>
      </w:r>
      <w:r w:rsidR="009B2B04" w:rsidRPr="00387BA8">
        <w:t xml:space="preserve"> k pojištění elektroniky</w:t>
      </w:r>
      <w:bookmarkEnd w:id="25"/>
    </w:p>
    <w:p w:rsidR="0043665C" w:rsidRPr="008D400F" w:rsidRDefault="009B2B04" w:rsidP="00D963C4">
      <w:pPr>
        <w:numPr>
          <w:ilvl w:val="0"/>
          <w:numId w:val="9"/>
        </w:numPr>
        <w:autoSpaceDE w:val="0"/>
        <w:autoSpaceDN w:val="0"/>
        <w:adjustRightInd w:val="0"/>
        <w:spacing w:before="0" w:line="280" w:lineRule="atLeast"/>
        <w:ind w:left="714" w:hanging="430"/>
        <w:jc w:val="both"/>
        <w:rPr>
          <w:szCs w:val="18"/>
        </w:rPr>
      </w:pPr>
      <w:r w:rsidRPr="008D400F">
        <w:rPr>
          <w:szCs w:val="18"/>
        </w:rPr>
        <w:t>P</w:t>
      </w:r>
      <w:r w:rsidR="0043665C" w:rsidRPr="008D400F">
        <w:rPr>
          <w:szCs w:val="18"/>
        </w:rPr>
        <w:t>ojištění se vztahuje na PC, tablety, výpočetní, kancelářskou, telekomunikační, zabezpečovací techniku, ústředny, spotřební elektroniku, navigace, kamerové systémy, docházkové systémy, vyvolávací zařízení, datový terminál, klimatizace, elektronika městské plovárny, elektro</w:t>
      </w:r>
      <w:r w:rsidRPr="008D400F">
        <w:rPr>
          <w:szCs w:val="18"/>
        </w:rPr>
        <w:t>nická zařízení školních jídelen.</w:t>
      </w:r>
    </w:p>
    <w:p w:rsidR="009B2B04" w:rsidRPr="008D400F" w:rsidRDefault="009B2B04" w:rsidP="00D963C4">
      <w:pPr>
        <w:numPr>
          <w:ilvl w:val="0"/>
          <w:numId w:val="9"/>
        </w:numPr>
        <w:autoSpaceDE w:val="0"/>
        <w:autoSpaceDN w:val="0"/>
        <w:adjustRightInd w:val="0"/>
        <w:spacing w:before="0" w:line="280" w:lineRule="atLeast"/>
        <w:ind w:left="714" w:hanging="430"/>
        <w:jc w:val="both"/>
        <w:rPr>
          <w:szCs w:val="18"/>
        </w:rPr>
      </w:pPr>
      <w:r w:rsidRPr="008D400F">
        <w:rPr>
          <w:szCs w:val="18"/>
        </w:rPr>
        <w:t>Pro pojištění elektroniky se ujednává, že se pojištění vztahuji i na zařízení, jejichž stáří v době vzniku škody přesáhlo 5 let</w:t>
      </w:r>
      <w:r w:rsidR="00471C57">
        <w:rPr>
          <w:szCs w:val="18"/>
        </w:rPr>
        <w:t>.</w:t>
      </w:r>
    </w:p>
    <w:p w:rsidR="000F67C7" w:rsidRPr="008D400F" w:rsidRDefault="000F67C7" w:rsidP="00D963C4">
      <w:pPr>
        <w:numPr>
          <w:ilvl w:val="0"/>
          <w:numId w:val="9"/>
        </w:numPr>
        <w:autoSpaceDE w:val="0"/>
        <w:autoSpaceDN w:val="0"/>
        <w:adjustRightInd w:val="0"/>
        <w:spacing w:before="0" w:line="280" w:lineRule="atLeast"/>
        <w:ind w:left="714" w:hanging="430"/>
        <w:jc w:val="both"/>
        <w:rPr>
          <w:szCs w:val="18"/>
        </w:rPr>
      </w:pPr>
      <w:r w:rsidRPr="008D400F">
        <w:rPr>
          <w:szCs w:val="18"/>
        </w:rPr>
        <w:t>Pro místo pojištění mimo území ČR se ujednává limit plnění 100 000 Kč</w:t>
      </w:r>
      <w:r w:rsidR="00471C57">
        <w:rPr>
          <w:szCs w:val="18"/>
        </w:rPr>
        <w:t>.</w:t>
      </w:r>
    </w:p>
    <w:p w:rsidR="000F67C7" w:rsidRPr="008D400F" w:rsidRDefault="00361678" w:rsidP="00D963C4">
      <w:pPr>
        <w:numPr>
          <w:ilvl w:val="0"/>
          <w:numId w:val="9"/>
        </w:numPr>
        <w:autoSpaceDE w:val="0"/>
        <w:autoSpaceDN w:val="0"/>
        <w:adjustRightInd w:val="0"/>
        <w:spacing w:before="0" w:line="280" w:lineRule="atLeast"/>
        <w:ind w:left="714" w:hanging="430"/>
        <w:jc w:val="both"/>
        <w:rPr>
          <w:szCs w:val="18"/>
        </w:rPr>
      </w:pPr>
      <w:r w:rsidRPr="008D400F">
        <w:rPr>
          <w:szCs w:val="18"/>
        </w:rPr>
        <w:t>U</w:t>
      </w:r>
      <w:r w:rsidR="00747619" w:rsidRPr="008D400F">
        <w:rPr>
          <w:szCs w:val="18"/>
        </w:rPr>
        <w:t xml:space="preserve">jednává se, že pojistitel poskytne plnění v případě odcizení mobilní elektroniky i v případech, kdy se tato zařízení nacházela ve vozidlech. Předpokladem pro výplatu pojistného plnění je skutečnost, že k odcizení došlo v době od 6-22 hod. nebo bylo vozidlo odstaveno na hlídaném parkovišti, či v uzavřeném objektu a zařízení bylo umístěno v zavazadlovém prostoru. Pojištění se vztahuje také na případy, kdy je odcizeno celé vozidlo. </w:t>
      </w:r>
    </w:p>
    <w:p w:rsidR="009B2B04" w:rsidRPr="008D400F" w:rsidRDefault="009B2B04" w:rsidP="00D963C4">
      <w:pPr>
        <w:numPr>
          <w:ilvl w:val="0"/>
          <w:numId w:val="9"/>
        </w:numPr>
        <w:autoSpaceDE w:val="0"/>
        <w:autoSpaceDN w:val="0"/>
        <w:adjustRightInd w:val="0"/>
        <w:spacing w:before="0" w:line="280" w:lineRule="atLeast"/>
        <w:ind w:left="714" w:hanging="430"/>
        <w:jc w:val="both"/>
        <w:rPr>
          <w:szCs w:val="18"/>
        </w:rPr>
      </w:pPr>
      <w:r w:rsidRPr="008D400F">
        <w:rPr>
          <w:szCs w:val="18"/>
        </w:rPr>
        <w:t>Pojištění se vztahuje i na škody způsobené hmyzem či hlodavci</w:t>
      </w:r>
      <w:r w:rsidR="00471C57">
        <w:rPr>
          <w:szCs w:val="18"/>
        </w:rPr>
        <w:t>.</w:t>
      </w:r>
    </w:p>
    <w:p w:rsidR="00B82FE9" w:rsidRPr="00387BA8" w:rsidRDefault="00B82FE9" w:rsidP="00B82FE9">
      <w:pPr>
        <w:autoSpaceDE w:val="0"/>
        <w:autoSpaceDN w:val="0"/>
        <w:adjustRightInd w:val="0"/>
        <w:spacing w:before="0" w:line="280" w:lineRule="atLeast"/>
        <w:ind w:left="714"/>
        <w:jc w:val="both"/>
        <w:rPr>
          <w:sz w:val="19"/>
          <w:szCs w:val="19"/>
        </w:rPr>
      </w:pPr>
    </w:p>
    <w:p w:rsidR="00B82FE9" w:rsidRPr="001E2A3C" w:rsidRDefault="00B82FE9" w:rsidP="00B82FE9">
      <w:pPr>
        <w:pStyle w:val="Nadpis1"/>
      </w:pPr>
      <w:bookmarkStart w:id="26" w:name="_Toc450552725"/>
      <w:r w:rsidRPr="001E2A3C">
        <w:t>Škodové pojištění strojů</w:t>
      </w:r>
      <w:bookmarkEnd w:id="26"/>
    </w:p>
    <w:p w:rsidR="00B82FE9" w:rsidRPr="00387BA8" w:rsidRDefault="00B82FE9" w:rsidP="00B82FE9">
      <w:pPr>
        <w:pStyle w:val="Nadpis2"/>
        <w:ind w:left="476" w:hanging="476"/>
      </w:pPr>
      <w:bookmarkStart w:id="27" w:name="_Toc450552726"/>
      <w:r w:rsidRPr="00387BA8">
        <w:t>Předmět</w:t>
      </w:r>
      <w:r w:rsidR="00EE1C20">
        <w:t>y</w:t>
      </w:r>
      <w:r w:rsidRPr="00387BA8">
        <w:t xml:space="preserve"> pojištění, pojistn</w:t>
      </w:r>
      <w:r w:rsidR="00EE1C20">
        <w:t>é</w:t>
      </w:r>
      <w:r w:rsidRPr="00387BA8">
        <w:t xml:space="preserve"> částk</w:t>
      </w:r>
      <w:r w:rsidR="00EE1C20">
        <w:t>y, spoluúčasti</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055"/>
        <w:gridCol w:w="1807"/>
        <w:gridCol w:w="1764"/>
      </w:tblGrid>
      <w:tr w:rsidR="00E66E7A" w:rsidRPr="00387BA8" w:rsidTr="00EE1C20">
        <w:trPr>
          <w:cantSplit/>
          <w:tblHeader/>
        </w:trPr>
        <w:tc>
          <w:tcPr>
            <w:tcW w:w="355" w:type="pct"/>
            <w:tcBorders>
              <w:bottom w:val="single" w:sz="4" w:space="0" w:color="auto"/>
            </w:tcBorders>
            <w:shd w:val="clear" w:color="auto" w:fill="F3F3F3"/>
            <w:vAlign w:val="center"/>
          </w:tcPr>
          <w:p w:rsidR="00E66E7A" w:rsidRPr="00387BA8" w:rsidRDefault="00E66E7A" w:rsidP="00153F26">
            <w:pPr>
              <w:spacing w:line="280" w:lineRule="atLeast"/>
              <w:rPr>
                <w:b/>
                <w:szCs w:val="18"/>
              </w:rPr>
            </w:pPr>
          </w:p>
        </w:tc>
        <w:tc>
          <w:tcPr>
            <w:tcW w:w="2722" w:type="pct"/>
            <w:tcBorders>
              <w:bottom w:val="single" w:sz="4" w:space="0" w:color="auto"/>
            </w:tcBorders>
            <w:shd w:val="clear" w:color="auto" w:fill="F3F3F3"/>
            <w:vAlign w:val="center"/>
          </w:tcPr>
          <w:p w:rsidR="00E66E7A" w:rsidRPr="00387BA8" w:rsidRDefault="00E66E7A" w:rsidP="00EE1C20">
            <w:pPr>
              <w:spacing w:line="280" w:lineRule="atLeast"/>
              <w:rPr>
                <w:b/>
                <w:szCs w:val="18"/>
              </w:rPr>
            </w:pPr>
            <w:r w:rsidRPr="00387BA8">
              <w:rPr>
                <w:b/>
                <w:szCs w:val="18"/>
              </w:rPr>
              <w:t>Předmět</w:t>
            </w:r>
            <w:r w:rsidR="00EE1C20">
              <w:rPr>
                <w:b/>
                <w:szCs w:val="18"/>
              </w:rPr>
              <w:t xml:space="preserve">y </w:t>
            </w:r>
            <w:r w:rsidRPr="00387BA8">
              <w:rPr>
                <w:b/>
                <w:szCs w:val="18"/>
              </w:rPr>
              <w:t>pojištění</w:t>
            </w:r>
            <w:r w:rsidR="00C52DF2">
              <w:rPr>
                <w:b/>
                <w:szCs w:val="18"/>
              </w:rPr>
              <w:t xml:space="preserve"> vlastní a cizí</w:t>
            </w:r>
          </w:p>
        </w:tc>
        <w:tc>
          <w:tcPr>
            <w:tcW w:w="973" w:type="pct"/>
            <w:tcBorders>
              <w:bottom w:val="single" w:sz="4" w:space="0" w:color="auto"/>
            </w:tcBorders>
            <w:shd w:val="clear" w:color="auto" w:fill="F3F3F3"/>
          </w:tcPr>
          <w:p w:rsidR="00E66E7A" w:rsidRPr="00387BA8" w:rsidRDefault="00E66E7A" w:rsidP="00153F26">
            <w:pPr>
              <w:spacing w:line="280" w:lineRule="atLeast"/>
              <w:jc w:val="right"/>
              <w:rPr>
                <w:b/>
                <w:szCs w:val="18"/>
              </w:rPr>
            </w:pPr>
            <w:r w:rsidRPr="00387BA8">
              <w:rPr>
                <w:b/>
                <w:szCs w:val="18"/>
              </w:rPr>
              <w:t>Pojistná částka</w:t>
            </w:r>
          </w:p>
        </w:tc>
        <w:tc>
          <w:tcPr>
            <w:tcW w:w="950" w:type="pct"/>
            <w:tcBorders>
              <w:bottom w:val="single" w:sz="4" w:space="0" w:color="auto"/>
            </w:tcBorders>
            <w:shd w:val="clear" w:color="auto" w:fill="F3F3F3"/>
          </w:tcPr>
          <w:p w:rsidR="00E66E7A" w:rsidRPr="00387BA8" w:rsidRDefault="00EE1C20" w:rsidP="00EE1C20">
            <w:pPr>
              <w:spacing w:line="280" w:lineRule="atLeast"/>
              <w:jc w:val="right"/>
              <w:rPr>
                <w:b/>
                <w:szCs w:val="18"/>
              </w:rPr>
            </w:pPr>
            <w:r>
              <w:rPr>
                <w:b/>
                <w:szCs w:val="18"/>
              </w:rPr>
              <w:t>Spoluúčast</w:t>
            </w:r>
          </w:p>
        </w:tc>
      </w:tr>
      <w:tr w:rsidR="00E66E7A" w:rsidRPr="00387BA8" w:rsidTr="00EE1C20">
        <w:tc>
          <w:tcPr>
            <w:tcW w:w="355" w:type="pct"/>
            <w:vAlign w:val="center"/>
          </w:tcPr>
          <w:p w:rsidR="00E66E7A" w:rsidRPr="00387BA8" w:rsidRDefault="00E66E7A" w:rsidP="00153F26">
            <w:pPr>
              <w:spacing w:line="280" w:lineRule="atLeast"/>
              <w:jc w:val="center"/>
              <w:rPr>
                <w:szCs w:val="18"/>
              </w:rPr>
            </w:pPr>
            <w:r w:rsidRPr="00387BA8">
              <w:rPr>
                <w:szCs w:val="18"/>
              </w:rPr>
              <w:t>1</w:t>
            </w:r>
          </w:p>
        </w:tc>
        <w:tc>
          <w:tcPr>
            <w:tcW w:w="2722" w:type="pct"/>
            <w:vAlign w:val="bottom"/>
          </w:tcPr>
          <w:p w:rsidR="00E66E7A" w:rsidRDefault="00E66E7A">
            <w:pPr>
              <w:rPr>
                <w:sz w:val="16"/>
                <w:szCs w:val="16"/>
              </w:rPr>
            </w:pPr>
            <w:r>
              <w:rPr>
                <w:sz w:val="16"/>
                <w:szCs w:val="16"/>
              </w:rPr>
              <w:t>Ponorné čerpadlo. Typ: SE1.100.150.75.4.541D.B, Model: 9604814300000941</w:t>
            </w:r>
          </w:p>
        </w:tc>
        <w:tc>
          <w:tcPr>
            <w:tcW w:w="973" w:type="pct"/>
            <w:vAlign w:val="bottom"/>
          </w:tcPr>
          <w:p w:rsidR="00E66E7A" w:rsidRDefault="00E66E7A">
            <w:pPr>
              <w:jc w:val="right"/>
              <w:rPr>
                <w:sz w:val="16"/>
                <w:szCs w:val="16"/>
              </w:rPr>
            </w:pPr>
            <w:r>
              <w:rPr>
                <w:sz w:val="16"/>
                <w:szCs w:val="16"/>
              </w:rPr>
              <w:t>174 000 Kč</w:t>
            </w:r>
          </w:p>
        </w:tc>
        <w:tc>
          <w:tcPr>
            <w:tcW w:w="950" w:type="pct"/>
            <w:vAlign w:val="center"/>
          </w:tcPr>
          <w:p w:rsidR="00E66E7A" w:rsidRDefault="00EE1C20" w:rsidP="00EE1C20">
            <w:pPr>
              <w:jc w:val="right"/>
              <w:rPr>
                <w:sz w:val="16"/>
                <w:szCs w:val="16"/>
              </w:rPr>
            </w:pPr>
            <w:r>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sidRPr="00387BA8">
              <w:rPr>
                <w:szCs w:val="18"/>
              </w:rPr>
              <w:t xml:space="preserve">2 </w:t>
            </w:r>
          </w:p>
        </w:tc>
        <w:tc>
          <w:tcPr>
            <w:tcW w:w="2722" w:type="pct"/>
            <w:vAlign w:val="bottom"/>
          </w:tcPr>
          <w:p w:rsidR="00EE1C20" w:rsidRDefault="00EE1C20">
            <w:pPr>
              <w:rPr>
                <w:sz w:val="16"/>
                <w:szCs w:val="16"/>
              </w:rPr>
            </w:pPr>
            <w:r>
              <w:rPr>
                <w:sz w:val="16"/>
                <w:szCs w:val="16"/>
              </w:rPr>
              <w:t>Ponorné čerpadlo. Typ: SE1.100.150.75.4.541D.B, Model: 9604814300000940</w:t>
            </w:r>
          </w:p>
        </w:tc>
        <w:tc>
          <w:tcPr>
            <w:tcW w:w="973" w:type="pct"/>
            <w:vAlign w:val="bottom"/>
          </w:tcPr>
          <w:p w:rsidR="00EE1C20" w:rsidRDefault="00EE1C20">
            <w:pPr>
              <w:jc w:val="right"/>
              <w:rPr>
                <w:sz w:val="16"/>
                <w:szCs w:val="16"/>
              </w:rPr>
            </w:pPr>
            <w:r>
              <w:rPr>
                <w:sz w:val="16"/>
                <w:szCs w:val="16"/>
              </w:rPr>
              <w:t>174 000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sidRPr="00387BA8">
              <w:rPr>
                <w:szCs w:val="18"/>
              </w:rPr>
              <w:t>3</w:t>
            </w:r>
          </w:p>
        </w:tc>
        <w:tc>
          <w:tcPr>
            <w:tcW w:w="2722" w:type="pct"/>
            <w:vAlign w:val="bottom"/>
          </w:tcPr>
          <w:p w:rsidR="00EE1C20" w:rsidRDefault="00EE1C20">
            <w:pPr>
              <w:rPr>
                <w:sz w:val="16"/>
                <w:szCs w:val="16"/>
              </w:rPr>
            </w:pPr>
            <w:r>
              <w:rPr>
                <w:sz w:val="16"/>
                <w:szCs w:val="16"/>
              </w:rPr>
              <w:t>Motorgenerátor na podvozku, speciální přívěs ELEKTROCENTRÁLA ESP 44 KVA, VIN: TKXEC1113DLBA3338, pro dvě čerpadla.</w:t>
            </w:r>
          </w:p>
        </w:tc>
        <w:tc>
          <w:tcPr>
            <w:tcW w:w="973" w:type="pct"/>
            <w:vAlign w:val="bottom"/>
          </w:tcPr>
          <w:p w:rsidR="00EE1C20" w:rsidRDefault="00EE1C20">
            <w:pPr>
              <w:jc w:val="right"/>
              <w:rPr>
                <w:sz w:val="16"/>
                <w:szCs w:val="16"/>
              </w:rPr>
            </w:pPr>
            <w:r>
              <w:rPr>
                <w:sz w:val="16"/>
                <w:szCs w:val="16"/>
              </w:rPr>
              <w:t>579 480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4</w:t>
            </w:r>
          </w:p>
        </w:tc>
        <w:tc>
          <w:tcPr>
            <w:tcW w:w="2722" w:type="pct"/>
            <w:vAlign w:val="bottom"/>
          </w:tcPr>
          <w:p w:rsidR="00EE1C20" w:rsidRDefault="00EE1C20">
            <w:pPr>
              <w:rPr>
                <w:sz w:val="16"/>
                <w:szCs w:val="16"/>
              </w:rPr>
            </w:pPr>
            <w:r>
              <w:rPr>
                <w:sz w:val="16"/>
                <w:szCs w:val="16"/>
              </w:rPr>
              <w:t xml:space="preserve">Mobilní </w:t>
            </w:r>
            <w:proofErr w:type="spellStart"/>
            <w:r>
              <w:rPr>
                <w:sz w:val="16"/>
                <w:szCs w:val="16"/>
              </w:rPr>
              <w:t>rozvěděč</w:t>
            </w:r>
            <w:proofErr w:type="spellEnd"/>
            <w:r>
              <w:rPr>
                <w:sz w:val="16"/>
                <w:szCs w:val="16"/>
              </w:rPr>
              <w:t xml:space="preserve"> RM: </w:t>
            </w:r>
            <w:proofErr w:type="spellStart"/>
            <w:r>
              <w:rPr>
                <w:sz w:val="16"/>
                <w:szCs w:val="16"/>
              </w:rPr>
              <w:t>plastován</w:t>
            </w:r>
            <w:proofErr w:type="spellEnd"/>
            <w:r>
              <w:rPr>
                <w:sz w:val="16"/>
                <w:szCs w:val="16"/>
              </w:rPr>
              <w:t xml:space="preserve"> nástěnná rozvodnice s nosnou konstrukcí pro postavení na zem.</w:t>
            </w:r>
          </w:p>
        </w:tc>
        <w:tc>
          <w:tcPr>
            <w:tcW w:w="973" w:type="pct"/>
            <w:vAlign w:val="bottom"/>
          </w:tcPr>
          <w:p w:rsidR="00EE1C20" w:rsidRDefault="00EE1C20">
            <w:pPr>
              <w:jc w:val="right"/>
              <w:rPr>
                <w:sz w:val="16"/>
                <w:szCs w:val="16"/>
              </w:rPr>
            </w:pPr>
            <w:r>
              <w:rPr>
                <w:sz w:val="16"/>
                <w:szCs w:val="16"/>
              </w:rPr>
              <w:t>48 000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5</w:t>
            </w:r>
          </w:p>
        </w:tc>
        <w:tc>
          <w:tcPr>
            <w:tcW w:w="2722" w:type="pct"/>
            <w:vAlign w:val="center"/>
          </w:tcPr>
          <w:p w:rsidR="00EE1C20" w:rsidRDefault="00EE1C20">
            <w:pPr>
              <w:rPr>
                <w:color w:val="000000"/>
                <w:sz w:val="16"/>
                <w:szCs w:val="16"/>
              </w:rPr>
            </w:pPr>
            <w:r>
              <w:rPr>
                <w:color w:val="000000"/>
                <w:sz w:val="16"/>
                <w:szCs w:val="16"/>
              </w:rPr>
              <w:t>Požární stříkačka TOHATSU VC85BS </w:t>
            </w:r>
          </w:p>
        </w:tc>
        <w:tc>
          <w:tcPr>
            <w:tcW w:w="973" w:type="pct"/>
            <w:vAlign w:val="bottom"/>
          </w:tcPr>
          <w:p w:rsidR="00EE1C20" w:rsidRDefault="00EE1C20">
            <w:pPr>
              <w:jc w:val="right"/>
              <w:rPr>
                <w:sz w:val="16"/>
                <w:szCs w:val="16"/>
              </w:rPr>
            </w:pPr>
            <w:r>
              <w:rPr>
                <w:sz w:val="16"/>
                <w:szCs w:val="16"/>
              </w:rPr>
              <w:t>236 810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6</w:t>
            </w:r>
          </w:p>
        </w:tc>
        <w:tc>
          <w:tcPr>
            <w:tcW w:w="2722" w:type="pct"/>
            <w:vAlign w:val="center"/>
          </w:tcPr>
          <w:p w:rsidR="00EE1C20" w:rsidRDefault="00EE1C20">
            <w:pPr>
              <w:rPr>
                <w:color w:val="000000"/>
                <w:sz w:val="16"/>
                <w:szCs w:val="16"/>
              </w:rPr>
            </w:pPr>
            <w:r>
              <w:rPr>
                <w:color w:val="000000"/>
                <w:sz w:val="16"/>
                <w:szCs w:val="16"/>
              </w:rPr>
              <w:t>Kalové čerpadlo spalovací motor HERON EMPH 80 E9</w:t>
            </w:r>
          </w:p>
        </w:tc>
        <w:tc>
          <w:tcPr>
            <w:tcW w:w="973" w:type="pct"/>
            <w:vAlign w:val="bottom"/>
          </w:tcPr>
          <w:p w:rsidR="00EE1C20" w:rsidRDefault="00EE1C20">
            <w:pPr>
              <w:jc w:val="right"/>
              <w:rPr>
                <w:sz w:val="16"/>
                <w:szCs w:val="16"/>
              </w:rPr>
            </w:pPr>
            <w:r>
              <w:rPr>
                <w:sz w:val="16"/>
                <w:szCs w:val="16"/>
              </w:rPr>
              <w:t>37 200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7</w:t>
            </w:r>
          </w:p>
        </w:tc>
        <w:tc>
          <w:tcPr>
            <w:tcW w:w="2722" w:type="pct"/>
            <w:vAlign w:val="center"/>
          </w:tcPr>
          <w:p w:rsidR="00EE1C20" w:rsidRDefault="00EE1C20">
            <w:pPr>
              <w:rPr>
                <w:color w:val="000000"/>
                <w:sz w:val="16"/>
                <w:szCs w:val="16"/>
              </w:rPr>
            </w:pPr>
            <w:r>
              <w:rPr>
                <w:color w:val="000000"/>
                <w:sz w:val="16"/>
                <w:szCs w:val="16"/>
              </w:rPr>
              <w:t>Kalové čerpadlo elektrický motor 50-GFHU-105-70-LN-000</w:t>
            </w:r>
          </w:p>
        </w:tc>
        <w:tc>
          <w:tcPr>
            <w:tcW w:w="973" w:type="pct"/>
            <w:vAlign w:val="bottom"/>
          </w:tcPr>
          <w:p w:rsidR="00EE1C20" w:rsidRDefault="00EE1C20">
            <w:pPr>
              <w:jc w:val="right"/>
              <w:rPr>
                <w:sz w:val="16"/>
                <w:szCs w:val="16"/>
              </w:rPr>
            </w:pPr>
            <w:r>
              <w:rPr>
                <w:sz w:val="16"/>
                <w:szCs w:val="16"/>
              </w:rPr>
              <w:t>31 164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8</w:t>
            </w:r>
          </w:p>
        </w:tc>
        <w:tc>
          <w:tcPr>
            <w:tcW w:w="2722" w:type="pct"/>
            <w:vAlign w:val="center"/>
          </w:tcPr>
          <w:p w:rsidR="00EE1C20" w:rsidRDefault="00EE1C20">
            <w:pPr>
              <w:rPr>
                <w:color w:val="000000"/>
                <w:sz w:val="16"/>
                <w:szCs w:val="16"/>
              </w:rPr>
            </w:pPr>
            <w:r>
              <w:rPr>
                <w:color w:val="000000"/>
                <w:sz w:val="16"/>
                <w:szCs w:val="16"/>
              </w:rPr>
              <w:t>Elektrocentrála HERON EGM 60 AVR-3E</w:t>
            </w:r>
          </w:p>
        </w:tc>
        <w:tc>
          <w:tcPr>
            <w:tcW w:w="973" w:type="pct"/>
            <w:vAlign w:val="bottom"/>
          </w:tcPr>
          <w:p w:rsidR="00EE1C20" w:rsidRDefault="00EE1C20">
            <w:pPr>
              <w:jc w:val="right"/>
              <w:rPr>
                <w:sz w:val="16"/>
                <w:szCs w:val="16"/>
              </w:rPr>
            </w:pPr>
            <w:r>
              <w:rPr>
                <w:sz w:val="16"/>
                <w:szCs w:val="16"/>
              </w:rPr>
              <w:t>35 520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9</w:t>
            </w:r>
          </w:p>
        </w:tc>
        <w:tc>
          <w:tcPr>
            <w:tcW w:w="2722" w:type="pct"/>
            <w:vAlign w:val="center"/>
          </w:tcPr>
          <w:p w:rsidR="00EE1C20" w:rsidRDefault="00EE1C20">
            <w:pPr>
              <w:rPr>
                <w:color w:val="000000"/>
                <w:sz w:val="16"/>
                <w:szCs w:val="16"/>
              </w:rPr>
            </w:pPr>
            <w:r>
              <w:rPr>
                <w:color w:val="000000"/>
                <w:sz w:val="16"/>
                <w:szCs w:val="16"/>
              </w:rPr>
              <w:t>Halogenová osvětlovací souprava</w:t>
            </w:r>
          </w:p>
        </w:tc>
        <w:tc>
          <w:tcPr>
            <w:tcW w:w="973" w:type="pct"/>
            <w:vAlign w:val="bottom"/>
          </w:tcPr>
          <w:p w:rsidR="00EE1C20" w:rsidRDefault="00EE1C20">
            <w:pPr>
              <w:jc w:val="right"/>
              <w:rPr>
                <w:sz w:val="16"/>
                <w:szCs w:val="16"/>
              </w:rPr>
            </w:pPr>
            <w:r>
              <w:rPr>
                <w:sz w:val="16"/>
                <w:szCs w:val="16"/>
              </w:rPr>
              <w:t>24 360 Kč</w:t>
            </w:r>
          </w:p>
        </w:tc>
        <w:tc>
          <w:tcPr>
            <w:tcW w:w="950" w:type="pct"/>
            <w:vAlign w:val="center"/>
          </w:tcPr>
          <w:p w:rsidR="00EE1C20" w:rsidRDefault="00EE1C20" w:rsidP="00EE1C20">
            <w:pPr>
              <w:jc w:val="right"/>
            </w:pPr>
            <w:r w:rsidRPr="00A55120">
              <w:rPr>
                <w:sz w:val="16"/>
                <w:szCs w:val="16"/>
              </w:rPr>
              <w:t>5 000 Kč</w:t>
            </w:r>
          </w:p>
        </w:tc>
      </w:tr>
      <w:tr w:rsidR="00EE1C20" w:rsidRPr="00387BA8" w:rsidTr="00EE1C20">
        <w:tc>
          <w:tcPr>
            <w:tcW w:w="355" w:type="pct"/>
            <w:vAlign w:val="center"/>
          </w:tcPr>
          <w:p w:rsidR="00EE1C20" w:rsidRPr="00387BA8" w:rsidRDefault="00EE1C20" w:rsidP="00153F26">
            <w:pPr>
              <w:spacing w:line="280" w:lineRule="atLeast"/>
              <w:jc w:val="center"/>
              <w:rPr>
                <w:szCs w:val="18"/>
              </w:rPr>
            </w:pPr>
            <w:r>
              <w:rPr>
                <w:szCs w:val="18"/>
              </w:rPr>
              <w:t>10</w:t>
            </w:r>
          </w:p>
        </w:tc>
        <w:tc>
          <w:tcPr>
            <w:tcW w:w="2722" w:type="pct"/>
            <w:vAlign w:val="center"/>
          </w:tcPr>
          <w:p w:rsidR="00EE1C20" w:rsidRDefault="00EE1C20">
            <w:pPr>
              <w:rPr>
                <w:color w:val="000000"/>
                <w:sz w:val="16"/>
                <w:szCs w:val="16"/>
              </w:rPr>
            </w:pPr>
            <w:r>
              <w:rPr>
                <w:color w:val="000000"/>
                <w:sz w:val="16"/>
                <w:szCs w:val="16"/>
              </w:rPr>
              <w:t>Přenosná motorová stříkačka s elektrickým startérem  V20D2S </w:t>
            </w:r>
          </w:p>
        </w:tc>
        <w:tc>
          <w:tcPr>
            <w:tcW w:w="973" w:type="pct"/>
            <w:vAlign w:val="center"/>
          </w:tcPr>
          <w:p w:rsidR="00EE1C20" w:rsidRDefault="00EE1C20">
            <w:pPr>
              <w:jc w:val="right"/>
              <w:rPr>
                <w:color w:val="000000"/>
                <w:sz w:val="16"/>
                <w:szCs w:val="16"/>
              </w:rPr>
            </w:pPr>
            <w:r>
              <w:rPr>
                <w:color w:val="000000"/>
                <w:sz w:val="16"/>
                <w:szCs w:val="16"/>
              </w:rPr>
              <w:t>124 025 Kč</w:t>
            </w:r>
          </w:p>
        </w:tc>
        <w:tc>
          <w:tcPr>
            <w:tcW w:w="950" w:type="pct"/>
            <w:vAlign w:val="center"/>
          </w:tcPr>
          <w:p w:rsidR="00EE1C20" w:rsidRDefault="00EE1C20" w:rsidP="00EE1C20">
            <w:pPr>
              <w:jc w:val="right"/>
            </w:pPr>
            <w:r w:rsidRPr="00A55120">
              <w:rPr>
                <w:sz w:val="16"/>
                <w:szCs w:val="16"/>
              </w:rPr>
              <w:t>5 000 Kč</w:t>
            </w:r>
          </w:p>
        </w:tc>
      </w:tr>
      <w:tr w:rsidR="00E66E7A" w:rsidRPr="00387BA8" w:rsidTr="00EE1C20">
        <w:tc>
          <w:tcPr>
            <w:tcW w:w="355" w:type="pct"/>
            <w:vAlign w:val="center"/>
          </w:tcPr>
          <w:p w:rsidR="00E66E7A" w:rsidRPr="00387BA8" w:rsidRDefault="00E66E7A" w:rsidP="00153F26">
            <w:pPr>
              <w:spacing w:line="280" w:lineRule="atLeast"/>
              <w:jc w:val="center"/>
              <w:rPr>
                <w:szCs w:val="18"/>
              </w:rPr>
            </w:pPr>
            <w:r>
              <w:rPr>
                <w:szCs w:val="18"/>
              </w:rPr>
              <w:t>11</w:t>
            </w:r>
          </w:p>
        </w:tc>
        <w:tc>
          <w:tcPr>
            <w:tcW w:w="2722" w:type="pct"/>
            <w:vAlign w:val="center"/>
          </w:tcPr>
          <w:p w:rsidR="00E66E7A" w:rsidRDefault="00E66E7A">
            <w:pPr>
              <w:rPr>
                <w:color w:val="000000"/>
                <w:sz w:val="16"/>
                <w:szCs w:val="16"/>
              </w:rPr>
            </w:pPr>
            <w:r>
              <w:rPr>
                <w:color w:val="000000"/>
                <w:sz w:val="16"/>
                <w:szCs w:val="16"/>
              </w:rPr>
              <w:t>Čerpadlo vodní – HERON   </w:t>
            </w:r>
          </w:p>
        </w:tc>
        <w:tc>
          <w:tcPr>
            <w:tcW w:w="973" w:type="pct"/>
            <w:vAlign w:val="center"/>
          </w:tcPr>
          <w:p w:rsidR="00E66E7A" w:rsidRDefault="00E66E7A">
            <w:pPr>
              <w:jc w:val="right"/>
              <w:rPr>
                <w:color w:val="000000"/>
                <w:sz w:val="16"/>
                <w:szCs w:val="16"/>
              </w:rPr>
            </w:pPr>
            <w:r>
              <w:rPr>
                <w:color w:val="000000"/>
                <w:sz w:val="16"/>
                <w:szCs w:val="16"/>
              </w:rPr>
              <w:t>5 445 Kč</w:t>
            </w:r>
          </w:p>
        </w:tc>
        <w:tc>
          <w:tcPr>
            <w:tcW w:w="950" w:type="pct"/>
            <w:vAlign w:val="center"/>
          </w:tcPr>
          <w:p w:rsidR="00E66E7A" w:rsidRDefault="00EE1C20" w:rsidP="00EE1C20">
            <w:pPr>
              <w:jc w:val="right"/>
              <w:rPr>
                <w:sz w:val="16"/>
                <w:szCs w:val="16"/>
              </w:rPr>
            </w:pPr>
            <w:r>
              <w:rPr>
                <w:sz w:val="16"/>
                <w:szCs w:val="16"/>
              </w:rPr>
              <w:t>1 000 Kč</w:t>
            </w:r>
          </w:p>
        </w:tc>
      </w:tr>
      <w:tr w:rsidR="00E66E7A" w:rsidRPr="00387BA8" w:rsidTr="00EE1C20">
        <w:tc>
          <w:tcPr>
            <w:tcW w:w="355" w:type="pct"/>
            <w:vAlign w:val="center"/>
          </w:tcPr>
          <w:p w:rsidR="00E66E7A" w:rsidRPr="00387BA8" w:rsidRDefault="00E66E7A" w:rsidP="00153F26">
            <w:pPr>
              <w:spacing w:line="280" w:lineRule="atLeast"/>
              <w:jc w:val="center"/>
              <w:rPr>
                <w:szCs w:val="18"/>
              </w:rPr>
            </w:pPr>
            <w:r>
              <w:rPr>
                <w:szCs w:val="18"/>
              </w:rPr>
              <w:t>12</w:t>
            </w:r>
          </w:p>
        </w:tc>
        <w:tc>
          <w:tcPr>
            <w:tcW w:w="2722" w:type="pct"/>
            <w:vAlign w:val="center"/>
          </w:tcPr>
          <w:p w:rsidR="00E66E7A" w:rsidRDefault="00E66E7A">
            <w:pPr>
              <w:rPr>
                <w:color w:val="000000"/>
                <w:sz w:val="16"/>
                <w:szCs w:val="16"/>
              </w:rPr>
            </w:pPr>
            <w:r>
              <w:rPr>
                <w:color w:val="000000"/>
                <w:sz w:val="16"/>
                <w:szCs w:val="16"/>
              </w:rPr>
              <w:t>Čerpadlo LOWARA DOMO</w:t>
            </w:r>
          </w:p>
        </w:tc>
        <w:tc>
          <w:tcPr>
            <w:tcW w:w="973" w:type="pct"/>
            <w:vAlign w:val="center"/>
          </w:tcPr>
          <w:p w:rsidR="00E66E7A" w:rsidRDefault="00E66E7A">
            <w:pPr>
              <w:jc w:val="right"/>
              <w:rPr>
                <w:color w:val="000000"/>
                <w:sz w:val="16"/>
                <w:szCs w:val="16"/>
              </w:rPr>
            </w:pPr>
            <w:r>
              <w:rPr>
                <w:color w:val="000000"/>
                <w:sz w:val="16"/>
                <w:szCs w:val="16"/>
              </w:rPr>
              <w:t>7 623 Kč</w:t>
            </w:r>
          </w:p>
        </w:tc>
        <w:tc>
          <w:tcPr>
            <w:tcW w:w="950" w:type="pct"/>
            <w:vAlign w:val="center"/>
          </w:tcPr>
          <w:p w:rsidR="00E66E7A" w:rsidRDefault="00EE1C20" w:rsidP="00EE1C20">
            <w:pPr>
              <w:jc w:val="right"/>
              <w:rPr>
                <w:sz w:val="16"/>
                <w:szCs w:val="16"/>
              </w:rPr>
            </w:pPr>
            <w:r>
              <w:rPr>
                <w:sz w:val="16"/>
                <w:szCs w:val="16"/>
              </w:rPr>
              <w:t>1 000 Kč</w:t>
            </w:r>
          </w:p>
        </w:tc>
      </w:tr>
      <w:tr w:rsidR="00E66E7A" w:rsidRPr="00387BA8" w:rsidTr="00EE1C20">
        <w:tc>
          <w:tcPr>
            <w:tcW w:w="355" w:type="pct"/>
            <w:vAlign w:val="center"/>
          </w:tcPr>
          <w:p w:rsidR="00E66E7A" w:rsidRPr="00387BA8" w:rsidRDefault="00E66E7A" w:rsidP="00153F26">
            <w:pPr>
              <w:spacing w:line="280" w:lineRule="atLeast"/>
              <w:jc w:val="center"/>
              <w:rPr>
                <w:szCs w:val="18"/>
              </w:rPr>
            </w:pPr>
            <w:r>
              <w:rPr>
                <w:szCs w:val="18"/>
              </w:rPr>
              <w:t>13</w:t>
            </w:r>
          </w:p>
        </w:tc>
        <w:tc>
          <w:tcPr>
            <w:tcW w:w="2722" w:type="pct"/>
            <w:vAlign w:val="center"/>
          </w:tcPr>
          <w:p w:rsidR="00E66E7A" w:rsidRDefault="00E66E7A">
            <w:pPr>
              <w:rPr>
                <w:sz w:val="16"/>
                <w:szCs w:val="16"/>
              </w:rPr>
            </w:pPr>
            <w:r>
              <w:rPr>
                <w:sz w:val="16"/>
                <w:szCs w:val="16"/>
              </w:rPr>
              <w:t>Rolba OLYMPIA ICE BEAR ELECTRIC SN:160158204</w:t>
            </w:r>
          </w:p>
        </w:tc>
        <w:tc>
          <w:tcPr>
            <w:tcW w:w="973" w:type="pct"/>
            <w:vAlign w:val="bottom"/>
          </w:tcPr>
          <w:p w:rsidR="00E66E7A" w:rsidRDefault="00E66E7A">
            <w:pPr>
              <w:jc w:val="right"/>
              <w:rPr>
                <w:sz w:val="16"/>
                <w:szCs w:val="16"/>
              </w:rPr>
            </w:pPr>
            <w:r>
              <w:rPr>
                <w:sz w:val="16"/>
                <w:szCs w:val="16"/>
              </w:rPr>
              <w:t>3 811 500 Kč</w:t>
            </w:r>
          </w:p>
        </w:tc>
        <w:tc>
          <w:tcPr>
            <w:tcW w:w="950" w:type="pct"/>
            <w:vAlign w:val="center"/>
          </w:tcPr>
          <w:p w:rsidR="00E66E7A" w:rsidRDefault="00EE1C20" w:rsidP="00EE1C20">
            <w:pPr>
              <w:jc w:val="right"/>
              <w:rPr>
                <w:sz w:val="16"/>
                <w:szCs w:val="16"/>
              </w:rPr>
            </w:pPr>
            <w:r>
              <w:rPr>
                <w:sz w:val="16"/>
                <w:szCs w:val="16"/>
              </w:rPr>
              <w:t>10 000 Kč</w:t>
            </w:r>
          </w:p>
        </w:tc>
      </w:tr>
    </w:tbl>
    <w:p w:rsidR="00423BDD" w:rsidRPr="00423BDD" w:rsidRDefault="00423BDD" w:rsidP="00423BDD"/>
    <w:p w:rsidR="00B82FE9" w:rsidRPr="00387BA8" w:rsidRDefault="00B82FE9" w:rsidP="00B82FE9">
      <w:pPr>
        <w:pStyle w:val="Nadpis2"/>
      </w:pPr>
      <w:bookmarkStart w:id="28" w:name="_Toc450552727"/>
      <w:r w:rsidRPr="00387BA8">
        <w:t>Pojistná nebezpečí</w:t>
      </w:r>
      <w:r w:rsidR="00423BDD">
        <w:t>, limity a spoluúčasti</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086"/>
      </w:tblGrid>
      <w:tr w:rsidR="00EE1C20" w:rsidRPr="00387BA8" w:rsidTr="00D963C4">
        <w:trPr>
          <w:cantSplit/>
          <w:trHeight w:val="334"/>
        </w:trPr>
        <w:tc>
          <w:tcPr>
            <w:tcW w:w="3877" w:type="pct"/>
            <w:shd w:val="clear" w:color="auto" w:fill="F2F2F2"/>
            <w:vAlign w:val="center"/>
          </w:tcPr>
          <w:p w:rsidR="00EE1C20" w:rsidRPr="00387BA8" w:rsidRDefault="00EE1C20" w:rsidP="00A6407A">
            <w:pPr>
              <w:spacing w:line="280" w:lineRule="atLeast"/>
              <w:rPr>
                <w:b/>
                <w:szCs w:val="18"/>
              </w:rPr>
            </w:pPr>
            <w:r w:rsidRPr="00387BA8">
              <w:rPr>
                <w:b/>
                <w:szCs w:val="18"/>
              </w:rPr>
              <w:t>Pojištěná nebezpečí</w:t>
            </w:r>
          </w:p>
        </w:tc>
        <w:tc>
          <w:tcPr>
            <w:tcW w:w="1123" w:type="pct"/>
            <w:shd w:val="clear" w:color="auto" w:fill="F2F2F2"/>
            <w:vAlign w:val="center"/>
          </w:tcPr>
          <w:p w:rsidR="00EE1C20" w:rsidRPr="00387BA8" w:rsidRDefault="00EE1C20" w:rsidP="00A6407A">
            <w:pPr>
              <w:spacing w:line="280" w:lineRule="atLeast"/>
              <w:jc w:val="center"/>
              <w:rPr>
                <w:b/>
                <w:szCs w:val="18"/>
              </w:rPr>
            </w:pPr>
            <w:r w:rsidRPr="00387BA8">
              <w:rPr>
                <w:b/>
                <w:szCs w:val="18"/>
              </w:rPr>
              <w:t>Limit plnění</w:t>
            </w:r>
          </w:p>
        </w:tc>
      </w:tr>
      <w:tr w:rsidR="00EE1C20" w:rsidRPr="00387BA8" w:rsidTr="00EE1C20">
        <w:trPr>
          <w:cantSplit/>
          <w:trHeight w:val="335"/>
        </w:trPr>
        <w:tc>
          <w:tcPr>
            <w:tcW w:w="3877" w:type="pct"/>
            <w:vAlign w:val="center"/>
          </w:tcPr>
          <w:p w:rsidR="00EE1C20" w:rsidRPr="00387BA8" w:rsidRDefault="00EE1C20" w:rsidP="00A6407A">
            <w:pPr>
              <w:pStyle w:val="TabulkaTLB"/>
            </w:pPr>
            <w:proofErr w:type="spellStart"/>
            <w:r w:rsidRPr="00387BA8">
              <w:lastRenderedPageBreak/>
              <w:t>All</w:t>
            </w:r>
            <w:proofErr w:type="spellEnd"/>
            <w:r w:rsidRPr="00387BA8">
              <w:t xml:space="preserve"> risk </w:t>
            </w:r>
            <w:r w:rsidRPr="00387BA8">
              <w:rPr>
                <w:b w:val="0"/>
              </w:rPr>
              <w:t>(technická rizika)</w:t>
            </w:r>
          </w:p>
        </w:tc>
        <w:tc>
          <w:tcPr>
            <w:tcW w:w="1123" w:type="pct"/>
            <w:vAlign w:val="center"/>
          </w:tcPr>
          <w:p w:rsidR="00EE1C20" w:rsidRPr="00387BA8" w:rsidRDefault="00EE1C20" w:rsidP="00A6407A">
            <w:pPr>
              <w:spacing w:before="0"/>
              <w:jc w:val="right"/>
              <w:rPr>
                <w:szCs w:val="18"/>
              </w:rPr>
            </w:pPr>
            <w:r w:rsidRPr="00387BA8">
              <w:rPr>
                <w:szCs w:val="18"/>
              </w:rPr>
              <w:t>Pojistná částka</w:t>
            </w:r>
          </w:p>
        </w:tc>
      </w:tr>
      <w:tr w:rsidR="00EE1C20" w:rsidRPr="00387BA8" w:rsidTr="00EE1C20">
        <w:trPr>
          <w:cantSplit/>
          <w:trHeight w:val="335"/>
        </w:trPr>
        <w:tc>
          <w:tcPr>
            <w:tcW w:w="3877" w:type="pct"/>
            <w:vAlign w:val="center"/>
          </w:tcPr>
          <w:p w:rsidR="00EE1C20" w:rsidRPr="00387BA8" w:rsidRDefault="00EE1C20" w:rsidP="00A6407A">
            <w:pPr>
              <w:pStyle w:val="TabulkaTLB"/>
            </w:pPr>
            <w:r w:rsidRPr="00387BA8">
              <w:t xml:space="preserve">Kasko rizika </w:t>
            </w:r>
            <w:r w:rsidRPr="00387BA8">
              <w:rPr>
                <w:b w:val="0"/>
              </w:rPr>
              <w:t>(pro mobilní stroje</w:t>
            </w:r>
            <w:r>
              <w:rPr>
                <w:b w:val="0"/>
              </w:rPr>
              <w:t xml:space="preserve"> -rolba</w:t>
            </w:r>
            <w:r w:rsidRPr="00387BA8">
              <w:rPr>
                <w:b w:val="0"/>
              </w:rPr>
              <w:t>)</w:t>
            </w:r>
          </w:p>
        </w:tc>
        <w:tc>
          <w:tcPr>
            <w:tcW w:w="1123" w:type="pct"/>
            <w:vAlign w:val="center"/>
          </w:tcPr>
          <w:p w:rsidR="00EE1C20" w:rsidRPr="00387BA8" w:rsidRDefault="00EE1C20" w:rsidP="00A6407A">
            <w:pPr>
              <w:spacing w:before="0"/>
              <w:jc w:val="right"/>
              <w:rPr>
                <w:szCs w:val="18"/>
              </w:rPr>
            </w:pPr>
            <w:r w:rsidRPr="00387BA8">
              <w:rPr>
                <w:szCs w:val="18"/>
              </w:rPr>
              <w:t>Pojistná částka</w:t>
            </w:r>
          </w:p>
        </w:tc>
      </w:tr>
    </w:tbl>
    <w:p w:rsidR="00F74D5B" w:rsidRPr="00387BA8" w:rsidRDefault="001E2A3C" w:rsidP="00B82FE9">
      <w:pPr>
        <w:widowControl w:val="0"/>
        <w:spacing w:line="280" w:lineRule="atLeast"/>
        <w:jc w:val="both"/>
        <w:rPr>
          <w:sz w:val="20"/>
        </w:rPr>
      </w:pPr>
      <w:r>
        <w:rPr>
          <w:sz w:val="20"/>
        </w:rPr>
        <w:t xml:space="preserve"> </w:t>
      </w:r>
    </w:p>
    <w:p w:rsidR="00B82FE9" w:rsidRPr="00387BA8" w:rsidRDefault="00B82FE9" w:rsidP="00B82FE9">
      <w:pPr>
        <w:pStyle w:val="Nadpis2"/>
      </w:pPr>
      <w:bookmarkStart w:id="29" w:name="_Toc450552728"/>
      <w:r w:rsidRPr="00387BA8">
        <w:t>Zvláštní ujednání</w:t>
      </w:r>
      <w:r w:rsidR="00B02654" w:rsidRPr="00387BA8">
        <w:t xml:space="preserve"> k pojištění strojů</w:t>
      </w:r>
      <w:bookmarkEnd w:id="29"/>
    </w:p>
    <w:p w:rsidR="005E0B25" w:rsidRPr="008D400F" w:rsidRDefault="00B21B2A" w:rsidP="00D963C4">
      <w:pPr>
        <w:numPr>
          <w:ilvl w:val="2"/>
          <w:numId w:val="7"/>
        </w:numPr>
        <w:autoSpaceDE w:val="0"/>
        <w:autoSpaceDN w:val="0"/>
        <w:adjustRightInd w:val="0"/>
        <w:spacing w:before="0" w:after="120" w:line="280" w:lineRule="atLeast"/>
        <w:ind w:left="426" w:hanging="141"/>
        <w:jc w:val="both"/>
        <w:rPr>
          <w:szCs w:val="18"/>
        </w:rPr>
      </w:pPr>
      <w:r w:rsidRPr="008D400F">
        <w:rPr>
          <w:szCs w:val="18"/>
        </w:rPr>
        <w:t>Pojištění se vztahuje i na škody způsobené hmyzem či hlodavci</w:t>
      </w:r>
      <w:r w:rsidR="00471C57">
        <w:rPr>
          <w:szCs w:val="18"/>
        </w:rPr>
        <w:t>.</w:t>
      </w:r>
    </w:p>
    <w:p w:rsidR="00B21B2A" w:rsidRPr="008D400F" w:rsidRDefault="00B21B2A" w:rsidP="00D963C4">
      <w:pPr>
        <w:numPr>
          <w:ilvl w:val="2"/>
          <w:numId w:val="7"/>
        </w:numPr>
        <w:autoSpaceDE w:val="0"/>
        <w:autoSpaceDN w:val="0"/>
        <w:adjustRightInd w:val="0"/>
        <w:spacing w:before="0" w:after="120" w:line="280" w:lineRule="atLeast"/>
        <w:ind w:left="709" w:hanging="425"/>
        <w:jc w:val="both"/>
        <w:rPr>
          <w:szCs w:val="18"/>
        </w:rPr>
      </w:pPr>
      <w:r w:rsidRPr="008D400F">
        <w:rPr>
          <w:szCs w:val="18"/>
        </w:rPr>
        <w:t xml:space="preserve">Pojištění se vztahuje i na zařízení převzatá pojištěným, která jsou provozuschopná, avšak v </w:t>
      </w:r>
      <w:proofErr w:type="gramStart"/>
      <w:r w:rsidRPr="008D400F">
        <w:rPr>
          <w:szCs w:val="18"/>
        </w:rPr>
        <w:t xml:space="preserve">době  </w:t>
      </w:r>
      <w:r w:rsidR="00606E06" w:rsidRPr="008D400F">
        <w:rPr>
          <w:szCs w:val="18"/>
        </w:rPr>
        <w:t>pojistné</w:t>
      </w:r>
      <w:proofErr w:type="gramEnd"/>
      <w:r w:rsidR="00606E06" w:rsidRPr="008D400F">
        <w:rPr>
          <w:szCs w:val="18"/>
        </w:rPr>
        <w:t xml:space="preserve"> události</w:t>
      </w:r>
      <w:r w:rsidRPr="008D400F">
        <w:rPr>
          <w:szCs w:val="18"/>
        </w:rPr>
        <w:t xml:space="preserve"> mohou být mimo provoz, mohou na nich probíhat prohlídky či opravy, mohou být v rámci místa pojištění přepravována, přemísťována, demontována či opětovně montována</w:t>
      </w:r>
      <w:r w:rsidR="00471C57">
        <w:rPr>
          <w:szCs w:val="18"/>
        </w:rPr>
        <w:t>.</w:t>
      </w:r>
    </w:p>
    <w:p w:rsidR="00B21B2A" w:rsidRPr="008D400F" w:rsidRDefault="00B21B2A" w:rsidP="00D963C4">
      <w:pPr>
        <w:numPr>
          <w:ilvl w:val="2"/>
          <w:numId w:val="7"/>
        </w:numPr>
        <w:autoSpaceDE w:val="0"/>
        <w:autoSpaceDN w:val="0"/>
        <w:adjustRightInd w:val="0"/>
        <w:spacing w:before="0" w:after="120" w:line="280" w:lineRule="atLeast"/>
        <w:ind w:left="709" w:hanging="425"/>
        <w:jc w:val="both"/>
        <w:rPr>
          <w:szCs w:val="18"/>
        </w:rPr>
      </w:pPr>
      <w:r w:rsidRPr="008D400F">
        <w:rPr>
          <w:szCs w:val="18"/>
        </w:rPr>
        <w:t>Pojištění kryje také zachraňovací náklady až do výše 10% pojistné částky pojištěného strojního zařízení. Toto omezení neplatí při záchraně života a zdraví osob.</w:t>
      </w:r>
    </w:p>
    <w:p w:rsidR="00811380" w:rsidRPr="00387BA8" w:rsidRDefault="00811380" w:rsidP="00811380"/>
    <w:p w:rsidR="00466806" w:rsidRPr="00387BA8" w:rsidRDefault="00466806" w:rsidP="00466806">
      <w:pPr>
        <w:pStyle w:val="Nadpis1"/>
      </w:pPr>
      <w:bookmarkStart w:id="30" w:name="_Toc450552729"/>
      <w:r w:rsidRPr="00387BA8">
        <w:t>Škodové pojištění odpovědnosti</w:t>
      </w:r>
      <w:bookmarkEnd w:id="30"/>
    </w:p>
    <w:p w:rsidR="00F96F29" w:rsidRDefault="00F96F29" w:rsidP="00466806">
      <w:pPr>
        <w:pStyle w:val="Nadpis2"/>
        <w:ind w:left="448" w:hanging="448"/>
      </w:pPr>
      <w:bookmarkStart w:id="31" w:name="_Toc450552730"/>
      <w:r>
        <w:t>Pojištěná činnost</w:t>
      </w:r>
      <w:bookmarkEnd w:id="31"/>
    </w:p>
    <w:p w:rsidR="00F96F29" w:rsidRPr="00387BA8" w:rsidRDefault="00F96F29" w:rsidP="00F96F29">
      <w:pPr>
        <w:keepNext/>
        <w:widowControl w:val="0"/>
        <w:spacing w:line="280" w:lineRule="atLeast"/>
      </w:pPr>
      <w:r w:rsidRPr="00387BA8">
        <w:rPr>
          <w:lang w:val="la-Latn"/>
        </w:rPr>
        <w:t>Pojiště</w:t>
      </w:r>
      <w:r w:rsidRPr="00387BA8">
        <w:t>ní se vztahuje na obecnou provozní odpovědnost za újmu způsobenou jiné osobě v souvislostí s činností nebo vztahem pojištěného  vyplývající ze zákona o obecním zřízení v platném znění (zejména z existence a držby obecního majetku, z výkonu práv a povinností pojištěného v rámci jeho samostatné a přenesené působnosti)  a souvisejících právních předpisů</w:t>
      </w:r>
    </w:p>
    <w:p w:rsidR="00F96F29" w:rsidRPr="00387BA8" w:rsidRDefault="00F96F29" w:rsidP="00F96F29">
      <w:pPr>
        <w:keepNext/>
        <w:widowControl w:val="0"/>
      </w:pPr>
      <w:r w:rsidRPr="00387BA8">
        <w:t>- zákon č. 128/2000 Sb. o obcích, ve znění pozdějších předpisů</w:t>
      </w:r>
    </w:p>
    <w:p w:rsidR="00F96F29" w:rsidRPr="00387BA8" w:rsidRDefault="00F96F29" w:rsidP="00F96F29">
      <w:pPr>
        <w:keepNext/>
        <w:widowControl w:val="0"/>
      </w:pPr>
      <w:r w:rsidRPr="00387BA8">
        <w:t>- zákon č. 553/1991 Sb. o obecní policii, ve znění pozdějších předpisů</w:t>
      </w:r>
    </w:p>
    <w:p w:rsidR="00F96F29" w:rsidRDefault="00F96F29" w:rsidP="00F96F29">
      <w:pPr>
        <w:keepNext/>
        <w:widowControl w:val="0"/>
      </w:pPr>
      <w:r w:rsidRPr="00387BA8">
        <w:t>- zákon č. 108/2006 Sb. o sociálních službách, ve znění pozdějších předpisů</w:t>
      </w:r>
    </w:p>
    <w:p w:rsidR="00F96F29" w:rsidRPr="00387BA8" w:rsidRDefault="00F96F29" w:rsidP="00F96F29">
      <w:pPr>
        <w:keepNext/>
        <w:widowControl w:val="0"/>
      </w:pPr>
      <w:r>
        <w:t>- zákon č. 372/2011 Sb. o zdravotních službách, ve znění pozdějších předpisů</w:t>
      </w:r>
    </w:p>
    <w:p w:rsidR="00F96F29" w:rsidRPr="00387BA8" w:rsidRDefault="00F96F29" w:rsidP="00F96F29">
      <w:pPr>
        <w:keepNext/>
        <w:widowControl w:val="0"/>
      </w:pPr>
      <w:r w:rsidRPr="00387BA8">
        <w:t>- a další související právní předpisy či zákony</w:t>
      </w:r>
    </w:p>
    <w:p w:rsidR="00F96F29" w:rsidRDefault="00F96F29" w:rsidP="00F96F29">
      <w:pPr>
        <w:keepNext/>
        <w:widowControl w:val="0"/>
        <w:spacing w:line="280" w:lineRule="atLeast"/>
      </w:pPr>
      <w:r>
        <w:t>Pojištěny jsou č</w:t>
      </w:r>
      <w:r w:rsidRPr="00387BA8">
        <w:t xml:space="preserve">innosti spolupojištěných právních subjektů dle zřizovacích listin a výpisu o Obchodního rejstříku, </w:t>
      </w:r>
      <w:r w:rsidRPr="00387BA8">
        <w:rPr>
          <w:lang w:val="la-Latn"/>
        </w:rPr>
        <w:t xml:space="preserve">a činnosti nezapsané do obchodního rejstříku, </w:t>
      </w:r>
      <w:proofErr w:type="gramStart"/>
      <w:r w:rsidRPr="00387BA8">
        <w:rPr>
          <w:lang w:val="la-Latn"/>
        </w:rPr>
        <w:t xml:space="preserve">pokud </w:t>
      </w:r>
      <w:r>
        <w:t xml:space="preserve"> </w:t>
      </w:r>
      <w:r w:rsidRPr="00387BA8">
        <w:rPr>
          <w:lang w:val="la-Latn"/>
        </w:rPr>
        <w:t>tyto</w:t>
      </w:r>
      <w:proofErr w:type="gramEnd"/>
      <w:r w:rsidRPr="00387BA8">
        <w:rPr>
          <w:lang w:val="la-Latn"/>
        </w:rPr>
        <w:t xml:space="preserve"> nepředstavují podstatné zvýšení pojistného rizika a objem této činnosti nepřesahuje 5% z celkového obratu pojištěného. </w:t>
      </w:r>
      <w:r>
        <w:t>Pojištění se dále vztahuje na držbu nemovitostí</w:t>
      </w:r>
      <w:r w:rsidR="00471C57">
        <w:t>.</w:t>
      </w:r>
    </w:p>
    <w:p w:rsidR="00CA0DD5" w:rsidRDefault="00471C57" w:rsidP="00F96F29">
      <w:pPr>
        <w:keepNext/>
        <w:widowControl w:val="0"/>
        <w:spacing w:line="280" w:lineRule="atLeast"/>
      </w:pPr>
      <w:r>
        <w:t>Údaje město Znojmo za rok 2016:</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27"/>
        <w:gridCol w:w="1883"/>
      </w:tblGrid>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Počet obyvatel</w:t>
            </w:r>
          </w:p>
        </w:tc>
        <w:tc>
          <w:tcPr>
            <w:tcW w:w="1022" w:type="pct"/>
            <w:vAlign w:val="center"/>
          </w:tcPr>
          <w:p w:rsidR="00CA0DD5" w:rsidRPr="00CA0DD5" w:rsidRDefault="00CA0DD5" w:rsidP="00A435A0">
            <w:pPr>
              <w:ind w:left="213" w:right="213"/>
              <w:jc w:val="right"/>
              <w:rPr>
                <w:sz w:val="16"/>
                <w:szCs w:val="16"/>
              </w:rPr>
            </w:pPr>
            <w:r w:rsidRPr="00CA0DD5">
              <w:rPr>
                <w:sz w:val="16"/>
                <w:szCs w:val="16"/>
              </w:rPr>
              <w:t xml:space="preserve">34 </w:t>
            </w:r>
            <w:r w:rsidR="00A435A0">
              <w:rPr>
                <w:sz w:val="16"/>
                <w:szCs w:val="16"/>
              </w:rPr>
              <w:t>586</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Počet zastupitelů</w:t>
            </w:r>
          </w:p>
        </w:tc>
        <w:tc>
          <w:tcPr>
            <w:tcW w:w="1022" w:type="pct"/>
            <w:vAlign w:val="center"/>
          </w:tcPr>
          <w:p w:rsidR="00CA0DD5" w:rsidRPr="00CA0DD5" w:rsidRDefault="00CA0DD5" w:rsidP="00DC1F87">
            <w:pPr>
              <w:ind w:left="213" w:right="213"/>
              <w:jc w:val="right"/>
              <w:rPr>
                <w:sz w:val="16"/>
                <w:szCs w:val="16"/>
              </w:rPr>
            </w:pPr>
            <w:r w:rsidRPr="00CA0DD5">
              <w:rPr>
                <w:sz w:val="16"/>
                <w:szCs w:val="16"/>
              </w:rPr>
              <w:t xml:space="preserve">  31</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 xml:space="preserve">Počet pracovníků v pracovněprávním vztahu – Město Znojmo </w:t>
            </w:r>
            <w:proofErr w:type="gramStart"/>
            <w:r w:rsidRPr="00CA0DD5">
              <w:rPr>
                <w:sz w:val="16"/>
                <w:szCs w:val="16"/>
              </w:rPr>
              <w:t>včetně  městské</w:t>
            </w:r>
            <w:proofErr w:type="gramEnd"/>
            <w:r w:rsidRPr="00CA0DD5">
              <w:rPr>
                <w:sz w:val="16"/>
                <w:szCs w:val="16"/>
              </w:rPr>
              <w:t xml:space="preserve"> policie</w:t>
            </w:r>
          </w:p>
        </w:tc>
        <w:tc>
          <w:tcPr>
            <w:tcW w:w="1022" w:type="pct"/>
            <w:vAlign w:val="center"/>
          </w:tcPr>
          <w:p w:rsidR="00CA0DD5" w:rsidRPr="00CA0DD5" w:rsidRDefault="00A435A0" w:rsidP="00A435A0">
            <w:pPr>
              <w:ind w:left="213" w:right="213"/>
              <w:jc w:val="right"/>
              <w:rPr>
                <w:sz w:val="16"/>
                <w:szCs w:val="16"/>
              </w:rPr>
            </w:pPr>
            <w:r>
              <w:rPr>
                <w:sz w:val="16"/>
                <w:szCs w:val="16"/>
              </w:rPr>
              <w:t>313</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Počet pracovníků v pracovněprávním vztahu – Městská policie Znojmo</w:t>
            </w:r>
          </w:p>
        </w:tc>
        <w:tc>
          <w:tcPr>
            <w:tcW w:w="1022" w:type="pct"/>
            <w:vAlign w:val="center"/>
          </w:tcPr>
          <w:p w:rsidR="00CA0DD5" w:rsidRPr="00CA0DD5" w:rsidRDefault="00A435A0" w:rsidP="00A435A0">
            <w:pPr>
              <w:ind w:left="213" w:right="213"/>
              <w:jc w:val="right"/>
              <w:rPr>
                <w:sz w:val="16"/>
                <w:szCs w:val="16"/>
              </w:rPr>
            </w:pPr>
            <w:r>
              <w:rPr>
                <w:sz w:val="16"/>
                <w:szCs w:val="16"/>
              </w:rPr>
              <w:t>53</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Počet pracovníků externě</w:t>
            </w:r>
          </w:p>
        </w:tc>
        <w:tc>
          <w:tcPr>
            <w:tcW w:w="1022" w:type="pct"/>
            <w:vAlign w:val="center"/>
          </w:tcPr>
          <w:p w:rsidR="00CA0DD5" w:rsidRPr="00CA0DD5" w:rsidRDefault="00A435A0" w:rsidP="00DC1F87">
            <w:pPr>
              <w:ind w:left="213" w:right="213"/>
              <w:jc w:val="right"/>
              <w:rPr>
                <w:sz w:val="16"/>
                <w:szCs w:val="16"/>
              </w:rPr>
            </w:pPr>
            <w:r>
              <w:rPr>
                <w:sz w:val="16"/>
                <w:szCs w:val="16"/>
              </w:rPr>
              <w:t>19</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Počet pracovníků na vedlejší pracovní poměr</w:t>
            </w:r>
          </w:p>
        </w:tc>
        <w:tc>
          <w:tcPr>
            <w:tcW w:w="1022" w:type="pct"/>
            <w:vAlign w:val="center"/>
          </w:tcPr>
          <w:p w:rsidR="00CA0DD5" w:rsidRPr="00CA0DD5" w:rsidRDefault="00A435A0" w:rsidP="00DC1F87">
            <w:pPr>
              <w:ind w:left="213" w:right="213"/>
              <w:jc w:val="right"/>
              <w:rPr>
                <w:sz w:val="16"/>
                <w:szCs w:val="16"/>
              </w:rPr>
            </w:pPr>
            <w:r>
              <w:rPr>
                <w:sz w:val="16"/>
                <w:szCs w:val="16"/>
              </w:rPr>
              <w:t>0</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 xml:space="preserve">Počet pracovníků poskytujících </w:t>
            </w:r>
            <w:proofErr w:type="spellStart"/>
            <w:proofErr w:type="gramStart"/>
            <w:r w:rsidRPr="00CA0DD5">
              <w:rPr>
                <w:sz w:val="16"/>
                <w:szCs w:val="16"/>
              </w:rPr>
              <w:t>soc.služby</w:t>
            </w:r>
            <w:proofErr w:type="spellEnd"/>
            <w:proofErr w:type="gramEnd"/>
            <w:r w:rsidRPr="00CA0DD5">
              <w:rPr>
                <w:sz w:val="16"/>
                <w:szCs w:val="16"/>
              </w:rPr>
              <w:t xml:space="preserve"> na základě zákona č.108/2006 Sb.</w:t>
            </w:r>
          </w:p>
        </w:tc>
        <w:tc>
          <w:tcPr>
            <w:tcW w:w="1022" w:type="pct"/>
            <w:vAlign w:val="center"/>
          </w:tcPr>
          <w:p w:rsidR="00CA0DD5" w:rsidRPr="00CA0DD5" w:rsidRDefault="00A435A0" w:rsidP="00DC1F87">
            <w:pPr>
              <w:ind w:left="213" w:right="213"/>
              <w:jc w:val="right"/>
              <w:rPr>
                <w:sz w:val="16"/>
                <w:szCs w:val="16"/>
              </w:rPr>
            </w:pPr>
            <w:r>
              <w:rPr>
                <w:sz w:val="16"/>
                <w:szCs w:val="16"/>
              </w:rPr>
              <w:t>0</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Počet osob vykonávajících na základě smlouvy veřejné služby pro vlastní potřebu obce (osoby v hmotné nouzi)</w:t>
            </w:r>
          </w:p>
        </w:tc>
        <w:tc>
          <w:tcPr>
            <w:tcW w:w="1022" w:type="pct"/>
            <w:vAlign w:val="center"/>
          </w:tcPr>
          <w:p w:rsidR="00CA0DD5" w:rsidRPr="00CA0DD5" w:rsidRDefault="00A435A0" w:rsidP="00DC1F87">
            <w:pPr>
              <w:ind w:left="213" w:right="213"/>
              <w:jc w:val="right"/>
              <w:rPr>
                <w:sz w:val="16"/>
                <w:szCs w:val="16"/>
              </w:rPr>
            </w:pPr>
            <w:r>
              <w:rPr>
                <w:sz w:val="16"/>
                <w:szCs w:val="16"/>
              </w:rPr>
              <w:t>4</w:t>
            </w:r>
          </w:p>
        </w:tc>
      </w:tr>
      <w:tr w:rsidR="00CA0DD5" w:rsidTr="00CA0DD5">
        <w:trPr>
          <w:trHeight w:val="397"/>
        </w:trPr>
        <w:tc>
          <w:tcPr>
            <w:tcW w:w="3978" w:type="pct"/>
            <w:vAlign w:val="center"/>
          </w:tcPr>
          <w:p w:rsidR="00CA0DD5" w:rsidRPr="00CA0DD5" w:rsidRDefault="00CA0DD5" w:rsidP="00DC1F87">
            <w:pPr>
              <w:rPr>
                <w:sz w:val="16"/>
                <w:szCs w:val="16"/>
              </w:rPr>
            </w:pPr>
            <w:r w:rsidRPr="00CA0DD5">
              <w:rPr>
                <w:sz w:val="16"/>
                <w:szCs w:val="16"/>
              </w:rPr>
              <w:t xml:space="preserve">Roční rozpočet </w:t>
            </w:r>
            <w:r>
              <w:rPr>
                <w:sz w:val="16"/>
                <w:szCs w:val="16"/>
              </w:rPr>
              <w:t xml:space="preserve">město </w:t>
            </w:r>
            <w:proofErr w:type="gramStart"/>
            <w:r>
              <w:rPr>
                <w:sz w:val="16"/>
                <w:szCs w:val="16"/>
              </w:rPr>
              <w:t>ZNOJMO</w:t>
            </w:r>
            <w:r w:rsidR="00A435A0">
              <w:rPr>
                <w:sz w:val="16"/>
                <w:szCs w:val="16"/>
              </w:rPr>
              <w:t xml:space="preserve">  výdaje</w:t>
            </w:r>
            <w:proofErr w:type="gramEnd"/>
          </w:p>
        </w:tc>
        <w:tc>
          <w:tcPr>
            <w:tcW w:w="1022" w:type="pct"/>
            <w:vAlign w:val="center"/>
          </w:tcPr>
          <w:p w:rsidR="00CA0DD5" w:rsidRPr="00CA0DD5" w:rsidRDefault="00A435A0" w:rsidP="00A435A0">
            <w:pPr>
              <w:ind w:left="213" w:right="213"/>
              <w:rPr>
                <w:sz w:val="16"/>
                <w:szCs w:val="16"/>
                <w:highlight w:val="yellow"/>
              </w:rPr>
            </w:pPr>
            <w:r>
              <w:rPr>
                <w:sz w:val="16"/>
                <w:szCs w:val="16"/>
              </w:rPr>
              <w:t xml:space="preserve">717.995,90 v </w:t>
            </w:r>
            <w:proofErr w:type="gramStart"/>
            <w:r w:rsidR="00CA0DD5" w:rsidRPr="00CA0DD5">
              <w:rPr>
                <w:sz w:val="16"/>
                <w:szCs w:val="16"/>
              </w:rPr>
              <w:t>tis.Kč</w:t>
            </w:r>
            <w:proofErr w:type="gramEnd"/>
          </w:p>
        </w:tc>
      </w:tr>
      <w:tr w:rsidR="00A435A0" w:rsidTr="00CA0DD5">
        <w:trPr>
          <w:trHeight w:val="397"/>
        </w:trPr>
        <w:tc>
          <w:tcPr>
            <w:tcW w:w="3978" w:type="pct"/>
            <w:vAlign w:val="center"/>
          </w:tcPr>
          <w:p w:rsidR="00A435A0" w:rsidRPr="00CA0DD5" w:rsidRDefault="00A435A0" w:rsidP="00DC1F87">
            <w:pPr>
              <w:rPr>
                <w:sz w:val="16"/>
                <w:szCs w:val="16"/>
              </w:rPr>
            </w:pPr>
            <w:r w:rsidRPr="00CA0DD5">
              <w:rPr>
                <w:sz w:val="16"/>
                <w:szCs w:val="16"/>
              </w:rPr>
              <w:t xml:space="preserve">Roční rozpočet </w:t>
            </w:r>
            <w:r>
              <w:rPr>
                <w:sz w:val="16"/>
                <w:szCs w:val="16"/>
              </w:rPr>
              <w:t xml:space="preserve">město </w:t>
            </w:r>
            <w:proofErr w:type="gramStart"/>
            <w:r>
              <w:rPr>
                <w:sz w:val="16"/>
                <w:szCs w:val="16"/>
              </w:rPr>
              <w:t>ZNOJMO  příjmy</w:t>
            </w:r>
            <w:proofErr w:type="gramEnd"/>
            <w:r>
              <w:rPr>
                <w:sz w:val="16"/>
                <w:szCs w:val="16"/>
              </w:rPr>
              <w:t xml:space="preserve">                                 </w:t>
            </w:r>
          </w:p>
        </w:tc>
        <w:tc>
          <w:tcPr>
            <w:tcW w:w="1022" w:type="pct"/>
            <w:vAlign w:val="center"/>
          </w:tcPr>
          <w:p w:rsidR="00A435A0" w:rsidRDefault="00A435A0" w:rsidP="00A435A0">
            <w:pPr>
              <w:ind w:left="213" w:right="213"/>
              <w:rPr>
                <w:sz w:val="16"/>
                <w:szCs w:val="16"/>
              </w:rPr>
            </w:pPr>
            <w:r>
              <w:rPr>
                <w:sz w:val="16"/>
                <w:szCs w:val="16"/>
              </w:rPr>
              <w:t>740.303,40 v </w:t>
            </w:r>
            <w:proofErr w:type="gramStart"/>
            <w:r>
              <w:rPr>
                <w:sz w:val="16"/>
                <w:szCs w:val="16"/>
              </w:rPr>
              <w:t>tis.Kč</w:t>
            </w:r>
            <w:proofErr w:type="gramEnd"/>
          </w:p>
        </w:tc>
      </w:tr>
    </w:tbl>
    <w:p w:rsidR="00CA0DD5" w:rsidRPr="00140593" w:rsidRDefault="00140593" w:rsidP="00CA0DD5">
      <w:pPr>
        <w:widowControl w:val="0"/>
        <w:spacing w:line="280" w:lineRule="atLeast"/>
        <w:rPr>
          <w:szCs w:val="18"/>
        </w:rPr>
      </w:pPr>
      <w:r w:rsidRPr="00140593">
        <w:rPr>
          <w:szCs w:val="18"/>
        </w:rPr>
        <w:t xml:space="preserve">Další </w:t>
      </w:r>
      <w:proofErr w:type="gramStart"/>
      <w:r w:rsidRPr="00140593">
        <w:rPr>
          <w:szCs w:val="18"/>
        </w:rPr>
        <w:t>informace  viz</w:t>
      </w:r>
      <w:proofErr w:type="gramEnd"/>
      <w:r w:rsidRPr="00140593">
        <w:rPr>
          <w:szCs w:val="18"/>
        </w:rPr>
        <w:t xml:space="preserve"> </w:t>
      </w:r>
      <w:hyperlink r:id="rId8" w:history="1">
        <w:r w:rsidRPr="00140593">
          <w:rPr>
            <w:rStyle w:val="Hypertextovodkaz"/>
            <w:szCs w:val="18"/>
          </w:rPr>
          <w:t>www.znojmocity.cz</w:t>
        </w:r>
      </w:hyperlink>
    </w:p>
    <w:p w:rsidR="00CA0DD5" w:rsidRDefault="00CA0DD5" w:rsidP="00CA0DD5">
      <w:pPr>
        <w:widowControl w:val="0"/>
        <w:spacing w:line="280" w:lineRule="atLeast"/>
      </w:pPr>
    </w:p>
    <w:p w:rsidR="00CA0DD5" w:rsidRDefault="00CA0DD5" w:rsidP="00CA0DD5">
      <w:pPr>
        <w:widowControl w:val="0"/>
        <w:spacing w:line="280" w:lineRule="atLeast"/>
      </w:pPr>
    </w:p>
    <w:p w:rsidR="00140593" w:rsidRDefault="00140593" w:rsidP="00CA0DD5">
      <w:pPr>
        <w:widowControl w:val="0"/>
        <w:spacing w:line="280" w:lineRule="atLeast"/>
      </w:pPr>
    </w:p>
    <w:p w:rsidR="00CA0DD5" w:rsidRPr="00F96F29" w:rsidRDefault="00CA0DD5" w:rsidP="00CA0DD5">
      <w:pPr>
        <w:widowControl w:val="0"/>
        <w:spacing w:line="280" w:lineRule="atLeast"/>
      </w:pPr>
    </w:p>
    <w:p w:rsidR="00466806" w:rsidRPr="00387BA8" w:rsidRDefault="00466806" w:rsidP="00CA0DD5">
      <w:pPr>
        <w:pStyle w:val="Nadpis2"/>
        <w:ind w:left="448" w:hanging="448"/>
      </w:pPr>
      <w:bookmarkStart w:id="32" w:name="_Toc450552731"/>
      <w:r w:rsidRPr="00387BA8">
        <w:t>Základní parametry pojištění, předmět pojištění, limity pojistného plnění, spoluúčasti</w:t>
      </w:r>
      <w:bookmarkEnd w:id="32"/>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85" w:type="dxa"/>
          <w:bottom w:w="28" w:type="dxa"/>
          <w:right w:w="85" w:type="dxa"/>
        </w:tblCellMar>
        <w:tblLook w:val="00A0" w:firstRow="1" w:lastRow="0" w:firstColumn="1" w:lastColumn="0" w:noHBand="0" w:noVBand="0"/>
      </w:tblPr>
      <w:tblGrid>
        <w:gridCol w:w="5614"/>
        <w:gridCol w:w="1403"/>
        <w:gridCol w:w="2223"/>
      </w:tblGrid>
      <w:tr w:rsidR="00466806" w:rsidRPr="00387BA8" w:rsidTr="00D963C4">
        <w:trPr>
          <w:trHeight w:val="255"/>
        </w:trPr>
        <w:tc>
          <w:tcPr>
            <w:tcW w:w="3038" w:type="pct"/>
            <w:tcBorders>
              <w:right w:val="nil"/>
            </w:tcBorders>
            <w:shd w:val="clear" w:color="auto" w:fill="F2F2F2"/>
          </w:tcPr>
          <w:p w:rsidR="00466806" w:rsidRPr="00387BA8" w:rsidRDefault="00466806" w:rsidP="00CA0DD5">
            <w:pPr>
              <w:pStyle w:val="TabulkaTLB"/>
              <w:widowControl w:val="0"/>
              <w:rPr>
                <w:sz w:val="18"/>
              </w:rPr>
            </w:pPr>
            <w:bookmarkStart w:id="33" w:name="OLE_LINK1"/>
            <w:bookmarkStart w:id="34" w:name="OLE_LINK2"/>
            <w:r w:rsidRPr="00387BA8">
              <w:rPr>
                <w:sz w:val="18"/>
              </w:rPr>
              <w:t>Základní parametry</w:t>
            </w:r>
          </w:p>
        </w:tc>
        <w:tc>
          <w:tcPr>
            <w:tcW w:w="759" w:type="pct"/>
            <w:tcBorders>
              <w:left w:val="nil"/>
              <w:right w:val="nil"/>
            </w:tcBorders>
            <w:shd w:val="clear" w:color="auto" w:fill="F2F2F2"/>
          </w:tcPr>
          <w:p w:rsidR="00466806" w:rsidRPr="00387BA8" w:rsidRDefault="00466806" w:rsidP="00CA0DD5">
            <w:pPr>
              <w:pStyle w:val="TabulkaTR"/>
              <w:widowControl w:val="0"/>
              <w:rPr>
                <w:rFonts w:cs="Arial"/>
                <w:highlight w:val="green"/>
              </w:rPr>
            </w:pPr>
          </w:p>
        </w:tc>
        <w:tc>
          <w:tcPr>
            <w:tcW w:w="1203" w:type="pct"/>
            <w:tcBorders>
              <w:left w:val="nil"/>
              <w:right w:val="nil"/>
            </w:tcBorders>
            <w:shd w:val="clear" w:color="auto" w:fill="F2F2F2"/>
          </w:tcPr>
          <w:p w:rsidR="00466806" w:rsidRPr="00387BA8" w:rsidRDefault="00466806" w:rsidP="00CA0DD5">
            <w:pPr>
              <w:pStyle w:val="TabulkaTR"/>
              <w:widowControl w:val="0"/>
              <w:rPr>
                <w:rFonts w:cs="Arial"/>
                <w:highlight w:val="green"/>
              </w:rPr>
            </w:pPr>
          </w:p>
        </w:tc>
      </w:tr>
      <w:tr w:rsidR="00466806" w:rsidRPr="00387BA8" w:rsidTr="008C37FA">
        <w:trPr>
          <w:trHeight w:val="255"/>
        </w:trPr>
        <w:tc>
          <w:tcPr>
            <w:tcW w:w="3038" w:type="pct"/>
            <w:shd w:val="clear" w:color="auto" w:fill="auto"/>
            <w:vAlign w:val="center"/>
          </w:tcPr>
          <w:p w:rsidR="00466806" w:rsidRPr="00387BA8" w:rsidRDefault="00466806" w:rsidP="00466806">
            <w:pPr>
              <w:spacing w:line="280" w:lineRule="atLeast"/>
              <w:rPr>
                <w:szCs w:val="18"/>
              </w:rPr>
            </w:pPr>
            <w:r w:rsidRPr="00387BA8">
              <w:rPr>
                <w:szCs w:val="18"/>
              </w:rPr>
              <w:t>Nabídka limitů je do roka k dispozici</w:t>
            </w:r>
          </w:p>
        </w:tc>
        <w:tc>
          <w:tcPr>
            <w:tcW w:w="1962" w:type="pct"/>
            <w:gridSpan w:val="2"/>
            <w:shd w:val="clear" w:color="auto" w:fill="auto"/>
            <w:vAlign w:val="center"/>
          </w:tcPr>
          <w:p w:rsidR="00466806" w:rsidRPr="00387BA8" w:rsidRDefault="00F8715C" w:rsidP="00466806">
            <w:pPr>
              <w:spacing w:line="280" w:lineRule="atLeast"/>
              <w:jc w:val="right"/>
              <w:rPr>
                <w:bCs/>
                <w:szCs w:val="18"/>
              </w:rPr>
            </w:pPr>
            <w:r w:rsidRPr="00387BA8">
              <w:rPr>
                <w:bCs/>
                <w:szCs w:val="18"/>
              </w:rPr>
              <w:t>2</w:t>
            </w:r>
            <w:r w:rsidR="00466806" w:rsidRPr="00387BA8">
              <w:rPr>
                <w:bCs/>
                <w:szCs w:val="18"/>
              </w:rPr>
              <w:t>x</w:t>
            </w:r>
          </w:p>
        </w:tc>
      </w:tr>
      <w:tr w:rsidR="00466806" w:rsidRPr="00387BA8" w:rsidTr="008C37FA">
        <w:trPr>
          <w:trHeight w:val="255"/>
        </w:trPr>
        <w:tc>
          <w:tcPr>
            <w:tcW w:w="3038" w:type="pct"/>
            <w:shd w:val="clear" w:color="auto" w:fill="auto"/>
            <w:vAlign w:val="center"/>
          </w:tcPr>
          <w:p w:rsidR="00466806" w:rsidRPr="00387BA8" w:rsidRDefault="00466806" w:rsidP="00466806">
            <w:pPr>
              <w:spacing w:line="280" w:lineRule="atLeast"/>
              <w:rPr>
                <w:szCs w:val="18"/>
              </w:rPr>
            </w:pPr>
            <w:r w:rsidRPr="00387BA8">
              <w:rPr>
                <w:szCs w:val="18"/>
              </w:rPr>
              <w:t>Báze pojištění</w:t>
            </w:r>
          </w:p>
        </w:tc>
        <w:tc>
          <w:tcPr>
            <w:tcW w:w="1962" w:type="pct"/>
            <w:gridSpan w:val="2"/>
            <w:shd w:val="clear" w:color="auto" w:fill="auto"/>
            <w:vAlign w:val="center"/>
          </w:tcPr>
          <w:p w:rsidR="00466806" w:rsidRPr="00387BA8" w:rsidRDefault="00466806" w:rsidP="00466806">
            <w:pPr>
              <w:spacing w:line="280" w:lineRule="atLeast"/>
              <w:jc w:val="right"/>
              <w:rPr>
                <w:bCs/>
                <w:szCs w:val="18"/>
              </w:rPr>
            </w:pPr>
            <w:proofErr w:type="spellStart"/>
            <w:r w:rsidRPr="00387BA8">
              <w:rPr>
                <w:bCs/>
                <w:szCs w:val="18"/>
              </w:rPr>
              <w:t>Loss</w:t>
            </w:r>
            <w:proofErr w:type="spellEnd"/>
            <w:r w:rsidRPr="00387BA8">
              <w:rPr>
                <w:bCs/>
                <w:szCs w:val="18"/>
              </w:rPr>
              <w:t xml:space="preserve"> </w:t>
            </w:r>
            <w:proofErr w:type="spellStart"/>
            <w:r w:rsidRPr="00387BA8">
              <w:rPr>
                <w:bCs/>
                <w:szCs w:val="18"/>
              </w:rPr>
              <w:t>occurrence</w:t>
            </w:r>
            <w:proofErr w:type="spellEnd"/>
          </w:p>
        </w:tc>
      </w:tr>
      <w:tr w:rsidR="00466806" w:rsidRPr="00387BA8" w:rsidTr="008C37FA">
        <w:trPr>
          <w:trHeight w:val="255"/>
        </w:trPr>
        <w:tc>
          <w:tcPr>
            <w:tcW w:w="3038" w:type="pct"/>
            <w:shd w:val="clear" w:color="auto" w:fill="auto"/>
            <w:vAlign w:val="center"/>
          </w:tcPr>
          <w:p w:rsidR="00466806" w:rsidRPr="00387BA8" w:rsidRDefault="00466806" w:rsidP="00466806">
            <w:pPr>
              <w:spacing w:line="280" w:lineRule="atLeast"/>
              <w:rPr>
                <w:szCs w:val="18"/>
              </w:rPr>
            </w:pPr>
            <w:r w:rsidRPr="00387BA8">
              <w:rPr>
                <w:szCs w:val="18"/>
              </w:rPr>
              <w:t>Územní rozsah pojištění</w:t>
            </w:r>
          </w:p>
        </w:tc>
        <w:tc>
          <w:tcPr>
            <w:tcW w:w="1962" w:type="pct"/>
            <w:gridSpan w:val="2"/>
            <w:shd w:val="clear" w:color="auto" w:fill="auto"/>
            <w:vAlign w:val="center"/>
          </w:tcPr>
          <w:p w:rsidR="003D2451" w:rsidRPr="00387BA8" w:rsidRDefault="00F96F29" w:rsidP="00F37828">
            <w:pPr>
              <w:spacing w:line="280" w:lineRule="atLeast"/>
              <w:jc w:val="right"/>
              <w:rPr>
                <w:bCs/>
                <w:szCs w:val="18"/>
              </w:rPr>
            </w:pPr>
            <w:r>
              <w:rPr>
                <w:bCs/>
                <w:szCs w:val="18"/>
              </w:rPr>
              <w:t>EU</w:t>
            </w:r>
            <w:r w:rsidR="003D2451" w:rsidRPr="00387BA8">
              <w:rPr>
                <w:bCs/>
                <w:szCs w:val="18"/>
              </w:rPr>
              <w:t xml:space="preserve"> </w:t>
            </w:r>
          </w:p>
        </w:tc>
      </w:tr>
    </w:tbl>
    <w:p w:rsidR="00B87C2D" w:rsidRDefault="00B87C2D"/>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85" w:type="dxa"/>
          <w:bottom w:w="28" w:type="dxa"/>
          <w:right w:w="85" w:type="dxa"/>
        </w:tblCellMar>
        <w:tblLook w:val="00A0" w:firstRow="1" w:lastRow="0" w:firstColumn="1" w:lastColumn="0" w:noHBand="0" w:noVBand="0"/>
      </w:tblPr>
      <w:tblGrid>
        <w:gridCol w:w="513"/>
        <w:gridCol w:w="5526"/>
        <w:gridCol w:w="1987"/>
        <w:gridCol w:w="1214"/>
      </w:tblGrid>
      <w:tr w:rsidR="006F7516" w:rsidRPr="00387BA8" w:rsidTr="00D963C4">
        <w:trPr>
          <w:trHeight w:val="255"/>
          <w:tblHeader/>
        </w:trPr>
        <w:tc>
          <w:tcPr>
            <w:tcW w:w="278" w:type="pct"/>
            <w:shd w:val="clear" w:color="auto" w:fill="F2F2F2"/>
          </w:tcPr>
          <w:p w:rsidR="006F7516" w:rsidRPr="00C23FDE" w:rsidRDefault="006F7516" w:rsidP="007E4181">
            <w:pPr>
              <w:pStyle w:val="TabulkaTLB"/>
              <w:rPr>
                <w:szCs w:val="16"/>
              </w:rPr>
            </w:pPr>
            <w:proofErr w:type="spellStart"/>
            <w:r w:rsidRPr="00C23FDE">
              <w:rPr>
                <w:szCs w:val="16"/>
              </w:rPr>
              <w:t>Poř</w:t>
            </w:r>
            <w:proofErr w:type="spellEnd"/>
          </w:p>
        </w:tc>
        <w:tc>
          <w:tcPr>
            <w:tcW w:w="2990" w:type="pct"/>
            <w:shd w:val="clear" w:color="auto" w:fill="F2F2F2"/>
          </w:tcPr>
          <w:p w:rsidR="006F7516" w:rsidRPr="00C23FDE" w:rsidRDefault="006F7516" w:rsidP="00153F26">
            <w:pPr>
              <w:pStyle w:val="TabulkaTLB"/>
              <w:rPr>
                <w:szCs w:val="16"/>
              </w:rPr>
            </w:pPr>
            <w:r w:rsidRPr="00C23FDE">
              <w:rPr>
                <w:szCs w:val="16"/>
              </w:rPr>
              <w:t>Předmět pojištění</w:t>
            </w:r>
          </w:p>
        </w:tc>
        <w:tc>
          <w:tcPr>
            <w:tcW w:w="1075" w:type="pct"/>
            <w:shd w:val="clear" w:color="auto" w:fill="F2F2F2"/>
          </w:tcPr>
          <w:p w:rsidR="006F7516" w:rsidRPr="00C23FDE" w:rsidRDefault="006F7516" w:rsidP="007E4181">
            <w:pPr>
              <w:pStyle w:val="TabulkaTLB"/>
              <w:jc w:val="center"/>
              <w:rPr>
                <w:szCs w:val="16"/>
              </w:rPr>
            </w:pPr>
            <w:r w:rsidRPr="00C23FDE">
              <w:rPr>
                <w:szCs w:val="16"/>
              </w:rPr>
              <w:t>Limit (</w:t>
            </w:r>
            <w:proofErr w:type="spellStart"/>
            <w:r w:rsidRPr="00C23FDE">
              <w:rPr>
                <w:szCs w:val="16"/>
              </w:rPr>
              <w:t>sublimit</w:t>
            </w:r>
            <w:proofErr w:type="spellEnd"/>
            <w:r w:rsidRPr="00C23FDE">
              <w:rPr>
                <w:szCs w:val="16"/>
              </w:rPr>
              <w:t>) plnění na pojistnou událost</w:t>
            </w:r>
          </w:p>
        </w:tc>
        <w:tc>
          <w:tcPr>
            <w:tcW w:w="657" w:type="pct"/>
            <w:shd w:val="clear" w:color="auto" w:fill="F2F2F2"/>
          </w:tcPr>
          <w:p w:rsidR="006F7516" w:rsidRPr="00C23FDE" w:rsidRDefault="006F7516" w:rsidP="007E4181">
            <w:pPr>
              <w:pStyle w:val="TabulkaTLB"/>
              <w:jc w:val="center"/>
              <w:rPr>
                <w:szCs w:val="16"/>
              </w:rPr>
            </w:pPr>
            <w:r w:rsidRPr="00C23FDE">
              <w:rPr>
                <w:szCs w:val="16"/>
              </w:rPr>
              <w:t>Spoluúčast</w:t>
            </w:r>
          </w:p>
        </w:tc>
      </w:tr>
      <w:tr w:rsidR="006F7516" w:rsidRPr="00387BA8" w:rsidTr="00F96F29">
        <w:trPr>
          <w:trHeight w:val="255"/>
        </w:trPr>
        <w:tc>
          <w:tcPr>
            <w:tcW w:w="278" w:type="pct"/>
            <w:shd w:val="clear" w:color="auto" w:fill="auto"/>
            <w:vAlign w:val="center"/>
          </w:tcPr>
          <w:p w:rsidR="006F7516" w:rsidRPr="00C23FDE" w:rsidRDefault="006F7516" w:rsidP="00466806">
            <w:pPr>
              <w:spacing w:line="280" w:lineRule="atLeast"/>
              <w:rPr>
                <w:sz w:val="16"/>
                <w:szCs w:val="16"/>
              </w:rPr>
            </w:pPr>
            <w:r w:rsidRPr="00C23FDE">
              <w:rPr>
                <w:sz w:val="16"/>
                <w:szCs w:val="16"/>
              </w:rPr>
              <w:t>1</w:t>
            </w:r>
          </w:p>
        </w:tc>
        <w:tc>
          <w:tcPr>
            <w:tcW w:w="2990" w:type="pct"/>
            <w:vAlign w:val="center"/>
          </w:tcPr>
          <w:p w:rsidR="0055142D" w:rsidRPr="00F96F29" w:rsidRDefault="00EE1C20" w:rsidP="00F96F29">
            <w:pPr>
              <w:spacing w:line="280" w:lineRule="atLeast"/>
              <w:rPr>
                <w:rFonts w:eastAsia="Calibri" w:cs="Times New Roman"/>
                <w:color w:val="000000"/>
                <w:sz w:val="16"/>
                <w:szCs w:val="16"/>
                <w:lang w:eastAsia="en-US"/>
              </w:rPr>
            </w:pPr>
            <w:r w:rsidRPr="00F96F29">
              <w:rPr>
                <w:rFonts w:eastAsia="Calibri" w:cs="Times New Roman"/>
                <w:color w:val="000000"/>
                <w:sz w:val="16"/>
                <w:szCs w:val="16"/>
                <w:lang w:eastAsia="en-US"/>
              </w:rPr>
              <w:t xml:space="preserve">Povinnost k náhradě újmy (újma na hmotné věci a nemajetková újma při ublížení na zdraví nebo při usmrcení </w:t>
            </w:r>
            <w:proofErr w:type="gramStart"/>
            <w:r w:rsidRPr="00F96F29">
              <w:rPr>
                <w:rFonts w:eastAsia="Calibri" w:cs="Times New Roman"/>
                <w:color w:val="000000"/>
                <w:sz w:val="16"/>
                <w:szCs w:val="16"/>
                <w:lang w:eastAsia="en-US"/>
              </w:rPr>
              <w:t>včetně  následných</w:t>
            </w:r>
            <w:proofErr w:type="gramEnd"/>
            <w:r w:rsidRPr="00F96F29">
              <w:rPr>
                <w:rFonts w:eastAsia="Calibri" w:cs="Times New Roman"/>
                <w:color w:val="000000"/>
                <w:sz w:val="16"/>
                <w:szCs w:val="16"/>
                <w:lang w:eastAsia="en-US"/>
              </w:rPr>
              <w:t xml:space="preserve"> finančních škod </w:t>
            </w:r>
            <w:r w:rsidR="00C23FDE" w:rsidRPr="00F96F29">
              <w:rPr>
                <w:rFonts w:eastAsia="Calibri" w:cs="Times New Roman"/>
                <w:color w:val="000000"/>
                <w:sz w:val="16"/>
                <w:szCs w:val="16"/>
                <w:lang w:eastAsia="en-US"/>
              </w:rPr>
              <w:t xml:space="preserve"> a  </w:t>
            </w:r>
            <w:r w:rsidRPr="00F96F29">
              <w:rPr>
                <w:rFonts w:eastAsia="Calibri" w:cs="Times New Roman"/>
                <w:color w:val="000000"/>
                <w:sz w:val="16"/>
                <w:szCs w:val="16"/>
                <w:lang w:eastAsia="en-US"/>
              </w:rPr>
              <w:t>újma na životním prostředí v důsledku nenadálého selhání ochranného zařízení)</w:t>
            </w:r>
            <w:r w:rsidR="00A435A0">
              <w:rPr>
                <w:rFonts w:eastAsia="Calibri" w:cs="Times New Roman"/>
                <w:color w:val="000000"/>
                <w:sz w:val="16"/>
                <w:szCs w:val="16"/>
                <w:lang w:eastAsia="en-US"/>
              </w:rPr>
              <w:t>.</w:t>
            </w:r>
          </w:p>
        </w:tc>
        <w:tc>
          <w:tcPr>
            <w:tcW w:w="1075" w:type="pct"/>
            <w:shd w:val="clear" w:color="auto" w:fill="auto"/>
            <w:vAlign w:val="center"/>
          </w:tcPr>
          <w:p w:rsidR="006F7516" w:rsidRPr="00387BA8" w:rsidRDefault="00B87C2D" w:rsidP="009242B6">
            <w:pPr>
              <w:spacing w:line="280" w:lineRule="atLeast"/>
              <w:jc w:val="right"/>
              <w:rPr>
                <w:bCs/>
                <w:szCs w:val="18"/>
              </w:rPr>
            </w:pPr>
            <w:r w:rsidRPr="00B87C2D">
              <w:rPr>
                <w:bCs/>
                <w:szCs w:val="18"/>
              </w:rPr>
              <w:t>3</w:t>
            </w:r>
            <w:r w:rsidR="00423BDD" w:rsidRPr="00B87C2D">
              <w:rPr>
                <w:bCs/>
                <w:szCs w:val="18"/>
              </w:rPr>
              <w:t>0</w:t>
            </w:r>
            <w:r w:rsidR="006F7516" w:rsidRPr="00B87C2D">
              <w:rPr>
                <w:bCs/>
                <w:szCs w:val="18"/>
              </w:rPr>
              <w:t> 000 000 Kč</w:t>
            </w:r>
          </w:p>
        </w:tc>
        <w:tc>
          <w:tcPr>
            <w:tcW w:w="657" w:type="pct"/>
            <w:shd w:val="clear" w:color="auto" w:fill="auto"/>
            <w:vAlign w:val="center"/>
          </w:tcPr>
          <w:p w:rsidR="006F7516" w:rsidRPr="00387BA8" w:rsidRDefault="006F7516" w:rsidP="006F7516">
            <w:pPr>
              <w:spacing w:line="280" w:lineRule="atLeast"/>
              <w:jc w:val="right"/>
              <w:rPr>
                <w:bCs/>
                <w:szCs w:val="18"/>
              </w:rPr>
            </w:pPr>
            <w:r w:rsidRPr="00387BA8">
              <w:rPr>
                <w:bCs/>
                <w:szCs w:val="18"/>
              </w:rPr>
              <w:t>1 000 Kč</w:t>
            </w:r>
          </w:p>
        </w:tc>
      </w:tr>
      <w:tr w:rsidR="00F96F29" w:rsidRPr="00387BA8" w:rsidTr="00F96F29">
        <w:trPr>
          <w:trHeight w:val="255"/>
        </w:trPr>
        <w:tc>
          <w:tcPr>
            <w:tcW w:w="278" w:type="pct"/>
            <w:shd w:val="clear" w:color="auto" w:fill="auto"/>
            <w:vAlign w:val="center"/>
          </w:tcPr>
          <w:p w:rsidR="00F96F29" w:rsidRPr="00C23FDE" w:rsidRDefault="00F96F29" w:rsidP="00466806">
            <w:pPr>
              <w:spacing w:line="280" w:lineRule="atLeast"/>
              <w:rPr>
                <w:sz w:val="16"/>
                <w:szCs w:val="16"/>
              </w:rPr>
            </w:pPr>
            <w:r>
              <w:rPr>
                <w:sz w:val="16"/>
                <w:szCs w:val="16"/>
              </w:rPr>
              <w:t>2</w:t>
            </w:r>
          </w:p>
        </w:tc>
        <w:tc>
          <w:tcPr>
            <w:tcW w:w="2990" w:type="pct"/>
            <w:vAlign w:val="center"/>
          </w:tcPr>
          <w:p w:rsidR="00F96F29" w:rsidRPr="00F96F29" w:rsidRDefault="00F96F29" w:rsidP="00F96F29">
            <w:pPr>
              <w:spacing w:line="280" w:lineRule="atLeast"/>
              <w:rPr>
                <w:rFonts w:eastAsia="Calibri" w:cs="Times New Roman"/>
                <w:color w:val="000000"/>
                <w:sz w:val="16"/>
                <w:szCs w:val="16"/>
                <w:lang w:eastAsia="en-US"/>
              </w:rPr>
            </w:pPr>
            <w:r w:rsidRPr="00F96F29">
              <w:rPr>
                <w:rFonts w:eastAsia="Calibri" w:cs="Times New Roman"/>
                <w:color w:val="000000"/>
                <w:sz w:val="16"/>
                <w:szCs w:val="16"/>
                <w:lang w:eastAsia="en-US"/>
              </w:rPr>
              <w:t>Újma způsobená vadou výrobku (včetně vadně vykonané práce)</w:t>
            </w:r>
            <w:r w:rsidR="00A435A0">
              <w:rPr>
                <w:rFonts w:eastAsia="Calibri" w:cs="Times New Roman"/>
                <w:color w:val="000000"/>
                <w:sz w:val="16"/>
                <w:szCs w:val="16"/>
                <w:lang w:eastAsia="en-US"/>
              </w:rPr>
              <w:t>.</w:t>
            </w:r>
          </w:p>
        </w:tc>
        <w:tc>
          <w:tcPr>
            <w:tcW w:w="1075" w:type="pct"/>
            <w:shd w:val="clear" w:color="auto" w:fill="auto"/>
            <w:vAlign w:val="center"/>
          </w:tcPr>
          <w:p w:rsidR="00F96F29" w:rsidRPr="00B87C2D" w:rsidRDefault="00F96F29" w:rsidP="009242B6">
            <w:pPr>
              <w:spacing w:line="280" w:lineRule="atLeast"/>
              <w:jc w:val="right"/>
              <w:rPr>
                <w:bCs/>
                <w:szCs w:val="18"/>
              </w:rPr>
            </w:pPr>
            <w:r>
              <w:rPr>
                <w:bCs/>
                <w:szCs w:val="18"/>
              </w:rPr>
              <w:t>5 000 000 Kč</w:t>
            </w:r>
          </w:p>
        </w:tc>
        <w:tc>
          <w:tcPr>
            <w:tcW w:w="657" w:type="pct"/>
            <w:shd w:val="clear" w:color="auto" w:fill="auto"/>
            <w:vAlign w:val="center"/>
          </w:tcPr>
          <w:p w:rsidR="00F96F29" w:rsidRPr="00387BA8" w:rsidRDefault="00F96F29" w:rsidP="006F7516">
            <w:pPr>
              <w:spacing w:line="280" w:lineRule="atLeast"/>
              <w:jc w:val="right"/>
              <w:rPr>
                <w:bCs/>
                <w:szCs w:val="18"/>
              </w:rPr>
            </w:pPr>
            <w:r>
              <w:rPr>
                <w:bCs/>
                <w:szCs w:val="18"/>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3</w:t>
            </w:r>
          </w:p>
        </w:tc>
        <w:tc>
          <w:tcPr>
            <w:tcW w:w="2990" w:type="pct"/>
            <w:vAlign w:val="center"/>
          </w:tcPr>
          <w:p w:rsidR="00C23FDE" w:rsidRPr="00F96F29" w:rsidRDefault="00C23FDE" w:rsidP="00F96F29">
            <w:pPr>
              <w:spacing w:line="280" w:lineRule="atLeast"/>
              <w:rPr>
                <w:rFonts w:eastAsia="Calibri" w:cs="Times New Roman"/>
                <w:color w:val="000000"/>
                <w:sz w:val="16"/>
                <w:szCs w:val="16"/>
                <w:lang w:eastAsia="en-US"/>
              </w:rPr>
            </w:pPr>
            <w:r w:rsidRPr="00F96F29">
              <w:rPr>
                <w:rFonts w:eastAsia="Calibri" w:cs="Times New Roman"/>
                <w:color w:val="000000"/>
                <w:sz w:val="16"/>
                <w:szCs w:val="16"/>
                <w:lang w:eastAsia="en-US"/>
              </w:rPr>
              <w:t>Čisté finanční škody (škody, které nevzniknou následkem újmy na zdraví, usmrcení nebo na hmotné věci)</w:t>
            </w:r>
            <w:r w:rsidR="00A435A0">
              <w:rPr>
                <w:rFonts w:eastAsia="Calibri" w:cs="Times New Roman"/>
                <w:color w:val="000000"/>
                <w:sz w:val="16"/>
                <w:szCs w:val="16"/>
                <w:lang w:eastAsia="en-US"/>
              </w:rPr>
              <w:t>.</w:t>
            </w:r>
          </w:p>
        </w:tc>
        <w:tc>
          <w:tcPr>
            <w:tcW w:w="1075" w:type="pct"/>
            <w:shd w:val="clear" w:color="auto" w:fill="auto"/>
            <w:vAlign w:val="center"/>
          </w:tcPr>
          <w:p w:rsidR="00C23FDE" w:rsidRPr="00387BA8" w:rsidRDefault="00C23FDE" w:rsidP="00466806">
            <w:pPr>
              <w:spacing w:line="280" w:lineRule="atLeast"/>
              <w:jc w:val="right"/>
              <w:rPr>
                <w:bCs/>
                <w:szCs w:val="18"/>
              </w:rPr>
            </w:pPr>
            <w:r w:rsidRPr="00387BA8">
              <w:rPr>
                <w:bCs/>
                <w:szCs w:val="18"/>
              </w:rPr>
              <w:t>5 000 000 Kč</w:t>
            </w:r>
          </w:p>
        </w:tc>
        <w:tc>
          <w:tcPr>
            <w:tcW w:w="657" w:type="pct"/>
            <w:shd w:val="clear" w:color="auto" w:fill="auto"/>
            <w:vAlign w:val="center"/>
          </w:tcPr>
          <w:p w:rsidR="00C23FDE" w:rsidRPr="00387BA8" w:rsidRDefault="00C23FDE" w:rsidP="00466806">
            <w:pPr>
              <w:spacing w:line="280" w:lineRule="atLeast"/>
              <w:jc w:val="right"/>
              <w:rPr>
                <w:bCs/>
                <w:szCs w:val="18"/>
              </w:rPr>
            </w:pPr>
            <w:r w:rsidRPr="00387BA8">
              <w:rPr>
                <w:bCs/>
                <w:szCs w:val="18"/>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4</w:t>
            </w:r>
          </w:p>
        </w:tc>
        <w:tc>
          <w:tcPr>
            <w:tcW w:w="2990" w:type="pct"/>
            <w:vAlign w:val="center"/>
          </w:tcPr>
          <w:p w:rsidR="00C23FDE" w:rsidRPr="00F96F29" w:rsidRDefault="00C23FDE" w:rsidP="00F96F29">
            <w:pPr>
              <w:spacing w:line="280" w:lineRule="atLeast"/>
              <w:rPr>
                <w:rFonts w:eastAsia="Calibri" w:cs="Times New Roman"/>
                <w:color w:val="000000"/>
                <w:sz w:val="16"/>
                <w:szCs w:val="16"/>
                <w:lang w:eastAsia="en-US"/>
              </w:rPr>
            </w:pPr>
            <w:r w:rsidRPr="00F96F29">
              <w:rPr>
                <w:rFonts w:eastAsia="Calibri" w:cs="Times New Roman"/>
                <w:color w:val="000000"/>
                <w:sz w:val="16"/>
                <w:szCs w:val="16"/>
                <w:lang w:eastAsia="en-US"/>
              </w:rPr>
              <w:t>Duševní útrapy osoby blízké při zvlášť závažném ublížení na zdraví nebo při usmrcení</w:t>
            </w:r>
            <w:r w:rsidR="00A435A0">
              <w:rPr>
                <w:rFonts w:eastAsia="Calibri" w:cs="Times New Roman"/>
                <w:color w:val="000000"/>
                <w:sz w:val="16"/>
                <w:szCs w:val="16"/>
                <w:lang w:eastAsia="en-US"/>
              </w:rPr>
              <w:t>.</w:t>
            </w:r>
          </w:p>
        </w:tc>
        <w:tc>
          <w:tcPr>
            <w:tcW w:w="1075" w:type="pct"/>
            <w:shd w:val="clear" w:color="auto" w:fill="auto"/>
            <w:vAlign w:val="center"/>
          </w:tcPr>
          <w:p w:rsidR="00C23FDE" w:rsidRPr="00387BA8" w:rsidRDefault="00C23FDE" w:rsidP="00466806">
            <w:pPr>
              <w:spacing w:line="280" w:lineRule="atLeast"/>
              <w:jc w:val="right"/>
              <w:rPr>
                <w:bCs/>
                <w:szCs w:val="18"/>
              </w:rPr>
            </w:pPr>
            <w:r>
              <w:rPr>
                <w:bCs/>
                <w:szCs w:val="18"/>
              </w:rPr>
              <w:t>5 000 000 Kč</w:t>
            </w:r>
          </w:p>
        </w:tc>
        <w:tc>
          <w:tcPr>
            <w:tcW w:w="657" w:type="pct"/>
            <w:shd w:val="clear" w:color="auto" w:fill="auto"/>
            <w:vAlign w:val="center"/>
          </w:tcPr>
          <w:p w:rsidR="00C23FDE" w:rsidRPr="00387BA8" w:rsidRDefault="00C23FDE" w:rsidP="00466806">
            <w:pPr>
              <w:spacing w:line="280" w:lineRule="atLeast"/>
              <w:jc w:val="right"/>
              <w:rPr>
                <w:bCs/>
                <w:szCs w:val="18"/>
              </w:rPr>
            </w:pPr>
            <w:r>
              <w:rPr>
                <w:bCs/>
                <w:szCs w:val="18"/>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5</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Škody na věcech, které pojištěný převzal za účelem provedení objednané činnosti, nebo je užívá na základě právního důvodu</w:t>
            </w:r>
            <w:r w:rsidR="00A435A0">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1 000 000 Kč</w:t>
            </w:r>
          </w:p>
        </w:tc>
        <w:tc>
          <w:tcPr>
            <w:tcW w:w="657"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6</w:t>
            </w:r>
          </w:p>
        </w:tc>
        <w:tc>
          <w:tcPr>
            <w:tcW w:w="2990" w:type="pct"/>
            <w:vAlign w:val="center"/>
          </w:tcPr>
          <w:p w:rsidR="00C23FDE" w:rsidRPr="00C23FDE" w:rsidRDefault="0055142D" w:rsidP="00F96F29">
            <w:pPr>
              <w:spacing w:line="280" w:lineRule="atLeast"/>
              <w:rPr>
                <w:rFonts w:eastAsia="Calibri" w:cs="Times New Roman"/>
                <w:color w:val="000000"/>
                <w:sz w:val="16"/>
                <w:szCs w:val="16"/>
                <w:lang w:eastAsia="en-US"/>
              </w:rPr>
            </w:pPr>
            <w:proofErr w:type="gramStart"/>
            <w:r>
              <w:rPr>
                <w:rFonts w:eastAsia="Calibri" w:cs="Times New Roman"/>
                <w:color w:val="000000"/>
                <w:sz w:val="16"/>
                <w:szCs w:val="16"/>
                <w:lang w:eastAsia="en-US"/>
              </w:rPr>
              <w:t xml:space="preserve">Regresy </w:t>
            </w:r>
            <w:r w:rsidR="00C23FDE" w:rsidRPr="00C23FDE">
              <w:rPr>
                <w:rFonts w:eastAsia="Calibri" w:cs="Times New Roman"/>
                <w:color w:val="000000"/>
                <w:sz w:val="16"/>
                <w:szCs w:val="16"/>
                <w:lang w:eastAsia="en-US"/>
              </w:rPr>
              <w:t xml:space="preserve"> zdravotní</w:t>
            </w:r>
            <w:proofErr w:type="gramEnd"/>
            <w:r w:rsidR="00C23FDE" w:rsidRPr="00C23FDE">
              <w:rPr>
                <w:rFonts w:eastAsia="Calibri" w:cs="Times New Roman"/>
                <w:color w:val="000000"/>
                <w:sz w:val="16"/>
                <w:szCs w:val="16"/>
                <w:lang w:eastAsia="en-US"/>
              </w:rPr>
              <w:t xml:space="preserve"> pojišťovně v důsledku pracovního úrazu nebo nemoci z povolání,   a orgánům  nemocenského pojištění</w:t>
            </w:r>
            <w:r w:rsidR="00A435A0">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55142D" w:rsidRPr="00387BA8" w:rsidTr="00F96F29">
        <w:trPr>
          <w:trHeight w:val="255"/>
        </w:trPr>
        <w:tc>
          <w:tcPr>
            <w:tcW w:w="278" w:type="pct"/>
            <w:shd w:val="clear" w:color="auto" w:fill="auto"/>
            <w:vAlign w:val="center"/>
          </w:tcPr>
          <w:p w:rsidR="0055142D" w:rsidRPr="00C23FDE" w:rsidRDefault="00F96F29" w:rsidP="00466806">
            <w:pPr>
              <w:spacing w:line="280" w:lineRule="atLeast"/>
              <w:rPr>
                <w:sz w:val="16"/>
                <w:szCs w:val="16"/>
              </w:rPr>
            </w:pPr>
            <w:r>
              <w:rPr>
                <w:sz w:val="16"/>
                <w:szCs w:val="16"/>
              </w:rPr>
              <w:t>7</w:t>
            </w:r>
          </w:p>
        </w:tc>
        <w:tc>
          <w:tcPr>
            <w:tcW w:w="2990" w:type="pct"/>
            <w:vAlign w:val="center"/>
          </w:tcPr>
          <w:p w:rsidR="0055142D" w:rsidRDefault="0055142D" w:rsidP="00F96F29">
            <w:pPr>
              <w:rPr>
                <w:rFonts w:eastAsia="Calibri" w:cs="Times New Roman"/>
                <w:color w:val="000000"/>
                <w:sz w:val="16"/>
                <w:szCs w:val="16"/>
                <w:lang w:eastAsia="en-US"/>
              </w:rPr>
            </w:pPr>
            <w:r>
              <w:rPr>
                <w:rFonts w:eastAsia="Calibri" w:cs="Times New Roman"/>
                <w:color w:val="000000"/>
                <w:sz w:val="16"/>
                <w:szCs w:val="16"/>
                <w:lang w:eastAsia="en-US"/>
              </w:rPr>
              <w:t>Křížová odpovědnost vůči majetkově propojeným osobám</w:t>
            </w:r>
            <w:r w:rsidR="00A435A0">
              <w:rPr>
                <w:rFonts w:eastAsia="Calibri" w:cs="Times New Roman"/>
                <w:color w:val="000000"/>
                <w:sz w:val="16"/>
                <w:szCs w:val="16"/>
                <w:lang w:eastAsia="en-US"/>
              </w:rPr>
              <w:t>.</w:t>
            </w:r>
          </w:p>
        </w:tc>
        <w:tc>
          <w:tcPr>
            <w:tcW w:w="1075" w:type="pct"/>
            <w:shd w:val="clear" w:color="auto" w:fill="auto"/>
            <w:vAlign w:val="center"/>
          </w:tcPr>
          <w:p w:rsidR="0055142D" w:rsidRPr="00C23FDE" w:rsidRDefault="0055142D"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55142D" w:rsidRPr="00C23FDE" w:rsidRDefault="0055142D"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55142D" w:rsidRPr="00387BA8" w:rsidTr="00F96F29">
        <w:trPr>
          <w:trHeight w:val="255"/>
        </w:trPr>
        <w:tc>
          <w:tcPr>
            <w:tcW w:w="278" w:type="pct"/>
            <w:shd w:val="clear" w:color="auto" w:fill="auto"/>
            <w:vAlign w:val="center"/>
          </w:tcPr>
          <w:p w:rsidR="0055142D" w:rsidRPr="00C23FDE" w:rsidRDefault="00F96F29" w:rsidP="00466806">
            <w:pPr>
              <w:spacing w:line="280" w:lineRule="atLeast"/>
              <w:rPr>
                <w:sz w:val="16"/>
                <w:szCs w:val="16"/>
              </w:rPr>
            </w:pPr>
            <w:r>
              <w:rPr>
                <w:sz w:val="16"/>
                <w:szCs w:val="16"/>
              </w:rPr>
              <w:t>8</w:t>
            </w:r>
          </w:p>
        </w:tc>
        <w:tc>
          <w:tcPr>
            <w:tcW w:w="2990" w:type="pct"/>
            <w:vAlign w:val="center"/>
          </w:tcPr>
          <w:p w:rsidR="0055142D" w:rsidRDefault="0055142D" w:rsidP="00F96F29">
            <w:pPr>
              <w:rPr>
                <w:rFonts w:eastAsia="Calibri" w:cs="Times New Roman"/>
                <w:color w:val="000000"/>
                <w:sz w:val="16"/>
                <w:szCs w:val="16"/>
                <w:lang w:eastAsia="en-US"/>
              </w:rPr>
            </w:pPr>
            <w:r>
              <w:rPr>
                <w:rFonts w:eastAsia="Calibri" w:cs="Times New Roman"/>
                <w:color w:val="000000"/>
                <w:sz w:val="16"/>
                <w:szCs w:val="16"/>
                <w:lang w:eastAsia="en-US"/>
              </w:rPr>
              <w:t>Křížová odpovědnost mezi pojištěnými</w:t>
            </w:r>
            <w:r w:rsidR="00A435A0">
              <w:rPr>
                <w:rFonts w:eastAsia="Calibri" w:cs="Times New Roman"/>
                <w:color w:val="000000"/>
                <w:sz w:val="16"/>
                <w:szCs w:val="16"/>
                <w:lang w:eastAsia="en-US"/>
              </w:rPr>
              <w:t>.</w:t>
            </w:r>
          </w:p>
        </w:tc>
        <w:tc>
          <w:tcPr>
            <w:tcW w:w="1075" w:type="pct"/>
            <w:shd w:val="clear" w:color="auto" w:fill="auto"/>
            <w:vAlign w:val="center"/>
          </w:tcPr>
          <w:p w:rsidR="0055142D" w:rsidRPr="00C23FDE" w:rsidRDefault="0055142D"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55142D" w:rsidRPr="00C23FDE" w:rsidRDefault="0055142D"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9</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 xml:space="preserve">Odpovědnost za škody na věcech vnesených či odložených – za věci zaměstnanců, </w:t>
            </w:r>
            <w:proofErr w:type="gramStart"/>
            <w:r w:rsidRPr="00C23FDE">
              <w:rPr>
                <w:rFonts w:eastAsia="Calibri" w:cs="Times New Roman"/>
                <w:color w:val="000000"/>
                <w:sz w:val="16"/>
                <w:szCs w:val="16"/>
                <w:lang w:eastAsia="en-US"/>
              </w:rPr>
              <w:t>návštěvníků</w:t>
            </w:r>
            <w:r w:rsidR="0055142D">
              <w:rPr>
                <w:rFonts w:eastAsia="Calibri" w:cs="Times New Roman"/>
                <w:color w:val="000000"/>
                <w:sz w:val="16"/>
                <w:szCs w:val="16"/>
                <w:lang w:eastAsia="en-US"/>
              </w:rPr>
              <w:t xml:space="preserve"> </w:t>
            </w:r>
            <w:r w:rsidRPr="00C23FDE">
              <w:rPr>
                <w:rFonts w:eastAsia="Calibri" w:cs="Times New Roman"/>
                <w:color w:val="000000"/>
                <w:sz w:val="16"/>
                <w:szCs w:val="16"/>
                <w:lang w:eastAsia="en-US"/>
              </w:rPr>
              <w:t xml:space="preserve"> apod</w:t>
            </w:r>
            <w:proofErr w:type="gramEnd"/>
            <w:r w:rsidR="0055142D">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1 000 000 Kč</w:t>
            </w:r>
          </w:p>
        </w:tc>
        <w:tc>
          <w:tcPr>
            <w:tcW w:w="657"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10</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 xml:space="preserve">Odpovědnost z výkonu státní a veřejné správy, včetně </w:t>
            </w:r>
            <w:proofErr w:type="gramStart"/>
            <w:r w:rsidRPr="00C23FDE">
              <w:rPr>
                <w:rFonts w:eastAsia="Calibri" w:cs="Times New Roman"/>
                <w:color w:val="000000"/>
                <w:sz w:val="16"/>
                <w:szCs w:val="16"/>
                <w:lang w:eastAsia="en-US"/>
              </w:rPr>
              <w:t>odpovědnosti  obce</w:t>
            </w:r>
            <w:proofErr w:type="gramEnd"/>
            <w:r w:rsidRPr="00C23FDE">
              <w:rPr>
                <w:rFonts w:eastAsia="Calibri" w:cs="Times New Roman"/>
                <w:color w:val="000000"/>
                <w:sz w:val="16"/>
                <w:szCs w:val="16"/>
                <w:lang w:eastAsia="en-US"/>
              </w:rPr>
              <w:t xml:space="preserve"> za škodu vyplývající ze zákona č. 82/1998 Sb. o odpovědnosti za škody způsobenou při výkonu veřejné moci a změny zákona České národní banky č. 358/1992 Sb., o notářích a jejich činnosti</w:t>
            </w:r>
            <w:r w:rsidR="00A435A0">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11</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Odpovědnost z výkonu činnosti městské policie</w:t>
            </w:r>
            <w:r w:rsidR="00A435A0">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500 Kč</w:t>
            </w:r>
          </w:p>
        </w:tc>
      </w:tr>
      <w:tr w:rsidR="00C23FDE" w:rsidRPr="00387BA8" w:rsidTr="00F96F29">
        <w:trPr>
          <w:trHeight w:val="255"/>
        </w:trPr>
        <w:tc>
          <w:tcPr>
            <w:tcW w:w="278" w:type="pct"/>
            <w:shd w:val="clear" w:color="auto" w:fill="auto"/>
            <w:vAlign w:val="center"/>
          </w:tcPr>
          <w:p w:rsidR="00C23FDE" w:rsidRPr="00C23FDE" w:rsidRDefault="00F96F29" w:rsidP="00466806">
            <w:pPr>
              <w:spacing w:line="280" w:lineRule="atLeast"/>
              <w:rPr>
                <w:sz w:val="16"/>
                <w:szCs w:val="16"/>
              </w:rPr>
            </w:pPr>
            <w:r>
              <w:rPr>
                <w:sz w:val="16"/>
                <w:szCs w:val="16"/>
              </w:rPr>
              <w:t>12</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Odpovědnost poskytovatelů sociálních služeb dle zákona č. 108/2006 Sb.</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2 000 000 Kč</w:t>
            </w:r>
          </w:p>
        </w:tc>
        <w:tc>
          <w:tcPr>
            <w:tcW w:w="657" w:type="pct"/>
            <w:shd w:val="clear" w:color="auto" w:fill="auto"/>
            <w:vAlign w:val="center"/>
          </w:tcPr>
          <w:p w:rsidR="00C23FDE" w:rsidRPr="00C23FDE" w:rsidRDefault="00C23FDE" w:rsidP="00F96F29">
            <w:pPr>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854"/>
        </w:trPr>
        <w:tc>
          <w:tcPr>
            <w:tcW w:w="278" w:type="pct"/>
            <w:shd w:val="clear" w:color="auto" w:fill="auto"/>
            <w:vAlign w:val="center"/>
          </w:tcPr>
          <w:p w:rsidR="00C23FDE" w:rsidRPr="00C23FDE" w:rsidRDefault="00F96F29" w:rsidP="00F37828">
            <w:pPr>
              <w:spacing w:line="280" w:lineRule="atLeast"/>
              <w:rPr>
                <w:sz w:val="16"/>
                <w:szCs w:val="16"/>
              </w:rPr>
            </w:pPr>
            <w:r>
              <w:rPr>
                <w:sz w:val="16"/>
                <w:szCs w:val="16"/>
              </w:rPr>
              <w:lastRenderedPageBreak/>
              <w:t>13</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Pojištění odpovědnosti za škody způsobenou při výkonu veřejné služby osobou v hmotné nouzi dle zákona 111/2006 Sb.</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854"/>
        </w:trPr>
        <w:tc>
          <w:tcPr>
            <w:tcW w:w="278" w:type="pct"/>
            <w:shd w:val="clear" w:color="auto" w:fill="auto"/>
            <w:vAlign w:val="center"/>
          </w:tcPr>
          <w:p w:rsidR="00C23FDE" w:rsidRPr="00C23FDE" w:rsidRDefault="00F96F29" w:rsidP="00F37828">
            <w:pPr>
              <w:spacing w:line="280" w:lineRule="atLeast"/>
              <w:rPr>
                <w:sz w:val="16"/>
                <w:szCs w:val="16"/>
              </w:rPr>
            </w:pPr>
            <w:r>
              <w:rPr>
                <w:sz w:val="16"/>
                <w:szCs w:val="16"/>
              </w:rPr>
              <w:t>14</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 xml:space="preserve">Odpovědnost za škodu, za kterou odpovídá pojištěný osobě vykonávající na základě smlouvy o výkonu veřejné služby podle zákona 111/2006 o pomoci v hmotné nouzi. Pro účely tohoto pojištění je pojištěným </w:t>
            </w:r>
            <w:proofErr w:type="gramStart"/>
            <w:r w:rsidRPr="00C23FDE">
              <w:rPr>
                <w:rFonts w:eastAsia="Calibri" w:cs="Times New Roman"/>
                <w:color w:val="000000"/>
                <w:sz w:val="16"/>
                <w:szCs w:val="16"/>
                <w:lang w:eastAsia="en-US"/>
              </w:rPr>
              <w:t>také  Úřad</w:t>
            </w:r>
            <w:proofErr w:type="gramEnd"/>
            <w:r w:rsidRPr="00C23FDE">
              <w:rPr>
                <w:rFonts w:eastAsia="Calibri" w:cs="Times New Roman"/>
                <w:color w:val="000000"/>
                <w:sz w:val="16"/>
                <w:szCs w:val="16"/>
                <w:lang w:eastAsia="en-US"/>
              </w:rPr>
              <w:t xml:space="preserve"> práce České republiky</w:t>
            </w:r>
            <w:r w:rsidR="00A435A0">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854"/>
        </w:trPr>
        <w:tc>
          <w:tcPr>
            <w:tcW w:w="278" w:type="pct"/>
            <w:shd w:val="clear" w:color="auto" w:fill="auto"/>
            <w:vAlign w:val="center"/>
          </w:tcPr>
          <w:p w:rsidR="00C23FDE" w:rsidRPr="00C23FDE" w:rsidRDefault="00F96F29" w:rsidP="00F37828">
            <w:pPr>
              <w:spacing w:line="280" w:lineRule="atLeast"/>
              <w:rPr>
                <w:sz w:val="16"/>
                <w:szCs w:val="16"/>
              </w:rPr>
            </w:pPr>
            <w:r>
              <w:rPr>
                <w:sz w:val="16"/>
                <w:szCs w:val="16"/>
              </w:rPr>
              <w:t>15</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 xml:space="preserve">Pojištění odpovědnosti zastupitelů za škody způsobené obci porušením právní povinnosti vyplývající z výkonu funkce starosty, místostarosty, člena rady nebo člena </w:t>
            </w:r>
            <w:proofErr w:type="gramStart"/>
            <w:r w:rsidRPr="00C23FDE">
              <w:rPr>
                <w:rFonts w:eastAsia="Calibri" w:cs="Times New Roman"/>
                <w:color w:val="000000"/>
                <w:sz w:val="16"/>
                <w:szCs w:val="16"/>
                <w:lang w:eastAsia="en-US"/>
              </w:rPr>
              <w:t xml:space="preserve">zastupitelstva </w:t>
            </w:r>
            <w:r w:rsidR="00A435A0">
              <w:rPr>
                <w:rFonts w:eastAsia="Calibri" w:cs="Times New Roman"/>
                <w:color w:val="000000"/>
                <w:sz w:val="16"/>
                <w:szCs w:val="16"/>
                <w:lang w:eastAsia="en-US"/>
              </w:rPr>
              <w:t>.</w:t>
            </w:r>
            <w:proofErr w:type="gramEnd"/>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r w:rsidR="00C23FDE" w:rsidRPr="00387BA8" w:rsidTr="00F96F29">
        <w:trPr>
          <w:trHeight w:val="624"/>
        </w:trPr>
        <w:tc>
          <w:tcPr>
            <w:tcW w:w="278" w:type="pct"/>
            <w:shd w:val="clear" w:color="auto" w:fill="auto"/>
            <w:vAlign w:val="center"/>
          </w:tcPr>
          <w:p w:rsidR="00C23FDE" w:rsidRPr="00C23FDE" w:rsidRDefault="00C23FDE" w:rsidP="00F37828">
            <w:pPr>
              <w:spacing w:line="280" w:lineRule="atLeast"/>
              <w:rPr>
                <w:sz w:val="16"/>
                <w:szCs w:val="16"/>
              </w:rPr>
            </w:pPr>
            <w:r w:rsidRPr="00C23FDE">
              <w:rPr>
                <w:sz w:val="16"/>
                <w:szCs w:val="16"/>
              </w:rPr>
              <w:t>1</w:t>
            </w:r>
            <w:r w:rsidR="00F96F29">
              <w:rPr>
                <w:sz w:val="16"/>
                <w:szCs w:val="16"/>
              </w:rPr>
              <w:t>6</w:t>
            </w:r>
          </w:p>
        </w:tc>
        <w:tc>
          <w:tcPr>
            <w:tcW w:w="2990" w:type="pct"/>
            <w:vAlign w:val="center"/>
          </w:tcPr>
          <w:p w:rsidR="00C23FDE" w:rsidRPr="00C23FDE" w:rsidRDefault="00C23FDE" w:rsidP="00F96F29">
            <w:pPr>
              <w:spacing w:line="280" w:lineRule="atLeast"/>
              <w:rPr>
                <w:rFonts w:eastAsia="Calibri" w:cs="Times New Roman"/>
                <w:color w:val="000000"/>
                <w:sz w:val="16"/>
                <w:szCs w:val="16"/>
                <w:lang w:eastAsia="en-US"/>
              </w:rPr>
            </w:pPr>
            <w:r w:rsidRPr="00C23FDE">
              <w:rPr>
                <w:rFonts w:eastAsia="Calibri" w:cs="Times New Roman"/>
                <w:color w:val="000000"/>
                <w:sz w:val="16"/>
                <w:szCs w:val="16"/>
                <w:lang w:eastAsia="en-US"/>
              </w:rPr>
              <w:t>Odpovědnost poskytovatele zdravotních služeb dle zákona č. 372/2011 Sb</w:t>
            </w:r>
            <w:r w:rsidR="005359D5">
              <w:rPr>
                <w:rFonts w:eastAsia="Calibri" w:cs="Times New Roman"/>
                <w:color w:val="000000"/>
                <w:sz w:val="16"/>
                <w:szCs w:val="16"/>
                <w:lang w:eastAsia="en-US"/>
              </w:rPr>
              <w:t>.</w:t>
            </w:r>
          </w:p>
        </w:tc>
        <w:tc>
          <w:tcPr>
            <w:tcW w:w="1075" w:type="pct"/>
            <w:shd w:val="clear" w:color="auto" w:fill="auto"/>
            <w:vAlign w:val="center"/>
          </w:tcPr>
          <w:p w:rsidR="00C23FDE" w:rsidRPr="00C23FDE" w:rsidRDefault="00C23FDE" w:rsidP="00F96F29">
            <w:pPr>
              <w:spacing w:line="280" w:lineRule="atLeast"/>
              <w:jc w:val="right"/>
              <w:rPr>
                <w:rFonts w:eastAsia="Calibri" w:cs="Times New Roman"/>
                <w:color w:val="000000"/>
                <w:sz w:val="16"/>
                <w:szCs w:val="16"/>
                <w:lang w:eastAsia="en-US"/>
              </w:rPr>
            </w:pPr>
            <w:r w:rsidRPr="00C23FDE">
              <w:rPr>
                <w:rFonts w:eastAsia="Calibri" w:cs="Times New Roman"/>
                <w:color w:val="000000"/>
                <w:sz w:val="16"/>
                <w:szCs w:val="16"/>
                <w:lang w:eastAsia="en-US"/>
              </w:rPr>
              <w:t>5 000 000 Kč</w:t>
            </w:r>
          </w:p>
        </w:tc>
        <w:tc>
          <w:tcPr>
            <w:tcW w:w="657" w:type="pct"/>
            <w:shd w:val="clear" w:color="auto" w:fill="auto"/>
            <w:vAlign w:val="center"/>
          </w:tcPr>
          <w:p w:rsidR="00C23FDE" w:rsidRPr="00C23FDE" w:rsidRDefault="00C23FDE" w:rsidP="00F96F29">
            <w:pPr>
              <w:jc w:val="right"/>
              <w:rPr>
                <w:rFonts w:eastAsia="Calibri" w:cs="Times New Roman"/>
                <w:color w:val="000000"/>
                <w:sz w:val="16"/>
                <w:szCs w:val="16"/>
                <w:lang w:eastAsia="en-US"/>
              </w:rPr>
            </w:pPr>
            <w:r w:rsidRPr="00C23FDE">
              <w:rPr>
                <w:rFonts w:eastAsia="Calibri" w:cs="Times New Roman"/>
                <w:color w:val="000000"/>
                <w:sz w:val="16"/>
                <w:szCs w:val="16"/>
                <w:lang w:eastAsia="en-US"/>
              </w:rPr>
              <w:t>1 000 Kč</w:t>
            </w:r>
          </w:p>
        </w:tc>
      </w:tr>
    </w:tbl>
    <w:p w:rsidR="006D6118" w:rsidRDefault="006D6118" w:rsidP="00AF7A1F">
      <w:pPr>
        <w:pStyle w:val="Normalni8"/>
        <w:rPr>
          <w:rFonts w:cs="Arial"/>
          <w:szCs w:val="16"/>
        </w:rPr>
      </w:pPr>
    </w:p>
    <w:p w:rsidR="00DA0F69" w:rsidRPr="00387BA8" w:rsidRDefault="00DA0F69" w:rsidP="00AF7A1F">
      <w:pPr>
        <w:pStyle w:val="Normalni8"/>
        <w:rPr>
          <w:rFonts w:cs="Arial"/>
          <w:szCs w:val="16"/>
        </w:rPr>
      </w:pPr>
    </w:p>
    <w:p w:rsidR="00466806" w:rsidRPr="00387BA8" w:rsidRDefault="00466806" w:rsidP="00466806">
      <w:pPr>
        <w:pStyle w:val="Nadpis2"/>
      </w:pPr>
      <w:bookmarkStart w:id="35" w:name="_Toc450552732"/>
      <w:bookmarkEnd w:id="33"/>
      <w:bookmarkEnd w:id="34"/>
      <w:r w:rsidRPr="00387BA8">
        <w:t>Zvláštní ujednání</w:t>
      </w:r>
      <w:r w:rsidR="00CE5DE4" w:rsidRPr="00387BA8">
        <w:t xml:space="preserve"> k pojištění odpovědnosti</w:t>
      </w:r>
      <w:bookmarkEnd w:id="35"/>
    </w:p>
    <w:p w:rsidR="00C43947" w:rsidRPr="00A3341E" w:rsidRDefault="00F37828" w:rsidP="00D963C4">
      <w:pPr>
        <w:widowControl w:val="0"/>
        <w:numPr>
          <w:ilvl w:val="3"/>
          <w:numId w:val="7"/>
        </w:numPr>
        <w:tabs>
          <w:tab w:val="center" w:pos="567"/>
        </w:tabs>
        <w:autoSpaceDE w:val="0"/>
        <w:autoSpaceDN w:val="0"/>
        <w:adjustRightInd w:val="0"/>
        <w:spacing w:line="280" w:lineRule="atLeast"/>
        <w:ind w:left="567" w:hanging="567"/>
        <w:jc w:val="both"/>
        <w:rPr>
          <w:szCs w:val="18"/>
        </w:rPr>
      </w:pPr>
      <w:r w:rsidRPr="00A3341E">
        <w:rPr>
          <w:szCs w:val="18"/>
        </w:rPr>
        <w:t xml:space="preserve">Pojištění se vztahuje </w:t>
      </w:r>
      <w:r w:rsidR="00C43947" w:rsidRPr="00A3341E">
        <w:rPr>
          <w:szCs w:val="18"/>
        </w:rPr>
        <w:t>i na škody způsobené zásahem úřední moci v rozsahu, jakém pojistník za</w:t>
      </w:r>
      <w:r w:rsidR="005E0B25" w:rsidRPr="00A3341E">
        <w:rPr>
          <w:szCs w:val="18"/>
        </w:rPr>
        <w:t xml:space="preserve"> </w:t>
      </w:r>
      <w:r w:rsidR="00C43947" w:rsidRPr="00A3341E">
        <w:rPr>
          <w:szCs w:val="18"/>
        </w:rPr>
        <w:t>tuto škodu odpovídá dle platných a účinných právních předpisů</w:t>
      </w:r>
      <w:r w:rsidR="00A435A0">
        <w:rPr>
          <w:szCs w:val="18"/>
        </w:rPr>
        <w:t>.</w:t>
      </w:r>
    </w:p>
    <w:p w:rsidR="008F7DE5" w:rsidRPr="00A3341E" w:rsidRDefault="008F7DE5" w:rsidP="00D963C4">
      <w:pPr>
        <w:widowControl w:val="0"/>
        <w:numPr>
          <w:ilvl w:val="3"/>
          <w:numId w:val="7"/>
        </w:numPr>
        <w:tabs>
          <w:tab w:val="center" w:pos="567"/>
        </w:tabs>
        <w:autoSpaceDE w:val="0"/>
        <w:autoSpaceDN w:val="0"/>
        <w:adjustRightInd w:val="0"/>
        <w:spacing w:line="280" w:lineRule="atLeast"/>
        <w:ind w:left="567" w:hanging="567"/>
        <w:jc w:val="both"/>
        <w:rPr>
          <w:szCs w:val="18"/>
        </w:rPr>
      </w:pPr>
      <w:r w:rsidRPr="00A3341E">
        <w:rPr>
          <w:szCs w:val="18"/>
        </w:rPr>
        <w:t>Pojištění se sjednává pro případ právním předpisem stanovené odpovědnosti pojištěného za škodu</w:t>
      </w:r>
      <w:r w:rsidR="00CE5DE4" w:rsidRPr="00A3341E">
        <w:rPr>
          <w:szCs w:val="18"/>
        </w:rPr>
        <w:t xml:space="preserve"> </w:t>
      </w:r>
      <w:r w:rsidRPr="00A3341E">
        <w:rPr>
          <w:szCs w:val="18"/>
        </w:rPr>
        <w:t>vzniklou jinému při výkonu státní správy, který byl na něj přenesen zákonem, jakož i za škodu vzniklou jinému při výkonu veřejné správy</w:t>
      </w:r>
      <w:r w:rsidR="00CE5DE4" w:rsidRPr="00A3341E">
        <w:rPr>
          <w:szCs w:val="18"/>
        </w:rPr>
        <w:t xml:space="preserve"> </w:t>
      </w:r>
      <w:r w:rsidRPr="00A3341E">
        <w:rPr>
          <w:szCs w:val="18"/>
        </w:rPr>
        <w:t xml:space="preserve">v samostatné působnosti (svěřené mu zákonem), pokud pojištěný odpovídá za škodu nezákonným rozhodnutím nebo nesprávným úředním postupem. </w:t>
      </w:r>
    </w:p>
    <w:p w:rsidR="008F7DE5" w:rsidRPr="00A3341E" w:rsidRDefault="008F7DE5" w:rsidP="00D963C4">
      <w:pPr>
        <w:widowControl w:val="0"/>
        <w:numPr>
          <w:ilvl w:val="3"/>
          <w:numId w:val="7"/>
        </w:numPr>
        <w:tabs>
          <w:tab w:val="center" w:pos="567"/>
        </w:tabs>
        <w:autoSpaceDE w:val="0"/>
        <w:autoSpaceDN w:val="0"/>
        <w:adjustRightInd w:val="0"/>
        <w:spacing w:line="280" w:lineRule="atLeast"/>
        <w:ind w:left="567" w:hanging="567"/>
        <w:jc w:val="both"/>
        <w:rPr>
          <w:szCs w:val="18"/>
        </w:rPr>
      </w:pPr>
      <w:r w:rsidRPr="00A3341E">
        <w:rPr>
          <w:szCs w:val="18"/>
        </w:rPr>
        <w:t xml:space="preserve">Pojištění se vztahuje i na případy, kdy stát nahradil škodu způsobenou nezákonným rozhodnutím nebo nesprávným úředním </w:t>
      </w:r>
      <w:proofErr w:type="gramStart"/>
      <w:r w:rsidRPr="00A3341E">
        <w:rPr>
          <w:szCs w:val="18"/>
        </w:rPr>
        <w:t xml:space="preserve">postupem </w:t>
      </w:r>
      <w:r w:rsidR="00A435A0">
        <w:rPr>
          <w:szCs w:val="18"/>
        </w:rPr>
        <w:t xml:space="preserve"> m</w:t>
      </w:r>
      <w:r w:rsidRPr="00A3341E">
        <w:rPr>
          <w:szCs w:val="18"/>
        </w:rPr>
        <w:t>ěsta</w:t>
      </w:r>
      <w:proofErr w:type="gramEnd"/>
      <w:r w:rsidRPr="00A3341E">
        <w:rPr>
          <w:szCs w:val="18"/>
        </w:rPr>
        <w:t xml:space="preserve"> Znojma při výkonu státní správy (přenesené působnosti a požaduje regresní úhradu na </w:t>
      </w:r>
      <w:r w:rsidR="00A435A0">
        <w:rPr>
          <w:szCs w:val="18"/>
        </w:rPr>
        <w:t>m</w:t>
      </w:r>
      <w:r w:rsidRPr="00A3341E">
        <w:rPr>
          <w:szCs w:val="18"/>
        </w:rPr>
        <w:t xml:space="preserve">ěstě </w:t>
      </w:r>
      <w:r w:rsidR="00CE5DE4" w:rsidRPr="00A3341E">
        <w:rPr>
          <w:szCs w:val="18"/>
        </w:rPr>
        <w:t xml:space="preserve">Znojmě, pokud škodu způsobil. Pojištění se vztahuje také na odpovědnosti </w:t>
      </w:r>
      <w:r w:rsidR="00A435A0">
        <w:rPr>
          <w:szCs w:val="18"/>
        </w:rPr>
        <w:t>m</w:t>
      </w:r>
      <w:r w:rsidR="00CE5DE4" w:rsidRPr="00A3341E">
        <w:rPr>
          <w:szCs w:val="18"/>
        </w:rPr>
        <w:t>ěsta Znojma za škodu způsobenou při výkonu jeho samostatné působnosti nezákonným rozhodnutím nebo nesprávným úředním postupem</w:t>
      </w:r>
      <w:r w:rsidR="00A435A0">
        <w:rPr>
          <w:szCs w:val="18"/>
        </w:rPr>
        <w:t>.</w:t>
      </w:r>
    </w:p>
    <w:p w:rsidR="00CE5DE4" w:rsidRPr="00A3341E" w:rsidRDefault="00CE5DE4" w:rsidP="00D963C4">
      <w:pPr>
        <w:widowControl w:val="0"/>
        <w:numPr>
          <w:ilvl w:val="2"/>
          <w:numId w:val="7"/>
        </w:numPr>
        <w:autoSpaceDE w:val="0"/>
        <w:autoSpaceDN w:val="0"/>
        <w:adjustRightInd w:val="0"/>
        <w:spacing w:line="280" w:lineRule="atLeast"/>
        <w:ind w:left="567" w:hanging="567"/>
        <w:jc w:val="both"/>
        <w:rPr>
          <w:szCs w:val="18"/>
        </w:rPr>
      </w:pPr>
      <w:r w:rsidRPr="00A3341E">
        <w:rPr>
          <w:szCs w:val="18"/>
        </w:rPr>
        <w:t>Pojištění se vztahuje i na zavlečení nebo rozšíření nakažlivé choroby lidí</w:t>
      </w:r>
      <w:r w:rsidR="00A435A0">
        <w:rPr>
          <w:szCs w:val="18"/>
        </w:rPr>
        <w:t>.</w:t>
      </w:r>
    </w:p>
    <w:p w:rsidR="00CE5DE4" w:rsidRPr="00A3341E" w:rsidRDefault="00CE5DE4" w:rsidP="00D963C4">
      <w:pPr>
        <w:widowControl w:val="0"/>
        <w:numPr>
          <w:ilvl w:val="2"/>
          <w:numId w:val="7"/>
        </w:numPr>
        <w:autoSpaceDE w:val="0"/>
        <w:autoSpaceDN w:val="0"/>
        <w:adjustRightInd w:val="0"/>
        <w:spacing w:line="280" w:lineRule="atLeast"/>
        <w:ind w:left="567" w:hanging="567"/>
        <w:jc w:val="both"/>
        <w:rPr>
          <w:szCs w:val="18"/>
        </w:rPr>
      </w:pPr>
      <w:r w:rsidRPr="00A3341E">
        <w:rPr>
          <w:szCs w:val="18"/>
        </w:rPr>
        <w:t>Pojištění se vztahuje na škody způsobené působením teploty, unikajících látek, vlhkosti a odpadů, včetně pozvolna působících vlivů</w:t>
      </w:r>
      <w:r w:rsidR="00A435A0">
        <w:rPr>
          <w:szCs w:val="18"/>
        </w:rPr>
        <w:t>.</w:t>
      </w:r>
    </w:p>
    <w:p w:rsidR="00CE5DE4" w:rsidRPr="00A3341E" w:rsidRDefault="00CE5DE4" w:rsidP="00D963C4">
      <w:pPr>
        <w:widowControl w:val="0"/>
        <w:numPr>
          <w:ilvl w:val="2"/>
          <w:numId w:val="7"/>
        </w:numPr>
        <w:autoSpaceDE w:val="0"/>
        <w:autoSpaceDN w:val="0"/>
        <w:adjustRightInd w:val="0"/>
        <w:spacing w:line="280" w:lineRule="atLeast"/>
        <w:ind w:left="567" w:hanging="567"/>
        <w:jc w:val="both"/>
        <w:rPr>
          <w:szCs w:val="18"/>
        </w:rPr>
      </w:pPr>
      <w:r w:rsidRPr="00A3341E">
        <w:rPr>
          <w:szCs w:val="18"/>
        </w:rPr>
        <w:t>Pojištění se vztahuje i na škodu vzniklou v souvislost</w:t>
      </w:r>
      <w:r w:rsidR="00B21B2A" w:rsidRPr="00A3341E">
        <w:rPr>
          <w:szCs w:val="18"/>
        </w:rPr>
        <w:t>i</w:t>
      </w:r>
      <w:r w:rsidRPr="00A3341E">
        <w:rPr>
          <w:szCs w:val="18"/>
        </w:rPr>
        <w:t xml:space="preserve"> s činností nebo vztahem pojištěného jestliže za škodu odpovídá v důsledku svého jednání nebo vztahu</w:t>
      </w:r>
      <w:r w:rsidR="00A435A0">
        <w:rPr>
          <w:szCs w:val="18"/>
        </w:rPr>
        <w:t>.</w:t>
      </w:r>
    </w:p>
    <w:p w:rsidR="004B38E8" w:rsidRPr="00A3341E" w:rsidRDefault="00F22ACB" w:rsidP="00D963C4">
      <w:pPr>
        <w:widowControl w:val="0"/>
        <w:numPr>
          <w:ilvl w:val="2"/>
          <w:numId w:val="7"/>
        </w:numPr>
        <w:autoSpaceDE w:val="0"/>
        <w:autoSpaceDN w:val="0"/>
        <w:adjustRightInd w:val="0"/>
        <w:spacing w:line="280" w:lineRule="atLeast"/>
        <w:ind w:left="567" w:hanging="567"/>
        <w:jc w:val="both"/>
        <w:rPr>
          <w:szCs w:val="18"/>
        </w:rPr>
      </w:pPr>
      <w:r w:rsidRPr="00A3341E">
        <w:rPr>
          <w:szCs w:val="18"/>
        </w:rPr>
        <w:t>Pojištění se vztahuje i na škody způsobené při pořádání akcí volnočasových aktivit, kulturních akcí, sportovních akcí, apod. pořádaných pojištěným. Za jednorázovou akci se považují činnosti související přímo s organizací akce a jejího samotného průběhu. Pro účely této pojistné smlouvy se za pojištěného považují i všichni aktivní účastníci takovéto akce, tj. děti, žáci, jejich doprovod, pořadatelé, apod.</w:t>
      </w:r>
    </w:p>
    <w:p w:rsidR="00CE5DE4" w:rsidRPr="00A3341E" w:rsidRDefault="004B38E8" w:rsidP="00D963C4">
      <w:pPr>
        <w:widowControl w:val="0"/>
        <w:numPr>
          <w:ilvl w:val="2"/>
          <w:numId w:val="7"/>
        </w:numPr>
        <w:autoSpaceDE w:val="0"/>
        <w:autoSpaceDN w:val="0"/>
        <w:adjustRightInd w:val="0"/>
        <w:spacing w:line="280" w:lineRule="atLeast"/>
        <w:ind w:left="567" w:hanging="567"/>
        <w:jc w:val="both"/>
        <w:rPr>
          <w:szCs w:val="18"/>
        </w:rPr>
      </w:pPr>
      <w:r w:rsidRPr="00A3341E">
        <w:rPr>
          <w:szCs w:val="18"/>
        </w:rPr>
        <w:t>Ujednává se, že se pojištění vztahuje na povinnost pojištěného nahradit újmu osobě pojištěné touto smlouvou</w:t>
      </w:r>
      <w:r w:rsidR="00A435A0">
        <w:rPr>
          <w:szCs w:val="18"/>
        </w:rPr>
        <w:t>.</w:t>
      </w:r>
    </w:p>
    <w:p w:rsidR="00D47CF4" w:rsidRPr="00A3341E" w:rsidRDefault="00D47CF4" w:rsidP="00F37828">
      <w:pPr>
        <w:widowControl w:val="0"/>
        <w:spacing w:line="280" w:lineRule="atLeast"/>
        <w:jc w:val="both"/>
        <w:rPr>
          <w:szCs w:val="18"/>
        </w:rPr>
      </w:pPr>
      <w:r w:rsidRPr="00A3341E">
        <w:rPr>
          <w:szCs w:val="18"/>
        </w:rPr>
        <w:br w:type="page"/>
      </w:r>
    </w:p>
    <w:p w:rsidR="00D47CF4" w:rsidRPr="00387BA8" w:rsidRDefault="00D47CF4" w:rsidP="00DC5B50">
      <w:pPr>
        <w:pStyle w:val="Nadpis1"/>
      </w:pPr>
      <w:bookmarkStart w:id="36" w:name="_Toc450552733"/>
      <w:r w:rsidRPr="00387BA8">
        <w:t>Povinná ujednání k pojistné smlouvě</w:t>
      </w:r>
      <w:bookmarkEnd w:id="36"/>
    </w:p>
    <w:p w:rsidR="00D47CF4" w:rsidRPr="00387BA8" w:rsidRDefault="00D47CF4" w:rsidP="003B3391">
      <w:pPr>
        <w:pStyle w:val="Nadpis2"/>
      </w:pPr>
      <w:bookmarkStart w:id="37" w:name="_Toc450552734"/>
      <w:r w:rsidRPr="00387BA8">
        <w:t>Specifikace pojistné hodnoty</w:t>
      </w:r>
      <w:bookmarkEnd w:id="37"/>
    </w:p>
    <w:p w:rsidR="00D47CF4" w:rsidRPr="00A3341E" w:rsidRDefault="00DC5B50" w:rsidP="009F1CEA">
      <w:pPr>
        <w:widowControl w:val="0"/>
        <w:spacing w:line="280" w:lineRule="atLeast"/>
        <w:jc w:val="both"/>
        <w:rPr>
          <w:szCs w:val="18"/>
        </w:rPr>
      </w:pPr>
      <w:r w:rsidRPr="00A3341E">
        <w:rPr>
          <w:b/>
          <w:szCs w:val="18"/>
          <w:u w:val="single"/>
        </w:rPr>
        <w:t>Nová cena</w:t>
      </w:r>
      <w:r w:rsidR="00D47CF4" w:rsidRPr="00A3341E">
        <w:rPr>
          <w:szCs w:val="18"/>
        </w:rPr>
        <w:t>:</w:t>
      </w:r>
      <w:r w:rsidRPr="00A3341E">
        <w:rPr>
          <w:szCs w:val="18"/>
        </w:rPr>
        <w:t xml:space="preserve"> je </w:t>
      </w:r>
      <w:r w:rsidR="00D47CF4" w:rsidRPr="00A3341E">
        <w:rPr>
          <w:szCs w:val="18"/>
        </w:rPr>
        <w:t>cena pojištěné věci, tj. cena, za kterou lze stejnou nebo srovnatelnou věc, sloužící ke stejnému účelu, znovu pořídit v daném čase a na daném místě jako věc novou (pojištění na „novou cenu“).</w:t>
      </w:r>
    </w:p>
    <w:p w:rsidR="00D47CF4" w:rsidRPr="00A3341E" w:rsidRDefault="00DC5B50" w:rsidP="009F1CEA">
      <w:pPr>
        <w:widowControl w:val="0"/>
        <w:spacing w:before="0" w:line="280" w:lineRule="atLeast"/>
        <w:jc w:val="both"/>
        <w:rPr>
          <w:szCs w:val="18"/>
        </w:rPr>
      </w:pPr>
      <w:r w:rsidRPr="00A3341E">
        <w:rPr>
          <w:b/>
          <w:szCs w:val="18"/>
          <w:u w:val="single"/>
        </w:rPr>
        <w:t>Cena</w:t>
      </w:r>
      <w:r w:rsidR="00D47CF4" w:rsidRPr="00A3341E">
        <w:rPr>
          <w:b/>
          <w:szCs w:val="18"/>
          <w:u w:val="single"/>
        </w:rPr>
        <w:t xml:space="preserve"> znovu</w:t>
      </w:r>
      <w:r w:rsidRPr="00A3341E">
        <w:rPr>
          <w:b/>
          <w:szCs w:val="18"/>
          <w:u w:val="single"/>
        </w:rPr>
        <w:t>po</w:t>
      </w:r>
      <w:r w:rsidR="00D47CF4" w:rsidRPr="00A3341E">
        <w:rPr>
          <w:b/>
          <w:szCs w:val="18"/>
          <w:u w:val="single"/>
        </w:rPr>
        <w:t>řízení</w:t>
      </w:r>
      <w:r w:rsidR="00D47CF4" w:rsidRPr="00A3341E">
        <w:rPr>
          <w:szCs w:val="18"/>
        </w:rPr>
        <w:t xml:space="preserve">: je částka, která odpovídá </w:t>
      </w:r>
      <w:r w:rsidR="00D963F7" w:rsidRPr="00A3341E">
        <w:rPr>
          <w:szCs w:val="18"/>
        </w:rPr>
        <w:t xml:space="preserve">přiměřeným </w:t>
      </w:r>
      <w:r w:rsidR="00D47CF4" w:rsidRPr="00A3341E">
        <w:rPr>
          <w:szCs w:val="18"/>
        </w:rPr>
        <w:t>n</w:t>
      </w:r>
      <w:r w:rsidRPr="00A3341E">
        <w:rPr>
          <w:szCs w:val="18"/>
        </w:rPr>
        <w:t xml:space="preserve">ákladům na nové vyrobení nebo </w:t>
      </w:r>
      <w:r w:rsidR="00D47CF4" w:rsidRPr="00A3341E">
        <w:rPr>
          <w:szCs w:val="18"/>
        </w:rPr>
        <w:t xml:space="preserve">pořízení stejných nebo srovnatelných zásob </w:t>
      </w:r>
      <w:r w:rsidR="008A478E" w:rsidRPr="00A3341E">
        <w:rPr>
          <w:szCs w:val="18"/>
        </w:rPr>
        <w:t xml:space="preserve">v daném čase </w:t>
      </w:r>
      <w:r w:rsidR="00D47CF4" w:rsidRPr="00A3341E">
        <w:rPr>
          <w:szCs w:val="18"/>
        </w:rPr>
        <w:t xml:space="preserve">a na daném místě. </w:t>
      </w:r>
    </w:p>
    <w:p w:rsidR="00D47CF4" w:rsidRPr="00A3341E" w:rsidRDefault="00D963F7" w:rsidP="009F1CEA">
      <w:pPr>
        <w:widowControl w:val="0"/>
        <w:spacing w:before="0" w:line="280" w:lineRule="atLeast"/>
        <w:jc w:val="both"/>
        <w:rPr>
          <w:szCs w:val="18"/>
        </w:rPr>
      </w:pPr>
      <w:r w:rsidRPr="00A3341E">
        <w:rPr>
          <w:b/>
          <w:szCs w:val="18"/>
          <w:u w:val="single"/>
        </w:rPr>
        <w:t>O</w:t>
      </w:r>
      <w:r w:rsidR="00D47CF4" w:rsidRPr="00A3341E">
        <w:rPr>
          <w:b/>
          <w:szCs w:val="18"/>
          <w:u w:val="single"/>
        </w:rPr>
        <w:t>bvyklá</w:t>
      </w:r>
      <w:r w:rsidRPr="00A3341E">
        <w:rPr>
          <w:b/>
          <w:szCs w:val="18"/>
          <w:u w:val="single"/>
        </w:rPr>
        <w:t xml:space="preserve"> cena</w:t>
      </w:r>
      <w:r w:rsidR="00D47CF4" w:rsidRPr="00A3341E">
        <w:rPr>
          <w:szCs w:val="18"/>
        </w:rPr>
        <w:t>: tj. cena, která by byla dosažena při prodeji stejné, popř. obdobné věci v obvyklém obchodním styku v daném čase a na daném místě (pojištění na „obvyklou cenu“).</w:t>
      </w:r>
    </w:p>
    <w:p w:rsidR="00DC5B50" w:rsidRPr="00A3341E" w:rsidRDefault="00440609" w:rsidP="00440609">
      <w:pPr>
        <w:widowControl w:val="0"/>
        <w:spacing w:line="280" w:lineRule="atLeast"/>
        <w:jc w:val="both"/>
        <w:rPr>
          <w:szCs w:val="18"/>
        </w:rPr>
      </w:pPr>
      <w:proofErr w:type="gramStart"/>
      <w:r w:rsidRPr="00A3341E">
        <w:rPr>
          <w:b/>
          <w:szCs w:val="18"/>
          <w:u w:val="single"/>
        </w:rPr>
        <w:t>Jiná</w:t>
      </w:r>
      <w:proofErr w:type="gramEnd"/>
      <w:r w:rsidR="00DC5B50" w:rsidRPr="00A3341E">
        <w:rPr>
          <w:b/>
          <w:szCs w:val="18"/>
          <w:u w:val="single"/>
        </w:rPr>
        <w:t xml:space="preserve"> cena</w:t>
      </w:r>
      <w:r w:rsidRPr="00A3341E">
        <w:rPr>
          <w:b/>
          <w:szCs w:val="18"/>
          <w:u w:val="single"/>
        </w:rPr>
        <w:t>:</w:t>
      </w:r>
      <w:r w:rsidRPr="00A3341E">
        <w:rPr>
          <w:b/>
          <w:szCs w:val="18"/>
        </w:rPr>
        <w:t xml:space="preserve"> </w:t>
      </w:r>
      <w:r w:rsidRPr="00A3341E">
        <w:rPr>
          <w:szCs w:val="18"/>
        </w:rPr>
        <w:t xml:space="preserve">je částka, která stanovená na základě znaleckého posudku nebo cena uvedená v evidenci pojištěného (např. Smlouva o </w:t>
      </w:r>
      <w:proofErr w:type="gramStart"/>
      <w:r w:rsidRPr="00A3341E">
        <w:rPr>
          <w:szCs w:val="18"/>
        </w:rPr>
        <w:t>výpůjčce;</w:t>
      </w:r>
      <w:proofErr w:type="gramEnd"/>
      <w:r w:rsidRPr="00A3341E">
        <w:rPr>
          <w:szCs w:val="18"/>
        </w:rPr>
        <w:t xml:space="preserve"> Předávací protokol exponátů na výstavu apod.) nebo hodnota obvyklá platná v době vzniku pojistné události</w:t>
      </w:r>
      <w:r w:rsidR="00A435A0">
        <w:rPr>
          <w:szCs w:val="18"/>
        </w:rPr>
        <w:t>.</w:t>
      </w:r>
    </w:p>
    <w:p w:rsidR="00387BA8" w:rsidRPr="00A3341E" w:rsidRDefault="00440609" w:rsidP="00440609">
      <w:pPr>
        <w:widowControl w:val="0"/>
        <w:spacing w:line="280" w:lineRule="atLeast"/>
        <w:jc w:val="both"/>
        <w:rPr>
          <w:szCs w:val="18"/>
        </w:rPr>
      </w:pPr>
      <w:r w:rsidRPr="00A3341E">
        <w:rPr>
          <w:b/>
          <w:szCs w:val="18"/>
          <w:u w:val="single"/>
        </w:rPr>
        <w:t>Tržní cena:</w:t>
      </w:r>
      <w:r w:rsidRPr="00A3341E">
        <w:rPr>
          <w:b/>
          <w:szCs w:val="18"/>
        </w:rPr>
        <w:t xml:space="preserve"> </w:t>
      </w:r>
      <w:r w:rsidRPr="00A3341E">
        <w:rPr>
          <w:szCs w:val="18"/>
        </w:rPr>
        <w:t>je částka, která vyjadřuje obvyklou cenu pojištěné věci obdobného druhu a srovnatelné kvality v době pojistné události</w:t>
      </w:r>
      <w:r w:rsidR="00A435A0">
        <w:rPr>
          <w:szCs w:val="18"/>
        </w:rPr>
        <w:t>.</w:t>
      </w:r>
    </w:p>
    <w:p w:rsidR="00440609" w:rsidRPr="00387BA8" w:rsidRDefault="00440609" w:rsidP="00440609">
      <w:pPr>
        <w:pStyle w:val="Nadpis2"/>
      </w:pPr>
      <w:bookmarkStart w:id="38" w:name="_Toc450552735"/>
      <w:r w:rsidRPr="00387BA8">
        <w:t>Pojistné plnění</w:t>
      </w:r>
      <w:bookmarkEnd w:id="38"/>
    </w:p>
    <w:p w:rsidR="00440609" w:rsidRPr="00A3341E" w:rsidRDefault="00440609" w:rsidP="00387BA8">
      <w:pPr>
        <w:pStyle w:val="Zkladntext"/>
        <w:autoSpaceDE/>
        <w:autoSpaceDN/>
        <w:spacing w:before="60" w:line="280" w:lineRule="atLeast"/>
        <w:rPr>
          <w:rFonts w:ascii="Arial" w:hAnsi="Arial"/>
          <w:szCs w:val="18"/>
        </w:rPr>
      </w:pPr>
      <w:r w:rsidRPr="00A3341E">
        <w:rPr>
          <w:rFonts w:ascii="Arial" w:hAnsi="Arial"/>
          <w:szCs w:val="18"/>
        </w:rPr>
        <w:t xml:space="preserve">Byla-li pojištěná věc zničena, odcizena nebo poškozena, vzniká oprávněné osobě právo, není-li ujednáno jinak, aby jí pojistitel vyplatil z pojištění </w:t>
      </w:r>
      <w:proofErr w:type="gramStart"/>
      <w:r w:rsidRPr="00A3341E">
        <w:rPr>
          <w:rFonts w:ascii="Arial" w:hAnsi="Arial"/>
          <w:szCs w:val="18"/>
        </w:rPr>
        <w:t>na</w:t>
      </w:r>
      <w:proofErr w:type="gramEnd"/>
      <w:r w:rsidRPr="00A3341E">
        <w:rPr>
          <w:rFonts w:ascii="Arial" w:hAnsi="Arial"/>
          <w:szCs w:val="18"/>
        </w:rPr>
        <w:t>:</w:t>
      </w:r>
    </w:p>
    <w:p w:rsidR="00440609" w:rsidRPr="00A3341E" w:rsidRDefault="00440609" w:rsidP="00387BA8">
      <w:pPr>
        <w:spacing w:before="60" w:line="280" w:lineRule="atLeast"/>
        <w:jc w:val="both"/>
        <w:rPr>
          <w:szCs w:val="18"/>
        </w:rPr>
      </w:pPr>
      <w:r w:rsidRPr="00A3341E">
        <w:rPr>
          <w:szCs w:val="18"/>
        </w:rPr>
        <w:t xml:space="preserve">- </w:t>
      </w:r>
      <w:r w:rsidRPr="00A3341E">
        <w:rPr>
          <w:b/>
          <w:szCs w:val="18"/>
        </w:rPr>
        <w:t>novou cenu</w:t>
      </w:r>
      <w:r w:rsidRPr="00A3341E">
        <w:rPr>
          <w:szCs w:val="18"/>
        </w:rPr>
        <w:t xml:space="preserve"> částku odpovídající přiměřeným nákladům na znovupořízení stejné nebo srovnatelné nové věci (v případě poškození sníženou o cenu využitelných zbytků) v době bezprostředně před vznikem pojistné události.</w:t>
      </w:r>
    </w:p>
    <w:p w:rsidR="00440609" w:rsidRPr="00A3341E" w:rsidRDefault="00440609" w:rsidP="00387BA8">
      <w:pPr>
        <w:spacing w:before="60" w:line="280" w:lineRule="atLeast"/>
        <w:jc w:val="both"/>
        <w:rPr>
          <w:szCs w:val="18"/>
        </w:rPr>
      </w:pPr>
      <w:r w:rsidRPr="00A3341E">
        <w:rPr>
          <w:szCs w:val="18"/>
        </w:rPr>
        <w:t xml:space="preserve">- </w:t>
      </w:r>
      <w:r w:rsidRPr="00A3341E">
        <w:rPr>
          <w:b/>
          <w:szCs w:val="18"/>
        </w:rPr>
        <w:t xml:space="preserve">obvyklou </w:t>
      </w:r>
      <w:proofErr w:type="gramStart"/>
      <w:r w:rsidRPr="00A3341E">
        <w:rPr>
          <w:b/>
          <w:szCs w:val="18"/>
        </w:rPr>
        <w:t>cenu</w:t>
      </w:r>
      <w:r w:rsidRPr="00A3341E">
        <w:rPr>
          <w:szCs w:val="18"/>
        </w:rPr>
        <w:t xml:space="preserve">  částku</w:t>
      </w:r>
      <w:proofErr w:type="gramEnd"/>
      <w:r w:rsidRPr="00A3341E">
        <w:rPr>
          <w:szCs w:val="18"/>
        </w:rPr>
        <w:t>, která by byla dosažena při prodeji stejné nebo srovnatelné věci (v případě poškození sníženou o cenu využitelných zbytků) v době bezprostředně před vznikem pojistné události a v obvyklém obchodním styku. Pojišťovna má právo vyžadovat znalecký posudek, nedohodne-li se s oprávněnou osobou jinak.</w:t>
      </w:r>
    </w:p>
    <w:p w:rsidR="00440609" w:rsidRPr="00A3341E" w:rsidRDefault="00440609" w:rsidP="00387BA8">
      <w:pPr>
        <w:spacing w:before="60" w:line="280" w:lineRule="atLeast"/>
        <w:jc w:val="both"/>
        <w:rPr>
          <w:szCs w:val="18"/>
        </w:rPr>
      </w:pPr>
      <w:r w:rsidRPr="00A3341E">
        <w:rPr>
          <w:szCs w:val="18"/>
        </w:rPr>
        <w:t xml:space="preserve">- </w:t>
      </w:r>
      <w:r w:rsidRPr="00A3341E">
        <w:rPr>
          <w:b/>
          <w:szCs w:val="18"/>
        </w:rPr>
        <w:t>jinou cenu</w:t>
      </w:r>
      <w:r w:rsidRPr="00A3341E">
        <w:rPr>
          <w:szCs w:val="18"/>
        </w:rPr>
        <w:t xml:space="preserve"> při poškození pojištěné věci částku odpovídající přiměřeným nákladům na opravu poškozené pojištěné věci, sníženou o cenu zbytků. Nelze-li poškozenou pojištěnou věc opravit nebo cena za opravu převyšuje částku stanovenou na základě znaleckého posudku nebo cenu uvedenou v evidenci pojištěného nebo hodnota obvyklá pro poškozenou pojištěnou věc, vzniká pojištěnému právo,</w:t>
      </w:r>
      <w:r w:rsidR="00387BA8" w:rsidRPr="00A3341E">
        <w:rPr>
          <w:szCs w:val="18"/>
        </w:rPr>
        <w:t xml:space="preserve"> </w:t>
      </w:r>
      <w:r w:rsidRPr="00A3341E">
        <w:rPr>
          <w:szCs w:val="18"/>
        </w:rPr>
        <w:t>aby mu pojistitel vyplatil částku jako při zničení pojištěné poškozené věci. Dále se ujednává, že při zničení nebo pohřešování pojištěné věci vzniká pojištěnému právo, aby mu pojistitel vyplatil částku stanovenou na základě znaleckého posudku nebo cenu uvedenou v evidenci pojištěného nebo hodnota obvyklá pro zničenou nebo pohřešovanou pojištěnou věc, sníženou o cenu zbytků. V případě sporu při stanovení výše pojistného plnění u věcí pojištěných na jinou hodnotu bude tato hodnota stanovena formou znaleckého posudku.</w:t>
      </w:r>
    </w:p>
    <w:p w:rsidR="00440609" w:rsidRPr="00A3341E" w:rsidRDefault="00440609" w:rsidP="00387BA8">
      <w:pPr>
        <w:spacing w:before="60" w:line="280" w:lineRule="atLeast"/>
        <w:jc w:val="both"/>
        <w:rPr>
          <w:szCs w:val="18"/>
        </w:rPr>
      </w:pPr>
      <w:r w:rsidRPr="00A3341E">
        <w:rPr>
          <w:szCs w:val="18"/>
        </w:rPr>
        <w:t xml:space="preserve">- </w:t>
      </w:r>
      <w:r w:rsidRPr="00A3341E">
        <w:rPr>
          <w:b/>
          <w:szCs w:val="18"/>
        </w:rPr>
        <w:t>tržní cenu</w:t>
      </w:r>
      <w:r w:rsidRPr="00A3341E">
        <w:rPr>
          <w:szCs w:val="18"/>
        </w:rPr>
        <w:t xml:space="preserve"> částku, která vyjadřuje obvyklou cenu pojištěné věci obdobného druhu a srovnatelné </w:t>
      </w:r>
      <w:proofErr w:type="gramStart"/>
      <w:r w:rsidRPr="00A3341E">
        <w:rPr>
          <w:szCs w:val="18"/>
        </w:rPr>
        <w:t>kvality  v době</w:t>
      </w:r>
      <w:proofErr w:type="gramEnd"/>
      <w:r w:rsidRPr="00A3341E">
        <w:rPr>
          <w:szCs w:val="18"/>
        </w:rPr>
        <w:t xml:space="preserve"> pojistné události.</w:t>
      </w:r>
    </w:p>
    <w:p w:rsidR="00440609" w:rsidRPr="00A3341E" w:rsidRDefault="00440609" w:rsidP="00387BA8">
      <w:pPr>
        <w:spacing w:line="280" w:lineRule="atLeast"/>
        <w:jc w:val="both"/>
        <w:rPr>
          <w:szCs w:val="18"/>
        </w:rPr>
      </w:pPr>
      <w:r w:rsidRPr="00A3341E">
        <w:rPr>
          <w:szCs w:val="18"/>
        </w:rPr>
        <w:t xml:space="preserve">Jsou-li předmětem pojištění písemnosti, plány, obchodní knihy, kartotéky, výkresy, děrné štítky, magnetické pásky a disky, ostatní nosiče dat a záznamů na nich poškozeny, zničeny, nebo jsou-li odcizeny, vzniká pojištěnému právo, aby mu pojistitel vyplatil částku, odpovídající přiměřeným nákladům na jejich opravu nebo znovupořízení, pokud tyto náklady oprávněná osoba vynaložila. Od této částky je potřeba odečíst cenu případných využitelných zbytků poškozené nebo zničené věci. V případě, že pojištěný náklady na opravu nebo reprodukci nevynaložil, je pojistitel povinen vyplatit pouze hodnotu materiálu, </w:t>
      </w:r>
      <w:proofErr w:type="gramStart"/>
      <w:r w:rsidRPr="00A3341E">
        <w:rPr>
          <w:szCs w:val="18"/>
        </w:rPr>
        <w:t>vloženého  do</w:t>
      </w:r>
      <w:proofErr w:type="gramEnd"/>
      <w:r w:rsidRPr="00A3341E">
        <w:rPr>
          <w:szCs w:val="18"/>
        </w:rPr>
        <w:t xml:space="preserve"> pojištěné věci.</w:t>
      </w:r>
    </w:p>
    <w:p w:rsidR="00440609" w:rsidRDefault="00440609" w:rsidP="00387BA8">
      <w:pPr>
        <w:widowControl w:val="0"/>
        <w:spacing w:line="280" w:lineRule="atLeast"/>
        <w:jc w:val="both"/>
        <w:rPr>
          <w:sz w:val="20"/>
        </w:rPr>
      </w:pPr>
    </w:p>
    <w:p w:rsidR="00A3341E" w:rsidRPr="00387BA8" w:rsidRDefault="00A3341E" w:rsidP="00387BA8">
      <w:pPr>
        <w:widowControl w:val="0"/>
        <w:spacing w:line="280" w:lineRule="atLeast"/>
        <w:jc w:val="both"/>
        <w:rPr>
          <w:sz w:val="20"/>
        </w:rPr>
      </w:pPr>
    </w:p>
    <w:p w:rsidR="00D47CF4" w:rsidRPr="00387BA8" w:rsidRDefault="00D47CF4" w:rsidP="002E575B">
      <w:pPr>
        <w:pStyle w:val="Nadpis1"/>
      </w:pPr>
      <w:bookmarkStart w:id="39" w:name="_Toc450552736"/>
      <w:r w:rsidRPr="00387BA8">
        <w:lastRenderedPageBreak/>
        <w:t>Ostatní ujednání</w:t>
      </w:r>
      <w:bookmarkEnd w:id="39"/>
    </w:p>
    <w:p w:rsidR="00D47CF4" w:rsidRPr="00A3341E" w:rsidRDefault="00D47CF4" w:rsidP="00D963C4">
      <w:pPr>
        <w:numPr>
          <w:ilvl w:val="0"/>
          <w:numId w:val="10"/>
        </w:numPr>
        <w:autoSpaceDE w:val="0"/>
        <w:autoSpaceDN w:val="0"/>
        <w:adjustRightInd w:val="0"/>
        <w:spacing w:line="280" w:lineRule="atLeast"/>
        <w:jc w:val="both"/>
        <w:rPr>
          <w:szCs w:val="18"/>
        </w:rPr>
      </w:pPr>
      <w:r w:rsidRPr="00A3341E">
        <w:rPr>
          <w:szCs w:val="18"/>
        </w:rPr>
        <w:t>Učinil-li pojištěný opatření, která mohl vzhledem k okolnostem případu považovat za nutná k odvrácení bezprostředně hrozící pojistné události nebo ke zmírnění škody na pojištěné věci z nastalé pojistné události, hradí pojistitel takto vynaložené náklady, jsou-li úměrné rozsahu hrozící škody a pojistné hodnotě ohrožené pojištěné věci, práva nebo jiné majetkové hodnoty. Pojistitel nehradí náklady vynaložené na obvyklou údržbu a ošetřování pojištěné věci.</w:t>
      </w:r>
      <w:r w:rsidR="009161FC" w:rsidRPr="00A3341E">
        <w:rPr>
          <w:szCs w:val="18"/>
        </w:rPr>
        <w:t xml:space="preserve"> </w:t>
      </w:r>
    </w:p>
    <w:p w:rsidR="00FB219B" w:rsidRPr="00A3341E" w:rsidRDefault="00FB219B" w:rsidP="00D963C4">
      <w:pPr>
        <w:numPr>
          <w:ilvl w:val="0"/>
          <w:numId w:val="10"/>
        </w:numPr>
        <w:autoSpaceDE w:val="0"/>
        <w:autoSpaceDN w:val="0"/>
        <w:adjustRightInd w:val="0"/>
        <w:spacing w:line="280" w:lineRule="atLeast"/>
        <w:jc w:val="both"/>
        <w:rPr>
          <w:szCs w:val="18"/>
        </w:rPr>
      </w:pPr>
      <w:r w:rsidRPr="00A3341E">
        <w:rPr>
          <w:szCs w:val="18"/>
        </w:rPr>
        <w:t>Pro účely tohoto pojištění se za jinou osobu považují i osoby uvedené v této pojistné smlouvě</w:t>
      </w:r>
      <w:r w:rsidR="00A435A0">
        <w:rPr>
          <w:szCs w:val="18"/>
        </w:rPr>
        <w:t>.</w:t>
      </w:r>
    </w:p>
    <w:p w:rsidR="000B6D2C" w:rsidRPr="00A3341E" w:rsidRDefault="00FB219B" w:rsidP="00D963C4">
      <w:pPr>
        <w:numPr>
          <w:ilvl w:val="0"/>
          <w:numId w:val="10"/>
        </w:numPr>
        <w:autoSpaceDE w:val="0"/>
        <w:autoSpaceDN w:val="0"/>
        <w:adjustRightInd w:val="0"/>
        <w:spacing w:line="280" w:lineRule="atLeast"/>
        <w:jc w:val="both"/>
        <w:rPr>
          <w:szCs w:val="18"/>
        </w:rPr>
      </w:pPr>
      <w:r w:rsidRPr="00A3341E">
        <w:rPr>
          <w:szCs w:val="18"/>
        </w:rPr>
        <w:t xml:space="preserve">Ujednává se, že </w:t>
      </w:r>
      <w:r w:rsidR="000B6D2C" w:rsidRPr="00A3341E">
        <w:rPr>
          <w:szCs w:val="18"/>
        </w:rPr>
        <w:t xml:space="preserve">za uzavřený prostor z hlediska posouzení zabezpečení se bude posuzovat celá budova nebo konkrétní místnost (např. počítačová učebna, kancelář, dílna, laboratoř…). </w:t>
      </w: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 xml:space="preserve">Ujednává se, že se pojištění vztahuje i </w:t>
      </w:r>
      <w:proofErr w:type="gramStart"/>
      <w:r w:rsidRPr="00A3341E">
        <w:rPr>
          <w:szCs w:val="18"/>
        </w:rPr>
        <w:t>na</w:t>
      </w:r>
      <w:proofErr w:type="gramEnd"/>
      <w:r w:rsidRPr="00A3341E">
        <w:rPr>
          <w:szCs w:val="18"/>
        </w:rPr>
        <w:t>:</w:t>
      </w:r>
    </w:p>
    <w:p w:rsidR="000B6D2C" w:rsidRPr="00A3341E" w:rsidRDefault="000B6D2C" w:rsidP="00D963C4">
      <w:pPr>
        <w:pStyle w:val="Zkladntextodsazen2"/>
        <w:numPr>
          <w:ilvl w:val="0"/>
          <w:numId w:val="15"/>
        </w:numPr>
        <w:spacing w:before="0" w:line="280" w:lineRule="atLeast"/>
        <w:jc w:val="both"/>
        <w:rPr>
          <w:rFonts w:ascii="Arial" w:hAnsi="Arial"/>
          <w:szCs w:val="18"/>
        </w:rPr>
      </w:pPr>
      <w:r w:rsidRPr="00A3341E">
        <w:rPr>
          <w:rFonts w:ascii="Arial" w:hAnsi="Arial"/>
          <w:szCs w:val="18"/>
        </w:rPr>
        <w:t>škodu majetkovou,</w:t>
      </w:r>
    </w:p>
    <w:p w:rsidR="000B6D2C" w:rsidRPr="00A3341E" w:rsidRDefault="000B6D2C" w:rsidP="00D963C4">
      <w:pPr>
        <w:pStyle w:val="Zkladntextodsazen2"/>
        <w:numPr>
          <w:ilvl w:val="0"/>
          <w:numId w:val="15"/>
        </w:numPr>
        <w:spacing w:before="0" w:line="280" w:lineRule="atLeast"/>
        <w:jc w:val="both"/>
        <w:rPr>
          <w:rFonts w:ascii="Arial" w:hAnsi="Arial"/>
          <w:szCs w:val="18"/>
        </w:rPr>
      </w:pPr>
      <w:r w:rsidRPr="00A3341E">
        <w:rPr>
          <w:rFonts w:ascii="Arial" w:hAnsi="Arial"/>
          <w:szCs w:val="18"/>
        </w:rPr>
        <w:t>odpovědnost za škodu,</w:t>
      </w:r>
    </w:p>
    <w:p w:rsidR="000B6D2C" w:rsidRPr="00A3341E" w:rsidRDefault="000B6D2C" w:rsidP="00073CA5">
      <w:pPr>
        <w:pStyle w:val="Zkladntextodsazen2"/>
        <w:spacing w:before="0" w:line="280" w:lineRule="atLeast"/>
        <w:ind w:firstLine="0"/>
        <w:jc w:val="both"/>
        <w:rPr>
          <w:rFonts w:ascii="Arial" w:hAnsi="Arial"/>
          <w:szCs w:val="18"/>
        </w:rPr>
      </w:pPr>
      <w:r w:rsidRPr="00A3341E">
        <w:rPr>
          <w:rFonts w:ascii="Arial" w:hAnsi="Arial"/>
          <w:szCs w:val="18"/>
        </w:rPr>
        <w:t>vzniklou pojištěnému subjektu, ve kterém má pojistník nebo pojištěný majetkovou účast.</w:t>
      </w:r>
    </w:p>
    <w:p w:rsidR="000B6D2C" w:rsidRPr="00A3341E" w:rsidRDefault="000B6D2C" w:rsidP="000B6D2C">
      <w:pPr>
        <w:pStyle w:val="Zkladntextodsazen2"/>
        <w:spacing w:before="0"/>
        <w:ind w:firstLine="0"/>
        <w:jc w:val="both"/>
        <w:rPr>
          <w:rFonts w:ascii="Arial" w:hAnsi="Arial"/>
          <w:szCs w:val="18"/>
        </w:rPr>
      </w:pP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Pro účely této pojistné smlouvy se ujednává, že ke dni sjednání pojištění odpovídají pojistné částky pojištěných věcí pojistné hodnotě. Pojištěný je povinen oznámit navýšení pojistných částek, pokud dojde ke zvýšení hodnoty pojištěných věcí v průběhu pojistného období více než o 15 %.</w:t>
      </w:r>
    </w:p>
    <w:p w:rsidR="00606E06" w:rsidRPr="00A3341E" w:rsidRDefault="00606E06" w:rsidP="00D963C4">
      <w:pPr>
        <w:numPr>
          <w:ilvl w:val="0"/>
          <w:numId w:val="10"/>
        </w:numPr>
        <w:autoSpaceDE w:val="0"/>
        <w:autoSpaceDN w:val="0"/>
        <w:adjustRightInd w:val="0"/>
        <w:spacing w:line="280" w:lineRule="atLeast"/>
        <w:jc w:val="both"/>
        <w:rPr>
          <w:szCs w:val="18"/>
        </w:rPr>
      </w:pPr>
      <w:r w:rsidRPr="00A3341E">
        <w:rPr>
          <w:szCs w:val="18"/>
        </w:rPr>
        <w:t xml:space="preserve">Ujednává se, že </w:t>
      </w:r>
      <w:proofErr w:type="gramStart"/>
      <w:r w:rsidRPr="00A3341E">
        <w:rPr>
          <w:szCs w:val="18"/>
        </w:rPr>
        <w:t>pojištění  majetku</w:t>
      </w:r>
      <w:proofErr w:type="gramEnd"/>
      <w:r w:rsidRPr="00A3341E">
        <w:rPr>
          <w:szCs w:val="18"/>
        </w:rPr>
        <w:t xml:space="preserve"> se vztahuj</w:t>
      </w:r>
      <w:r w:rsidR="00A435A0">
        <w:rPr>
          <w:szCs w:val="18"/>
        </w:rPr>
        <w:t>e</w:t>
      </w:r>
      <w:r w:rsidRPr="00A3341E">
        <w:rPr>
          <w:szCs w:val="18"/>
        </w:rPr>
        <w:t xml:space="preserve"> i na nově pořízený majetek, ode dne zápisu v katastru nemovitostí. Pokud roční pohyb majetku převýší 10%, bude pojistné upraveno dodatkem ke smlouvě, vždy k výročnímu datu.</w:t>
      </w: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Ujednává se, že pojistitel nebude v případě pojistné události namítat podpojištění. Zároveň se ujednává, že v případě vyčerpání pojistné částky nebo limitu plnění lze toto dopojistit v průběhu pojistného roku za stejných podmínek.</w:t>
      </w: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Ujednává se, že pojištěné cizí věci, které pojištěný užívá na základě leasingových, nájemních či jiných smluv, jsou v případě převodu do vlastnictví pojištěného automaticky pojištěny v rozsahu sjednané pojistné smlouvy.</w:t>
      </w: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Ujednává se, že pokud pojistitel najme externí společnost za účelem zjišťování škod a přípravy dokumentace ke škodní události, vyžádá si předchozí souhlas pojistníka. Pokud pojistník souhlas neudělí, provede pojistitel šetření samostatně.</w:t>
      </w: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Platby pojistného budou hrazeny na účet pojistitele.</w:t>
      </w:r>
    </w:p>
    <w:p w:rsidR="000B6D2C" w:rsidRPr="00A3341E" w:rsidRDefault="000B6D2C" w:rsidP="00D963C4">
      <w:pPr>
        <w:numPr>
          <w:ilvl w:val="0"/>
          <w:numId w:val="10"/>
        </w:numPr>
        <w:autoSpaceDE w:val="0"/>
        <w:autoSpaceDN w:val="0"/>
        <w:adjustRightInd w:val="0"/>
        <w:spacing w:line="280" w:lineRule="atLeast"/>
        <w:jc w:val="both"/>
        <w:rPr>
          <w:szCs w:val="18"/>
        </w:rPr>
      </w:pPr>
      <w:r w:rsidRPr="00A3341E">
        <w:rPr>
          <w:szCs w:val="18"/>
        </w:rPr>
        <w:t>Pojistitel se tímto zavazuje zajistit návštěvu likvidátora pojistných událostí nejpozději do 48 hodin od nahlášení pojistné události, jinak se má za to, že to není nutné.</w:t>
      </w:r>
    </w:p>
    <w:p w:rsidR="00606E06" w:rsidRPr="00387BA8" w:rsidRDefault="00606E06" w:rsidP="00073CA5">
      <w:pPr>
        <w:autoSpaceDE w:val="0"/>
        <w:autoSpaceDN w:val="0"/>
        <w:adjustRightInd w:val="0"/>
        <w:spacing w:line="280" w:lineRule="atLeast"/>
        <w:ind w:left="720"/>
        <w:jc w:val="both"/>
        <w:rPr>
          <w:sz w:val="19"/>
          <w:szCs w:val="19"/>
        </w:rPr>
      </w:pPr>
    </w:p>
    <w:p w:rsidR="00D47CF4" w:rsidRPr="00387BA8" w:rsidRDefault="00D47CF4" w:rsidP="00D47CF4">
      <w:pPr>
        <w:tabs>
          <w:tab w:val="num" w:pos="1080"/>
        </w:tabs>
        <w:spacing w:before="60"/>
        <w:rPr>
          <w:color w:val="000000"/>
          <w:szCs w:val="22"/>
        </w:rPr>
      </w:pPr>
    </w:p>
    <w:p w:rsidR="00D47CF4" w:rsidRPr="00387BA8" w:rsidRDefault="00D47CF4" w:rsidP="002E575B">
      <w:pPr>
        <w:pStyle w:val="Nadpis1"/>
      </w:pPr>
      <w:bookmarkStart w:id="40" w:name="_Toc450552737"/>
      <w:r w:rsidRPr="00387BA8">
        <w:t>Výklad pojmů</w:t>
      </w:r>
      <w:bookmarkEnd w:id="40"/>
    </w:p>
    <w:p w:rsidR="00D47CF4" w:rsidRPr="00A3341E" w:rsidRDefault="00D47CF4" w:rsidP="009F1CEA">
      <w:pPr>
        <w:pStyle w:val="Zkladntext3"/>
        <w:spacing w:before="60"/>
        <w:jc w:val="both"/>
        <w:rPr>
          <w:rFonts w:ascii="Arial" w:hAnsi="Arial"/>
          <w:b/>
          <w:bCs/>
          <w:color w:val="000000"/>
          <w:szCs w:val="18"/>
        </w:rPr>
      </w:pPr>
      <w:r w:rsidRPr="00A3341E">
        <w:rPr>
          <w:rFonts w:ascii="Arial" w:hAnsi="Arial"/>
          <w:color w:val="000000"/>
          <w:szCs w:val="18"/>
          <w:u w:val="single"/>
        </w:rPr>
        <w:t>Pojistným obdobím</w:t>
      </w:r>
      <w:r w:rsidRPr="00A3341E">
        <w:rPr>
          <w:rFonts w:ascii="Arial" w:hAnsi="Arial"/>
          <w:color w:val="000000"/>
          <w:szCs w:val="18"/>
        </w:rPr>
        <w:t xml:space="preserve"> je doba 12 měsíců.</w:t>
      </w:r>
    </w:p>
    <w:p w:rsidR="00D47CF4" w:rsidRPr="00A3341E" w:rsidRDefault="00D47CF4" w:rsidP="009F1CEA">
      <w:pPr>
        <w:pStyle w:val="Zkladntext3"/>
        <w:spacing w:before="60"/>
        <w:jc w:val="both"/>
        <w:rPr>
          <w:rFonts w:ascii="Arial" w:hAnsi="Arial"/>
          <w:szCs w:val="18"/>
        </w:rPr>
      </w:pPr>
      <w:r w:rsidRPr="00A3341E">
        <w:rPr>
          <w:rFonts w:ascii="Arial" w:hAnsi="Arial"/>
          <w:szCs w:val="18"/>
          <w:u w:val="single"/>
        </w:rPr>
        <w:t>Pojistný rok</w:t>
      </w:r>
      <w:r w:rsidRPr="00A3341E">
        <w:rPr>
          <w:rFonts w:ascii="Arial" w:hAnsi="Arial"/>
          <w:szCs w:val="18"/>
        </w:rPr>
        <w:t xml:space="preserve"> je doba 12 měsíců; první pojistný rok začíná dnem určeným v pojistné smlouvě jako počátek pojištění.</w:t>
      </w:r>
    </w:p>
    <w:p w:rsidR="00D47CF4" w:rsidRPr="00A3341E" w:rsidRDefault="00D47CF4" w:rsidP="009F1CEA">
      <w:pPr>
        <w:widowControl w:val="0"/>
        <w:spacing w:before="60"/>
        <w:jc w:val="both"/>
        <w:rPr>
          <w:szCs w:val="18"/>
        </w:rPr>
      </w:pPr>
      <w:r w:rsidRPr="00A3341E">
        <w:rPr>
          <w:szCs w:val="18"/>
          <w:u w:val="single"/>
        </w:rPr>
        <w:t>Předmětem pojištění</w:t>
      </w:r>
      <w:r w:rsidRPr="00A3341E">
        <w:rPr>
          <w:szCs w:val="18"/>
        </w:rPr>
        <w:t xml:space="preserve"> jsou jednotlivé věci movité a nemovité nebo jejich soubory.</w:t>
      </w:r>
    </w:p>
    <w:p w:rsidR="00D47CF4" w:rsidRPr="00A3341E" w:rsidRDefault="00D47CF4" w:rsidP="009F1CEA">
      <w:pPr>
        <w:spacing w:before="60"/>
        <w:jc w:val="both"/>
        <w:rPr>
          <w:szCs w:val="18"/>
        </w:rPr>
      </w:pPr>
      <w:r w:rsidRPr="00A3341E">
        <w:rPr>
          <w:szCs w:val="18"/>
          <w:u w:val="single"/>
        </w:rPr>
        <w:t>Pojistná hodnota</w:t>
      </w:r>
      <w:r w:rsidRPr="00A3341E">
        <w:rPr>
          <w:szCs w:val="18"/>
        </w:rPr>
        <w:t xml:space="preserve"> je hodnota věci rozhodná pro stanovení pojistné částky.</w:t>
      </w:r>
    </w:p>
    <w:p w:rsidR="00D47CF4" w:rsidRPr="00A3341E" w:rsidRDefault="00D47CF4" w:rsidP="009F1CEA">
      <w:pPr>
        <w:widowControl w:val="0"/>
        <w:spacing w:before="60"/>
        <w:jc w:val="both"/>
        <w:rPr>
          <w:szCs w:val="18"/>
        </w:rPr>
      </w:pPr>
      <w:r w:rsidRPr="00A3341E">
        <w:rPr>
          <w:szCs w:val="18"/>
          <w:u w:val="single"/>
        </w:rPr>
        <w:t>Pojistná částka</w:t>
      </w:r>
      <w:r w:rsidRPr="00A3341E">
        <w:rPr>
          <w:szCs w:val="18"/>
        </w:rPr>
        <w:t xml:space="preserve"> je částka jako nejvyšší možná hranice plnění pojistitele za jednu a všechny pojistné události, které nastaly v jednom pojistném roce. </w:t>
      </w:r>
    </w:p>
    <w:p w:rsidR="00D47CF4" w:rsidRPr="00A3341E" w:rsidRDefault="00D47CF4" w:rsidP="009F1CEA">
      <w:pPr>
        <w:widowControl w:val="0"/>
        <w:spacing w:before="60"/>
        <w:jc w:val="both"/>
        <w:rPr>
          <w:szCs w:val="18"/>
        </w:rPr>
      </w:pPr>
      <w:r w:rsidRPr="00A3341E">
        <w:rPr>
          <w:szCs w:val="18"/>
          <w:u w:val="single"/>
        </w:rPr>
        <w:t>Hranice pojistného plnění</w:t>
      </w:r>
      <w:r w:rsidRPr="00A3341E">
        <w:rPr>
          <w:szCs w:val="18"/>
        </w:rPr>
        <w:t xml:space="preserve"> se vztahuje na jednu pojistnou událost.</w:t>
      </w:r>
    </w:p>
    <w:p w:rsidR="00D47CF4" w:rsidRPr="00A3341E" w:rsidRDefault="00D47CF4" w:rsidP="009F1CEA">
      <w:pPr>
        <w:pStyle w:val="Zkladntextodsazen"/>
        <w:spacing w:before="60"/>
        <w:jc w:val="both"/>
        <w:rPr>
          <w:rFonts w:ascii="Arial" w:hAnsi="Arial"/>
          <w:szCs w:val="18"/>
        </w:rPr>
      </w:pPr>
      <w:r w:rsidRPr="00A3341E">
        <w:rPr>
          <w:rFonts w:ascii="Arial" w:hAnsi="Arial"/>
          <w:szCs w:val="18"/>
          <w:u w:val="single"/>
        </w:rPr>
        <w:t>Pojištění na první riziko</w:t>
      </w:r>
      <w:r w:rsidRPr="00A3341E">
        <w:rPr>
          <w:rFonts w:ascii="Arial" w:hAnsi="Arial"/>
          <w:szCs w:val="18"/>
        </w:rPr>
        <w:t xml:space="preserve"> je pojistná částka stanovená pojistníkem (pojištěným). Pojistitel tuto pojistnou částku akceptuje a nebude namítat podpojištění.</w:t>
      </w:r>
    </w:p>
    <w:p w:rsidR="00D47CF4" w:rsidRPr="00A3341E" w:rsidRDefault="00D47CF4" w:rsidP="009F1CEA">
      <w:pPr>
        <w:widowControl w:val="0"/>
        <w:spacing w:before="60"/>
        <w:jc w:val="both"/>
        <w:rPr>
          <w:szCs w:val="18"/>
        </w:rPr>
      </w:pPr>
      <w:r w:rsidRPr="00A3341E">
        <w:rPr>
          <w:szCs w:val="18"/>
          <w:u w:val="single"/>
        </w:rPr>
        <w:t>Limit plnění</w:t>
      </w:r>
      <w:r w:rsidRPr="00A3341E">
        <w:rPr>
          <w:szCs w:val="18"/>
        </w:rPr>
        <w:t xml:space="preserve"> je částka jako nejvyšší možná hranice plnění pojistitele při jedné pojistné události, za jednu a </w:t>
      </w:r>
      <w:r w:rsidRPr="00A3341E">
        <w:rPr>
          <w:szCs w:val="18"/>
        </w:rPr>
        <w:lastRenderedPageBreak/>
        <w:t>všechny pojistné události, které nastaly v jednom pojistném roce.</w:t>
      </w:r>
    </w:p>
    <w:p w:rsidR="00D47CF4" w:rsidRPr="00A3341E" w:rsidRDefault="00D47CF4" w:rsidP="009F1CEA">
      <w:pPr>
        <w:spacing w:before="60"/>
        <w:jc w:val="both"/>
        <w:rPr>
          <w:szCs w:val="18"/>
        </w:rPr>
      </w:pPr>
      <w:r w:rsidRPr="00A3341E">
        <w:rPr>
          <w:szCs w:val="18"/>
          <w:u w:val="single"/>
        </w:rPr>
        <w:t>Pojistnou událostí</w:t>
      </w:r>
      <w:r w:rsidRPr="00A3341E">
        <w:rPr>
          <w:szCs w:val="18"/>
        </w:rPr>
        <w:t xml:space="preserve"> je nahodilá skutečnost blíže označená v pojistné smlouvě, se kterou je spojen vznik povinnosti pojistitele poskytnout pojistné plnění.</w:t>
      </w:r>
    </w:p>
    <w:p w:rsidR="00D47CF4" w:rsidRPr="00A3341E" w:rsidRDefault="00D47CF4" w:rsidP="009F1CEA">
      <w:pPr>
        <w:spacing w:before="60"/>
        <w:jc w:val="both"/>
        <w:rPr>
          <w:szCs w:val="18"/>
        </w:rPr>
      </w:pPr>
      <w:r w:rsidRPr="00A3341E">
        <w:rPr>
          <w:szCs w:val="18"/>
          <w:u w:val="single"/>
        </w:rPr>
        <w:t>Škodnou událostí</w:t>
      </w:r>
      <w:r w:rsidRPr="00A3341E">
        <w:rPr>
          <w:szCs w:val="18"/>
        </w:rPr>
        <w:t xml:space="preserve"> je skutečnost, ze které vznikla škoda</w:t>
      </w:r>
      <w:r w:rsidR="00E64E24">
        <w:rPr>
          <w:szCs w:val="18"/>
        </w:rPr>
        <w:t>,</w:t>
      </w:r>
      <w:r w:rsidRPr="00A3341E">
        <w:rPr>
          <w:szCs w:val="18"/>
        </w:rPr>
        <w:t xml:space="preserve"> a která by mohla být důvodem vzniku práva na pojistné plnění. </w:t>
      </w:r>
    </w:p>
    <w:p w:rsidR="00D47CF4" w:rsidRPr="00A3341E" w:rsidRDefault="00D47CF4" w:rsidP="009F1CEA">
      <w:pPr>
        <w:spacing w:before="60"/>
        <w:jc w:val="both"/>
        <w:rPr>
          <w:szCs w:val="18"/>
        </w:rPr>
      </w:pPr>
      <w:r w:rsidRPr="00A3341E">
        <w:rPr>
          <w:szCs w:val="18"/>
          <w:u w:val="single"/>
        </w:rPr>
        <w:t>Pojištěním škodovým</w:t>
      </w:r>
      <w:r w:rsidRPr="00A3341E">
        <w:rPr>
          <w:szCs w:val="18"/>
        </w:rPr>
        <w:t xml:space="preserve"> se rozumí pojištění, jehož účelem je náhrada škody vzniklé v důsledku pojistné události.</w:t>
      </w:r>
    </w:p>
    <w:p w:rsidR="00D47CF4" w:rsidRPr="00A3341E" w:rsidRDefault="00D47CF4" w:rsidP="009F1CEA">
      <w:pPr>
        <w:spacing w:before="60"/>
        <w:jc w:val="both"/>
        <w:rPr>
          <w:szCs w:val="18"/>
        </w:rPr>
      </w:pPr>
      <w:r w:rsidRPr="00A3341E">
        <w:rPr>
          <w:szCs w:val="18"/>
          <w:u w:val="single"/>
        </w:rPr>
        <w:t>Za jednu pojistnou událost</w:t>
      </w:r>
      <w:r w:rsidRPr="00A3341E">
        <w:rPr>
          <w:szCs w:val="18"/>
        </w:rPr>
        <w:t xml:space="preserve"> se považuje pojistná událost vzniklá z jedné a stejné příčiny. </w:t>
      </w:r>
    </w:p>
    <w:p w:rsidR="00D47CF4" w:rsidRPr="00A3341E" w:rsidRDefault="00D47CF4" w:rsidP="009F1CEA">
      <w:pPr>
        <w:spacing w:before="60"/>
        <w:jc w:val="both"/>
        <w:rPr>
          <w:szCs w:val="18"/>
        </w:rPr>
      </w:pPr>
      <w:r w:rsidRPr="00A3341E">
        <w:rPr>
          <w:szCs w:val="18"/>
          <w:u w:val="single"/>
        </w:rPr>
        <w:t>Spoluúčast</w:t>
      </w:r>
      <w:r w:rsidRPr="00A3341E">
        <w:rPr>
          <w:szCs w:val="18"/>
        </w:rPr>
        <w:t xml:space="preserve"> je částka dohodnutá v pojistné smlouvě, kterou se oprávněná osoba podílí na pojistném plnění. Spoluúčast je vyjádřena pevnou částkou v Kč (není-li ve smlouvě uvedeno jinak, není spoluúčast sjednána, tj. činí 0,- Kč).</w:t>
      </w:r>
    </w:p>
    <w:p w:rsidR="00D47CF4" w:rsidRPr="00A3341E" w:rsidRDefault="00D47CF4" w:rsidP="009F1CEA">
      <w:pPr>
        <w:pStyle w:val="Zkladntextodsazen"/>
        <w:spacing w:before="60"/>
        <w:jc w:val="both"/>
        <w:rPr>
          <w:rFonts w:ascii="Arial" w:hAnsi="Arial"/>
          <w:szCs w:val="18"/>
        </w:rPr>
      </w:pPr>
      <w:r w:rsidRPr="00A3341E">
        <w:rPr>
          <w:rFonts w:ascii="Arial" w:hAnsi="Arial"/>
          <w:szCs w:val="18"/>
          <w:u w:val="single"/>
        </w:rPr>
        <w:t>Cizí věci převzaté</w:t>
      </w:r>
      <w:r w:rsidRPr="00A3341E">
        <w:rPr>
          <w:rFonts w:ascii="Arial" w:hAnsi="Arial"/>
          <w:szCs w:val="18"/>
        </w:rPr>
        <w:t xml:space="preserve"> jsou věci, které pojištěný na základě písemné smlouvy převzal za účelem provedení objednané činnosti.</w:t>
      </w:r>
    </w:p>
    <w:p w:rsidR="00D47CF4" w:rsidRPr="00A3341E" w:rsidRDefault="00D47CF4" w:rsidP="009F1CEA">
      <w:pPr>
        <w:pStyle w:val="Zkladntextodsazen"/>
        <w:spacing w:before="60"/>
        <w:jc w:val="both"/>
        <w:rPr>
          <w:rFonts w:ascii="Arial" w:hAnsi="Arial"/>
          <w:szCs w:val="18"/>
        </w:rPr>
      </w:pPr>
      <w:r w:rsidRPr="00A3341E">
        <w:rPr>
          <w:rFonts w:ascii="Arial" w:hAnsi="Arial"/>
          <w:szCs w:val="18"/>
          <w:u w:val="single"/>
        </w:rPr>
        <w:t>Cizí věci užívané</w:t>
      </w:r>
      <w:r w:rsidRPr="00A3341E">
        <w:rPr>
          <w:rFonts w:ascii="Arial" w:hAnsi="Arial"/>
          <w:szCs w:val="18"/>
        </w:rPr>
        <w:t xml:space="preserve"> jsou věci, které pojištěný po právu užívá na základě smlouvy</w:t>
      </w:r>
      <w:r w:rsidR="00AD7594" w:rsidRPr="00A3341E">
        <w:rPr>
          <w:rFonts w:ascii="Arial" w:hAnsi="Arial"/>
          <w:szCs w:val="18"/>
        </w:rPr>
        <w:t xml:space="preserve"> mimo motorová vozidla</w:t>
      </w:r>
      <w:r w:rsidRPr="00A3341E">
        <w:rPr>
          <w:rFonts w:ascii="Arial" w:hAnsi="Arial"/>
          <w:szCs w:val="18"/>
        </w:rPr>
        <w:t>.</w:t>
      </w:r>
    </w:p>
    <w:p w:rsidR="00D47CF4" w:rsidRPr="00A3341E" w:rsidRDefault="00D47CF4" w:rsidP="009F1CEA">
      <w:pPr>
        <w:pStyle w:val="Zkladntextodsazen"/>
        <w:spacing w:before="60"/>
        <w:jc w:val="both"/>
        <w:rPr>
          <w:rFonts w:ascii="Arial" w:hAnsi="Arial"/>
          <w:szCs w:val="18"/>
        </w:rPr>
      </w:pPr>
      <w:r w:rsidRPr="00A3341E">
        <w:rPr>
          <w:rFonts w:ascii="Arial" w:hAnsi="Arial"/>
          <w:szCs w:val="18"/>
          <w:u w:val="single"/>
        </w:rPr>
        <w:t>Cizí věc</w:t>
      </w:r>
      <w:r w:rsidRPr="00A3341E">
        <w:rPr>
          <w:rFonts w:ascii="Arial" w:hAnsi="Arial"/>
          <w:szCs w:val="18"/>
        </w:rPr>
        <w:t xml:space="preserve">, je věc, která je pojištěným nebo pojistníkem oprávněně užívaná na základě písemné smlouvy. </w:t>
      </w:r>
    </w:p>
    <w:p w:rsidR="00D47CF4" w:rsidRPr="00A3341E" w:rsidRDefault="00D47CF4" w:rsidP="009F1CEA">
      <w:pPr>
        <w:spacing w:before="60"/>
        <w:jc w:val="both"/>
        <w:rPr>
          <w:color w:val="000000"/>
          <w:szCs w:val="18"/>
        </w:rPr>
      </w:pPr>
      <w:r w:rsidRPr="00A3341E">
        <w:rPr>
          <w:szCs w:val="18"/>
          <w:u w:val="single"/>
        </w:rPr>
        <w:t>Věci „zvláštní hodnoty“</w:t>
      </w:r>
      <w:r w:rsidRPr="00A3341E">
        <w:rPr>
          <w:b/>
          <w:bCs/>
          <w:szCs w:val="18"/>
        </w:rPr>
        <w:t xml:space="preserve"> </w:t>
      </w:r>
      <w:r w:rsidRPr="00A3341E">
        <w:rPr>
          <w:szCs w:val="18"/>
        </w:rPr>
        <w:t xml:space="preserve"> - </w:t>
      </w:r>
      <w:r w:rsidRPr="00A3341E">
        <w:rPr>
          <w:color w:val="000000"/>
          <w:szCs w:val="18"/>
        </w:rPr>
        <w:t>za věci zvláštní hodnoty se považují:</w:t>
      </w:r>
    </w:p>
    <w:p w:rsidR="00D47CF4" w:rsidRPr="00A3341E" w:rsidRDefault="00D47CF4" w:rsidP="00D963C4">
      <w:pPr>
        <w:numPr>
          <w:ilvl w:val="0"/>
          <w:numId w:val="5"/>
        </w:numPr>
        <w:ind w:left="709" w:hanging="283"/>
        <w:rPr>
          <w:color w:val="000000"/>
          <w:szCs w:val="18"/>
        </w:rPr>
      </w:pPr>
      <w:r w:rsidRPr="00A3341E">
        <w:rPr>
          <w:color w:val="000000"/>
          <w:szCs w:val="18"/>
        </w:rPr>
        <w:t xml:space="preserve">"věci umělecké hodnoty" - obrazy, grafická a sochařská díla, výrobky ze skla, keramiky a porcelánu, ručně vázané koberce, gobelíny apod., jejichž hodnota není dána pouze výrobními náklady, ale i uměleckou kvalitou a autorem díla; </w:t>
      </w:r>
    </w:p>
    <w:p w:rsidR="00D47CF4" w:rsidRPr="00A3341E" w:rsidRDefault="00D47CF4" w:rsidP="00D963C4">
      <w:pPr>
        <w:numPr>
          <w:ilvl w:val="0"/>
          <w:numId w:val="5"/>
        </w:numPr>
        <w:ind w:left="709" w:hanging="283"/>
        <w:rPr>
          <w:color w:val="000000"/>
          <w:szCs w:val="18"/>
        </w:rPr>
      </w:pPr>
      <w:r w:rsidRPr="00A3341E">
        <w:rPr>
          <w:color w:val="000000"/>
          <w:szCs w:val="18"/>
        </w:rPr>
        <w:t xml:space="preserve">"věci historické hodnoty", tj. věci, jejichž hodnota je dána tím, že mají vztah k historii, historické osobě či události apod.; </w:t>
      </w:r>
    </w:p>
    <w:p w:rsidR="00D47CF4" w:rsidRPr="00A3341E" w:rsidRDefault="00D47CF4" w:rsidP="00D963C4">
      <w:pPr>
        <w:numPr>
          <w:ilvl w:val="0"/>
          <w:numId w:val="5"/>
        </w:numPr>
        <w:ind w:left="709" w:hanging="283"/>
        <w:rPr>
          <w:color w:val="000000"/>
          <w:szCs w:val="18"/>
          <w:u w:val="single"/>
        </w:rPr>
      </w:pPr>
      <w:r w:rsidRPr="00A3341E">
        <w:rPr>
          <w:color w:val="000000"/>
          <w:szCs w:val="18"/>
        </w:rPr>
        <w:t>"starožitnosti", tj. věci zpravidla starší než 100 let, které mají taktéž uměleckou hodnotu, případně charakter unikátu</w:t>
      </w:r>
      <w:r w:rsidRPr="00A3341E">
        <w:rPr>
          <w:color w:val="000000"/>
          <w:szCs w:val="18"/>
          <w:u w:val="single"/>
        </w:rPr>
        <w:t>;</w:t>
      </w:r>
    </w:p>
    <w:p w:rsidR="00D47CF4" w:rsidRPr="00A3341E" w:rsidRDefault="00D47CF4" w:rsidP="00D963C4">
      <w:pPr>
        <w:numPr>
          <w:ilvl w:val="0"/>
          <w:numId w:val="5"/>
        </w:numPr>
        <w:ind w:left="709" w:hanging="283"/>
        <w:rPr>
          <w:color w:val="000000"/>
          <w:szCs w:val="18"/>
        </w:rPr>
      </w:pPr>
      <w:r w:rsidRPr="00A3341E">
        <w:rPr>
          <w:color w:val="000000"/>
          <w:szCs w:val="18"/>
        </w:rPr>
        <w:t>"sbírky".</w:t>
      </w:r>
    </w:p>
    <w:p w:rsidR="00D47CF4" w:rsidRPr="00A3341E" w:rsidRDefault="00D47CF4" w:rsidP="0084259D">
      <w:pPr>
        <w:rPr>
          <w:color w:val="000000"/>
          <w:szCs w:val="18"/>
        </w:rPr>
      </w:pPr>
      <w:r w:rsidRPr="00A3341E">
        <w:rPr>
          <w:color w:val="000000"/>
          <w:szCs w:val="18"/>
        </w:rPr>
        <w:t>Užíváním věci se rozumí stav, kdy má pojištěný movitou či nemovitou věc ve své moci a využívá její užitné vlastnosti včetně práva užívání prostor v nemovité věci.</w:t>
      </w:r>
    </w:p>
    <w:p w:rsidR="00D47CF4" w:rsidRPr="00387BA8" w:rsidRDefault="00D47CF4" w:rsidP="00D47CF4">
      <w:pPr>
        <w:ind w:left="720"/>
        <w:rPr>
          <w:color w:val="000000"/>
          <w:szCs w:val="22"/>
        </w:rPr>
      </w:pPr>
    </w:p>
    <w:p w:rsidR="00D47CF4" w:rsidRPr="00387BA8" w:rsidRDefault="00D47CF4" w:rsidP="002E575B">
      <w:pPr>
        <w:pStyle w:val="Nadpis1"/>
      </w:pPr>
      <w:bookmarkStart w:id="41" w:name="_Toc450552738"/>
      <w:r w:rsidRPr="00387BA8">
        <w:t>Místo pojištění</w:t>
      </w:r>
      <w:bookmarkEnd w:id="41"/>
    </w:p>
    <w:p w:rsidR="00D47CF4" w:rsidRPr="00A3341E" w:rsidRDefault="00D47CF4" w:rsidP="009F1CEA">
      <w:pPr>
        <w:widowControl w:val="0"/>
        <w:spacing w:line="280" w:lineRule="atLeast"/>
        <w:jc w:val="both"/>
        <w:rPr>
          <w:szCs w:val="18"/>
        </w:rPr>
      </w:pPr>
      <w:r w:rsidRPr="00A3341E">
        <w:rPr>
          <w:szCs w:val="18"/>
        </w:rPr>
        <w:t>Pojistitel akceptuje pro sjednání pojistné smlouvy jak</w:t>
      </w:r>
      <w:r w:rsidR="0084259D" w:rsidRPr="00A3341E">
        <w:rPr>
          <w:szCs w:val="18"/>
        </w:rPr>
        <w:t xml:space="preserve">o místo pojištění území České </w:t>
      </w:r>
      <w:r w:rsidRPr="00A3341E">
        <w:rPr>
          <w:szCs w:val="18"/>
        </w:rPr>
        <w:t>republiky (ČR)</w:t>
      </w:r>
      <w:r w:rsidR="0084259D" w:rsidRPr="00A3341E">
        <w:rPr>
          <w:szCs w:val="18"/>
        </w:rPr>
        <w:t xml:space="preserve"> dle účetní evidence pojistníka</w:t>
      </w:r>
      <w:r w:rsidRPr="00A3341E">
        <w:rPr>
          <w:szCs w:val="18"/>
        </w:rPr>
        <w:t>, pokud není v těchto obchodních podmínkách specifikováno jinak a do smlouvy nebude požadovat uvedení míst pojištění.</w:t>
      </w:r>
    </w:p>
    <w:p w:rsidR="00D47CF4" w:rsidRPr="00387BA8" w:rsidRDefault="00D47CF4" w:rsidP="0084259D">
      <w:pPr>
        <w:widowControl w:val="0"/>
        <w:spacing w:line="280" w:lineRule="atLeast"/>
        <w:rPr>
          <w:sz w:val="20"/>
        </w:rPr>
      </w:pPr>
    </w:p>
    <w:p w:rsidR="00D47CF4" w:rsidRPr="00387BA8" w:rsidRDefault="00D47CF4" w:rsidP="002E575B">
      <w:pPr>
        <w:pStyle w:val="Nadpis1"/>
      </w:pPr>
      <w:bookmarkStart w:id="42" w:name="_Toc450552739"/>
      <w:r w:rsidRPr="00387BA8">
        <w:t>Makléřská doložka</w:t>
      </w:r>
      <w:bookmarkEnd w:id="42"/>
    </w:p>
    <w:p w:rsidR="00FB219B" w:rsidRPr="00A3341E" w:rsidRDefault="00FB219B" w:rsidP="00FB219B">
      <w:pPr>
        <w:widowControl w:val="0"/>
        <w:spacing w:line="280" w:lineRule="atLeast"/>
        <w:jc w:val="both"/>
        <w:rPr>
          <w:szCs w:val="18"/>
        </w:rPr>
      </w:pPr>
      <w:r w:rsidRPr="00A3341E">
        <w:rPr>
          <w:szCs w:val="18"/>
        </w:rPr>
        <w:t xml:space="preserve">Pojištěný pověřuje pojišťovací makléřskou společnost RENOMIA, a. s., IČ: 48391301, tel.: 511 126 050, fax.: 511 126 051, se sídlem v Brně, </w:t>
      </w:r>
      <w:proofErr w:type="gramStart"/>
      <w:r w:rsidRPr="00A3341E">
        <w:rPr>
          <w:szCs w:val="18"/>
        </w:rPr>
        <w:t>Holandská 8,  vedením</w:t>
      </w:r>
      <w:proofErr w:type="gramEnd"/>
      <w:r w:rsidRPr="00A3341E">
        <w:rPr>
          <w:szCs w:val="18"/>
        </w:rPr>
        <w:t xml:space="preserve"> (řízením) a zpracováním jeho pojistného zájmu. Obchodní styk, který se bude týkat této pojistné smlouvy, bude prováděn výhradně prostřednictvím zplnomocněného makléře, společnosti RENOMIA, a. s. Pouze RENOMIA, a. s., je oprávněna přijímat rozhodnutí smluvních partnerů.</w:t>
      </w:r>
    </w:p>
    <w:p w:rsidR="00FB219B" w:rsidRPr="00387BA8" w:rsidRDefault="00FB219B" w:rsidP="003B3391">
      <w:pPr>
        <w:widowControl w:val="0"/>
        <w:spacing w:line="280" w:lineRule="atLeast"/>
        <w:jc w:val="both"/>
        <w:rPr>
          <w:sz w:val="20"/>
        </w:rPr>
      </w:pPr>
    </w:p>
    <w:p w:rsidR="00D47CF4" w:rsidRPr="00387BA8" w:rsidRDefault="00D47CF4" w:rsidP="002E575B">
      <w:pPr>
        <w:pStyle w:val="Nadpis1"/>
      </w:pPr>
      <w:bookmarkStart w:id="43" w:name="_Toc450552740"/>
      <w:r w:rsidRPr="00387BA8">
        <w:t>Změna rozsahu pojištěni</w:t>
      </w:r>
      <w:bookmarkEnd w:id="43"/>
    </w:p>
    <w:p w:rsidR="00D47CF4" w:rsidRPr="00A3341E" w:rsidRDefault="00D47CF4" w:rsidP="009F1CEA">
      <w:pPr>
        <w:widowControl w:val="0"/>
        <w:spacing w:line="280" w:lineRule="atLeast"/>
        <w:jc w:val="both"/>
        <w:rPr>
          <w:szCs w:val="18"/>
        </w:rPr>
      </w:pPr>
      <w:r w:rsidRPr="00A3341E">
        <w:rPr>
          <w:szCs w:val="18"/>
        </w:rPr>
        <w:t>Ujednává se, že pojistník může kdykoliv dle svých p</w:t>
      </w:r>
      <w:r w:rsidR="002E575B" w:rsidRPr="00A3341E">
        <w:rPr>
          <w:szCs w:val="18"/>
        </w:rPr>
        <w:t xml:space="preserve">ojistných potřeb změnit rozsah </w:t>
      </w:r>
      <w:r w:rsidRPr="00A3341E">
        <w:rPr>
          <w:szCs w:val="18"/>
        </w:rPr>
        <w:t>pojištění, pokud dojde ke změně vlastnických či jiných vztahů či důvodů majících vliv na rozsah pojištění, např. aktualizace pojistných částek pojištěného majetku. Případné nespotřebované pojistné pojistitel vrátí na účet pojistníka nejpozději do jednoho měsíce od ukončení pojištění daného pojištěného majetku,</w:t>
      </w:r>
      <w:r w:rsidR="002E575B" w:rsidRPr="00A3341E">
        <w:rPr>
          <w:szCs w:val="18"/>
        </w:rPr>
        <w:t xml:space="preserve"> </w:t>
      </w:r>
      <w:r w:rsidRPr="00A3341E">
        <w:rPr>
          <w:szCs w:val="18"/>
        </w:rPr>
        <w:t>nebude-li dohodnuto jinak.</w:t>
      </w:r>
    </w:p>
    <w:p w:rsidR="00D47CF4" w:rsidRDefault="00D47CF4" w:rsidP="00D47CF4">
      <w:pPr>
        <w:pStyle w:val="Zkladntext"/>
        <w:ind w:left="720"/>
        <w:rPr>
          <w:rFonts w:ascii="Arial" w:hAnsi="Arial"/>
          <w:color w:val="000000"/>
        </w:rPr>
      </w:pPr>
    </w:p>
    <w:p w:rsidR="00A3341E" w:rsidRDefault="00A3341E" w:rsidP="00D47CF4">
      <w:pPr>
        <w:pStyle w:val="Zkladntext"/>
        <w:ind w:left="720"/>
        <w:rPr>
          <w:rFonts w:ascii="Arial" w:hAnsi="Arial"/>
          <w:color w:val="000000"/>
        </w:rPr>
      </w:pPr>
    </w:p>
    <w:p w:rsidR="00A3341E" w:rsidRDefault="00A3341E" w:rsidP="00D47CF4">
      <w:pPr>
        <w:pStyle w:val="Zkladntext"/>
        <w:ind w:left="720"/>
        <w:rPr>
          <w:rFonts w:ascii="Arial" w:hAnsi="Arial"/>
          <w:color w:val="000000"/>
        </w:rPr>
      </w:pPr>
    </w:p>
    <w:p w:rsidR="00A3341E" w:rsidRPr="00387BA8" w:rsidRDefault="00A3341E" w:rsidP="00D47CF4">
      <w:pPr>
        <w:pStyle w:val="Zkladntext"/>
        <w:ind w:left="720"/>
        <w:rPr>
          <w:rFonts w:ascii="Arial" w:hAnsi="Arial"/>
          <w:color w:val="000000"/>
        </w:rPr>
      </w:pPr>
    </w:p>
    <w:p w:rsidR="00D47CF4" w:rsidRPr="00387BA8" w:rsidRDefault="00D47CF4" w:rsidP="002E575B">
      <w:pPr>
        <w:pStyle w:val="Nadpis1"/>
        <w:ind w:left="686" w:hanging="686"/>
        <w:jc w:val="both"/>
      </w:pPr>
      <w:bookmarkStart w:id="44" w:name="_Toc450552741"/>
      <w:r w:rsidRPr="00387BA8">
        <w:lastRenderedPageBreak/>
        <w:t xml:space="preserve">Doba, na kterou se uzavírá pojistná smlouva (doba </w:t>
      </w:r>
      <w:r w:rsidR="002E575B" w:rsidRPr="00387BA8">
        <w:t>t</w:t>
      </w:r>
      <w:r w:rsidRPr="00387BA8">
        <w:t>rvání pojištění), pojistné období</w:t>
      </w:r>
      <w:bookmarkEnd w:id="44"/>
    </w:p>
    <w:p w:rsidR="00D47CF4" w:rsidRPr="00A3341E" w:rsidRDefault="00D47CF4" w:rsidP="009F1CEA">
      <w:pPr>
        <w:widowControl w:val="0"/>
        <w:spacing w:line="280" w:lineRule="atLeast"/>
        <w:jc w:val="both"/>
        <w:rPr>
          <w:i/>
          <w:szCs w:val="18"/>
        </w:rPr>
      </w:pPr>
      <w:r w:rsidRPr="00A3341E">
        <w:rPr>
          <w:szCs w:val="18"/>
        </w:rPr>
        <w:t>Pojistná smlouva se uzaví</w:t>
      </w:r>
      <w:r w:rsidR="002E575B" w:rsidRPr="00A3341E">
        <w:rPr>
          <w:szCs w:val="18"/>
        </w:rPr>
        <w:t xml:space="preserve">rá na dobu pojištění od </w:t>
      </w:r>
      <w:proofErr w:type="gramStart"/>
      <w:r w:rsidR="002E575B" w:rsidRPr="00A3341E">
        <w:rPr>
          <w:szCs w:val="18"/>
        </w:rPr>
        <w:t>1.1</w:t>
      </w:r>
      <w:r w:rsidR="000B6D2C" w:rsidRPr="00A3341E">
        <w:rPr>
          <w:szCs w:val="18"/>
        </w:rPr>
        <w:t>1</w:t>
      </w:r>
      <w:r w:rsidR="002E575B" w:rsidRPr="00A3341E">
        <w:rPr>
          <w:szCs w:val="18"/>
        </w:rPr>
        <w:t>.2016</w:t>
      </w:r>
      <w:proofErr w:type="gramEnd"/>
      <w:r w:rsidRPr="00A3341E">
        <w:rPr>
          <w:szCs w:val="18"/>
        </w:rPr>
        <w:t xml:space="preserve"> do 31.1</w:t>
      </w:r>
      <w:r w:rsidR="000B6D2C" w:rsidRPr="00A3341E">
        <w:rPr>
          <w:szCs w:val="18"/>
        </w:rPr>
        <w:t>0</w:t>
      </w:r>
      <w:r w:rsidRPr="00A3341E">
        <w:rPr>
          <w:szCs w:val="18"/>
        </w:rPr>
        <w:t>.20</w:t>
      </w:r>
      <w:r w:rsidR="000B6D2C" w:rsidRPr="00A3341E">
        <w:rPr>
          <w:szCs w:val="18"/>
        </w:rPr>
        <w:t>20</w:t>
      </w:r>
      <w:r w:rsidRPr="00A3341E">
        <w:rPr>
          <w:szCs w:val="18"/>
        </w:rPr>
        <w:t xml:space="preserve">. Pojistné období se sjednává v délce 12 měsíců. </w:t>
      </w:r>
    </w:p>
    <w:p w:rsidR="00D47CF4" w:rsidRPr="00A3341E" w:rsidRDefault="00D47CF4" w:rsidP="00D47CF4">
      <w:pPr>
        <w:pStyle w:val="Zkladntext"/>
        <w:ind w:left="720"/>
        <w:rPr>
          <w:rFonts w:ascii="Arial" w:hAnsi="Arial"/>
          <w:i/>
          <w:iCs/>
          <w:szCs w:val="18"/>
        </w:rPr>
      </w:pPr>
    </w:p>
    <w:p w:rsidR="00D47CF4" w:rsidRPr="00387BA8" w:rsidRDefault="00D47CF4" w:rsidP="002E575B">
      <w:pPr>
        <w:pStyle w:val="Nadpis1"/>
      </w:pPr>
      <w:bookmarkStart w:id="45" w:name="_Toc171304286"/>
      <w:bookmarkStart w:id="46" w:name="_Toc171840829"/>
      <w:bookmarkStart w:id="47" w:name="_Toc173567948"/>
      <w:bookmarkStart w:id="48" w:name="_Toc450552742"/>
      <w:r w:rsidRPr="00387BA8">
        <w:t>Cena a platební podmínky</w:t>
      </w:r>
      <w:bookmarkEnd w:id="45"/>
      <w:bookmarkEnd w:id="46"/>
      <w:bookmarkEnd w:id="47"/>
      <w:bookmarkEnd w:id="48"/>
    </w:p>
    <w:p w:rsidR="00D47CF4" w:rsidRPr="00A3341E" w:rsidRDefault="00D47CF4" w:rsidP="009F1CEA">
      <w:pPr>
        <w:widowControl w:val="0"/>
        <w:spacing w:line="280" w:lineRule="atLeast"/>
        <w:jc w:val="both"/>
        <w:rPr>
          <w:szCs w:val="18"/>
        </w:rPr>
      </w:pPr>
      <w:r w:rsidRPr="00A3341E">
        <w:rPr>
          <w:szCs w:val="18"/>
        </w:rPr>
        <w:t xml:space="preserve">Výše </w:t>
      </w:r>
      <w:r w:rsidR="00C87E94" w:rsidRPr="00A3341E">
        <w:rPr>
          <w:szCs w:val="18"/>
        </w:rPr>
        <w:t xml:space="preserve">stanovených sazeb a </w:t>
      </w:r>
      <w:r w:rsidRPr="00A3341E">
        <w:rPr>
          <w:szCs w:val="18"/>
        </w:rPr>
        <w:t xml:space="preserve">pojistného je platná po celou dobu trvání pojištění. Změna </w:t>
      </w:r>
      <w:r w:rsidR="00C87E94" w:rsidRPr="00A3341E">
        <w:rPr>
          <w:szCs w:val="18"/>
        </w:rPr>
        <w:t xml:space="preserve">sazeb a </w:t>
      </w:r>
      <w:r w:rsidRPr="00A3341E">
        <w:rPr>
          <w:szCs w:val="18"/>
        </w:rPr>
        <w:t>výše pojistného v důsledku vývoje cen pojištění je nepřípustná.</w:t>
      </w:r>
      <w:r w:rsidR="00C87E94" w:rsidRPr="00A3341E">
        <w:rPr>
          <w:szCs w:val="18"/>
        </w:rPr>
        <w:t xml:space="preserve"> </w:t>
      </w:r>
    </w:p>
    <w:p w:rsidR="00C87E94" w:rsidRPr="00A3341E" w:rsidRDefault="00C87E94" w:rsidP="00C87E94">
      <w:pPr>
        <w:widowControl w:val="0"/>
        <w:spacing w:line="280" w:lineRule="atLeast"/>
        <w:jc w:val="both"/>
        <w:rPr>
          <w:szCs w:val="18"/>
        </w:rPr>
      </w:pPr>
      <w:r w:rsidRPr="00A3341E">
        <w:rPr>
          <w:szCs w:val="18"/>
        </w:rPr>
        <w:t>Pojistitel může v průběhu doby trvání pojištění pojistné sazby snížit.</w:t>
      </w:r>
    </w:p>
    <w:p w:rsidR="00D47CF4" w:rsidRPr="00A3341E" w:rsidRDefault="00D47CF4" w:rsidP="009F1CEA">
      <w:pPr>
        <w:widowControl w:val="0"/>
        <w:spacing w:line="280" w:lineRule="atLeast"/>
        <w:jc w:val="both"/>
        <w:rPr>
          <w:szCs w:val="18"/>
        </w:rPr>
      </w:pPr>
      <w:r w:rsidRPr="00A3341E">
        <w:rPr>
          <w:szCs w:val="18"/>
        </w:rPr>
        <w:t>Výše pojistného je překročiteln</w:t>
      </w:r>
      <w:r w:rsidR="002E575B" w:rsidRPr="00A3341E">
        <w:rPr>
          <w:szCs w:val="18"/>
        </w:rPr>
        <w:t>á</w:t>
      </w:r>
      <w:r w:rsidRPr="00A3341E">
        <w:rPr>
          <w:szCs w:val="18"/>
        </w:rPr>
        <w:t xml:space="preserve"> pouze při změně rozsahu pojistného krytí a změně objemu pojišťovaného majetku, resp. při zvýšení pojistné částky.</w:t>
      </w:r>
    </w:p>
    <w:p w:rsidR="00D47CF4" w:rsidRPr="00A3341E" w:rsidRDefault="00D47CF4" w:rsidP="009F1CEA">
      <w:pPr>
        <w:widowControl w:val="0"/>
        <w:spacing w:line="280" w:lineRule="atLeast"/>
        <w:jc w:val="both"/>
        <w:rPr>
          <w:szCs w:val="18"/>
        </w:rPr>
      </w:pPr>
      <w:r w:rsidRPr="00A3341E">
        <w:rPr>
          <w:szCs w:val="18"/>
        </w:rPr>
        <w:t>Úhrada bude prováděna v české měně, vždy na základě ustanovení pojistné smlouvy vybraného uchazeče na účet makléře, neurčí-li pojistník jinak, v</w:t>
      </w:r>
      <w:r w:rsidR="002E575B" w:rsidRPr="00A3341E">
        <w:rPr>
          <w:szCs w:val="18"/>
        </w:rPr>
        <w:t>e</w:t>
      </w:r>
      <w:r w:rsidRPr="00A3341E">
        <w:rPr>
          <w:szCs w:val="18"/>
        </w:rPr>
        <w:t> čtvrtletních splátkách splatných v daném pojistném období. Pojistitel nebude aplikovat při področních splátkách přirážku k</w:t>
      </w:r>
      <w:r w:rsidR="00AD7594" w:rsidRPr="00A3341E">
        <w:rPr>
          <w:szCs w:val="18"/>
        </w:rPr>
        <w:t> </w:t>
      </w:r>
      <w:r w:rsidRPr="00A3341E">
        <w:rPr>
          <w:szCs w:val="18"/>
        </w:rPr>
        <w:t>pojistnému</w:t>
      </w:r>
      <w:r w:rsidR="00AD7594" w:rsidRPr="00A3341E">
        <w:rPr>
          <w:szCs w:val="18"/>
        </w:rPr>
        <w:t>.</w:t>
      </w:r>
    </w:p>
    <w:p w:rsidR="00D47CF4" w:rsidRPr="00387BA8" w:rsidRDefault="00D47CF4" w:rsidP="009F1CEA">
      <w:pPr>
        <w:pStyle w:val="Zkladntext"/>
        <w:ind w:left="720"/>
        <w:jc w:val="both"/>
        <w:rPr>
          <w:rFonts w:ascii="Arial" w:hAnsi="Arial"/>
          <w:i/>
          <w:iCs/>
        </w:rPr>
      </w:pPr>
    </w:p>
    <w:p w:rsidR="00D47CF4" w:rsidRPr="00387BA8" w:rsidRDefault="00D47CF4" w:rsidP="002E575B">
      <w:pPr>
        <w:pStyle w:val="Nadpis1"/>
      </w:pPr>
      <w:bookmarkStart w:id="49" w:name="_Toc173567949"/>
      <w:bookmarkStart w:id="50" w:name="_Toc450552743"/>
      <w:r w:rsidRPr="00387BA8">
        <w:t>Změny smluvních podmínek</w:t>
      </w:r>
      <w:bookmarkEnd w:id="49"/>
      <w:bookmarkEnd w:id="50"/>
    </w:p>
    <w:p w:rsidR="00D47CF4" w:rsidRPr="00A3341E" w:rsidRDefault="00D47CF4" w:rsidP="009F1CEA">
      <w:pPr>
        <w:widowControl w:val="0"/>
        <w:spacing w:before="0" w:line="280" w:lineRule="atLeast"/>
        <w:jc w:val="both"/>
        <w:rPr>
          <w:szCs w:val="18"/>
        </w:rPr>
      </w:pPr>
      <w:r w:rsidRPr="00A3341E">
        <w:rPr>
          <w:szCs w:val="18"/>
        </w:rPr>
        <w:t>Veškeré změny a doplnění lze realizovat pouze formou písemných dodatků smlouvy, které budou vzestupně očíslovány, výslovně prohlášeny za dodatek této smlouvy a podepsány oprávněnými zástupci smluvních stran.</w:t>
      </w:r>
    </w:p>
    <w:p w:rsidR="00D47CF4" w:rsidRPr="00387BA8" w:rsidRDefault="00D47CF4" w:rsidP="00D47CF4">
      <w:pPr>
        <w:pStyle w:val="Zkladntextodsazen"/>
        <w:rPr>
          <w:rFonts w:ascii="Arial" w:hAnsi="Arial"/>
        </w:rPr>
      </w:pPr>
    </w:p>
    <w:p w:rsidR="00D47CF4" w:rsidRPr="00387BA8" w:rsidRDefault="00AD7594" w:rsidP="002E575B">
      <w:pPr>
        <w:pStyle w:val="Nadpis1"/>
      </w:pPr>
      <w:bookmarkStart w:id="51" w:name="_Toc450552744"/>
      <w:r w:rsidRPr="00387BA8">
        <w:t>Bonifikace</w:t>
      </w:r>
      <w:r w:rsidR="00D47CF4" w:rsidRPr="00387BA8">
        <w:t xml:space="preserve"> za příznivý škodní průběh</w:t>
      </w:r>
      <w:bookmarkEnd w:id="51"/>
    </w:p>
    <w:p w:rsidR="00EC2F70" w:rsidRPr="00A3341E" w:rsidRDefault="00EC2F70" w:rsidP="00EC2F70">
      <w:pPr>
        <w:widowControl w:val="0"/>
        <w:spacing w:line="280" w:lineRule="atLeast"/>
        <w:jc w:val="both"/>
        <w:rPr>
          <w:szCs w:val="18"/>
        </w:rPr>
      </w:pPr>
      <w:r w:rsidRPr="00A3341E">
        <w:rPr>
          <w:szCs w:val="18"/>
        </w:rPr>
        <w:t>Pojistitel na základě písemné žádosti pojistníka provede vyhodnocení škodného průběhu pojistné smlouvy za hodnocené období, kterým je uplynulé pojistné období – jeden rok. Bude-li skutečná hodnota škodného průběhu pojistné smlouvy nižší než hodnota smluvně stanovená, přizná pojistitel bonifikaci následovně:</w:t>
      </w:r>
    </w:p>
    <w:p w:rsidR="00EC2F70" w:rsidRPr="00A3341E" w:rsidRDefault="00EC2F70" w:rsidP="009F1CEA">
      <w:pPr>
        <w:pStyle w:val="Zkladntextodsazen"/>
        <w:spacing w:before="0"/>
        <w:ind w:left="709"/>
        <w:jc w:val="both"/>
        <w:rPr>
          <w:rFonts w:ascii="Arial" w:hAnsi="Arial"/>
          <w:b/>
          <w:bCs/>
          <w:szCs w:val="18"/>
          <w:u w:val="single"/>
        </w:rPr>
      </w:pPr>
    </w:p>
    <w:p w:rsidR="00D47CF4" w:rsidRPr="00A3341E" w:rsidRDefault="00D47CF4" w:rsidP="009F1CEA">
      <w:pPr>
        <w:pStyle w:val="Zkladntextodsazen"/>
        <w:spacing w:before="0"/>
        <w:ind w:left="709"/>
        <w:jc w:val="both"/>
        <w:rPr>
          <w:rFonts w:ascii="Arial" w:hAnsi="Arial"/>
          <w:b/>
          <w:bCs/>
          <w:szCs w:val="18"/>
          <w:u w:val="single"/>
        </w:rPr>
      </w:pPr>
      <w:r w:rsidRPr="00A3341E">
        <w:rPr>
          <w:rFonts w:ascii="Arial" w:hAnsi="Arial"/>
          <w:b/>
          <w:bCs/>
          <w:szCs w:val="18"/>
          <w:u w:val="single"/>
        </w:rPr>
        <w:t xml:space="preserve">Škodný průběh </w:t>
      </w:r>
      <w:r w:rsidRPr="00A3341E">
        <w:rPr>
          <w:rFonts w:ascii="Arial" w:hAnsi="Arial"/>
          <w:b/>
          <w:bCs/>
          <w:szCs w:val="18"/>
          <w:u w:val="single"/>
        </w:rPr>
        <w:tab/>
      </w:r>
      <w:r w:rsidRPr="00A3341E">
        <w:rPr>
          <w:rFonts w:ascii="Arial" w:hAnsi="Arial"/>
          <w:b/>
          <w:bCs/>
          <w:szCs w:val="18"/>
          <w:u w:val="single"/>
        </w:rPr>
        <w:tab/>
      </w:r>
      <w:r w:rsidRPr="00A3341E">
        <w:rPr>
          <w:rFonts w:ascii="Arial" w:hAnsi="Arial"/>
          <w:b/>
          <w:bCs/>
          <w:szCs w:val="18"/>
          <w:u w:val="single"/>
        </w:rPr>
        <w:tab/>
      </w:r>
      <w:r w:rsidRPr="00A3341E">
        <w:rPr>
          <w:rFonts w:ascii="Arial" w:hAnsi="Arial"/>
          <w:b/>
          <w:bCs/>
          <w:szCs w:val="18"/>
          <w:u w:val="single"/>
        </w:rPr>
        <w:tab/>
      </w:r>
      <w:r w:rsidR="002E575B" w:rsidRPr="00A3341E">
        <w:rPr>
          <w:rFonts w:ascii="Arial" w:hAnsi="Arial"/>
          <w:b/>
          <w:bCs/>
          <w:szCs w:val="18"/>
          <w:u w:val="single"/>
        </w:rPr>
        <w:tab/>
      </w:r>
      <w:r w:rsidR="00AD7594" w:rsidRPr="00A3341E">
        <w:rPr>
          <w:rFonts w:ascii="Arial" w:hAnsi="Arial"/>
          <w:b/>
          <w:bCs/>
          <w:szCs w:val="18"/>
          <w:u w:val="single"/>
        </w:rPr>
        <w:t>Bonifikace</w:t>
      </w:r>
    </w:p>
    <w:p w:rsidR="00D47CF4" w:rsidRPr="00A3341E" w:rsidRDefault="00D47CF4" w:rsidP="009F1CEA">
      <w:pPr>
        <w:pStyle w:val="Zkladntextodsazen"/>
        <w:spacing w:before="0"/>
        <w:ind w:left="709"/>
        <w:jc w:val="both"/>
        <w:rPr>
          <w:rFonts w:ascii="Arial" w:hAnsi="Arial"/>
          <w:b/>
          <w:bCs/>
          <w:szCs w:val="18"/>
        </w:rPr>
      </w:pPr>
    </w:p>
    <w:p w:rsidR="00D47CF4" w:rsidRPr="00A3341E" w:rsidRDefault="00AD7594" w:rsidP="00EC2F70">
      <w:pPr>
        <w:pStyle w:val="Zkladntextodsazen"/>
        <w:tabs>
          <w:tab w:val="left" w:pos="5670"/>
        </w:tabs>
        <w:spacing w:before="0"/>
        <w:ind w:left="709"/>
        <w:jc w:val="both"/>
        <w:rPr>
          <w:rFonts w:ascii="Arial" w:hAnsi="Arial"/>
          <w:b/>
          <w:bCs/>
          <w:szCs w:val="18"/>
        </w:rPr>
      </w:pPr>
      <w:r w:rsidRPr="00A3341E">
        <w:rPr>
          <w:rFonts w:ascii="Arial" w:hAnsi="Arial"/>
          <w:b/>
          <w:bCs/>
          <w:szCs w:val="18"/>
        </w:rPr>
        <w:t>0 % do 1</w:t>
      </w:r>
      <w:r w:rsidR="00D47CF4" w:rsidRPr="00A3341E">
        <w:rPr>
          <w:rFonts w:ascii="Arial" w:hAnsi="Arial"/>
          <w:b/>
          <w:bCs/>
          <w:szCs w:val="18"/>
        </w:rPr>
        <w:t>0 %</w:t>
      </w:r>
      <w:r w:rsidR="00D47CF4" w:rsidRPr="00A3341E">
        <w:rPr>
          <w:rFonts w:ascii="Arial" w:hAnsi="Arial"/>
          <w:b/>
          <w:bCs/>
          <w:szCs w:val="18"/>
        </w:rPr>
        <w:tab/>
      </w:r>
      <w:r w:rsidRPr="00A3341E">
        <w:rPr>
          <w:rFonts w:ascii="Arial" w:hAnsi="Arial"/>
          <w:b/>
          <w:bCs/>
          <w:szCs w:val="18"/>
        </w:rPr>
        <w:t>15</w:t>
      </w:r>
      <w:r w:rsidR="00D47CF4" w:rsidRPr="00A3341E">
        <w:rPr>
          <w:rFonts w:ascii="Arial" w:hAnsi="Arial"/>
          <w:b/>
          <w:bCs/>
          <w:szCs w:val="18"/>
        </w:rPr>
        <w:t xml:space="preserve"> %</w:t>
      </w:r>
    </w:p>
    <w:p w:rsidR="00D47CF4" w:rsidRPr="00A3341E" w:rsidRDefault="00AD7594" w:rsidP="00EC2F70">
      <w:pPr>
        <w:pStyle w:val="Zkladntextodsazen"/>
        <w:tabs>
          <w:tab w:val="left" w:pos="5670"/>
        </w:tabs>
        <w:spacing w:before="0"/>
        <w:ind w:left="709"/>
        <w:jc w:val="both"/>
        <w:rPr>
          <w:rFonts w:ascii="Arial" w:hAnsi="Arial"/>
          <w:b/>
          <w:bCs/>
          <w:szCs w:val="18"/>
        </w:rPr>
      </w:pPr>
      <w:r w:rsidRPr="00A3341E">
        <w:rPr>
          <w:rFonts w:ascii="Arial" w:hAnsi="Arial"/>
          <w:b/>
          <w:bCs/>
          <w:szCs w:val="18"/>
        </w:rPr>
        <w:t>více než 1</w:t>
      </w:r>
      <w:r w:rsidR="00D47CF4" w:rsidRPr="00A3341E">
        <w:rPr>
          <w:rFonts w:ascii="Arial" w:hAnsi="Arial"/>
          <w:b/>
          <w:bCs/>
          <w:szCs w:val="18"/>
        </w:rPr>
        <w:t>0 % do</w:t>
      </w:r>
      <w:r w:rsidRPr="00A3341E">
        <w:rPr>
          <w:rFonts w:ascii="Arial" w:hAnsi="Arial"/>
          <w:b/>
          <w:bCs/>
          <w:szCs w:val="18"/>
        </w:rPr>
        <w:t xml:space="preserve"> 15</w:t>
      </w:r>
      <w:r w:rsidR="00EC2F70" w:rsidRPr="00A3341E">
        <w:rPr>
          <w:rFonts w:ascii="Arial" w:hAnsi="Arial"/>
          <w:b/>
          <w:bCs/>
          <w:szCs w:val="18"/>
        </w:rPr>
        <w:t xml:space="preserve"> %</w:t>
      </w:r>
      <w:r w:rsidR="00EC2F70" w:rsidRPr="00A3341E">
        <w:rPr>
          <w:rFonts w:ascii="Arial" w:hAnsi="Arial"/>
          <w:b/>
          <w:bCs/>
          <w:szCs w:val="18"/>
        </w:rPr>
        <w:tab/>
      </w:r>
      <w:r w:rsidRPr="00A3341E">
        <w:rPr>
          <w:rFonts w:ascii="Arial" w:hAnsi="Arial"/>
          <w:b/>
          <w:bCs/>
          <w:szCs w:val="18"/>
        </w:rPr>
        <w:t>10</w:t>
      </w:r>
      <w:r w:rsidR="00D47CF4" w:rsidRPr="00A3341E">
        <w:rPr>
          <w:rFonts w:ascii="Arial" w:hAnsi="Arial"/>
          <w:b/>
          <w:bCs/>
          <w:szCs w:val="18"/>
        </w:rPr>
        <w:t xml:space="preserve"> %</w:t>
      </w:r>
    </w:p>
    <w:p w:rsidR="00D47CF4" w:rsidRPr="00A3341E" w:rsidRDefault="00D47CF4" w:rsidP="00EC2F70">
      <w:pPr>
        <w:pStyle w:val="Zkladntextodsazen"/>
        <w:tabs>
          <w:tab w:val="left" w:pos="5670"/>
        </w:tabs>
        <w:spacing w:before="0"/>
        <w:ind w:left="709"/>
        <w:jc w:val="both"/>
        <w:rPr>
          <w:rFonts w:ascii="Arial" w:hAnsi="Arial"/>
          <w:b/>
          <w:bCs/>
          <w:szCs w:val="18"/>
        </w:rPr>
      </w:pPr>
      <w:r w:rsidRPr="00A3341E">
        <w:rPr>
          <w:rFonts w:ascii="Arial" w:hAnsi="Arial"/>
          <w:b/>
          <w:bCs/>
          <w:szCs w:val="18"/>
        </w:rPr>
        <w:t xml:space="preserve">více než </w:t>
      </w:r>
      <w:r w:rsidR="00AD7594" w:rsidRPr="00A3341E">
        <w:rPr>
          <w:rFonts w:ascii="Arial" w:hAnsi="Arial"/>
          <w:b/>
          <w:bCs/>
          <w:szCs w:val="18"/>
        </w:rPr>
        <w:t>15 % do 20</w:t>
      </w:r>
      <w:r w:rsidRPr="00A3341E">
        <w:rPr>
          <w:rFonts w:ascii="Arial" w:hAnsi="Arial"/>
          <w:b/>
          <w:bCs/>
          <w:szCs w:val="18"/>
        </w:rPr>
        <w:t>%</w:t>
      </w:r>
      <w:r w:rsidRPr="00A3341E">
        <w:rPr>
          <w:rFonts w:ascii="Arial" w:hAnsi="Arial"/>
          <w:b/>
          <w:bCs/>
          <w:szCs w:val="18"/>
        </w:rPr>
        <w:tab/>
      </w:r>
      <w:r w:rsidR="00AD7594" w:rsidRPr="00A3341E">
        <w:rPr>
          <w:rFonts w:ascii="Arial" w:hAnsi="Arial"/>
          <w:b/>
          <w:bCs/>
          <w:szCs w:val="18"/>
        </w:rPr>
        <w:t xml:space="preserve">  </w:t>
      </w:r>
      <w:r w:rsidRPr="00A3341E">
        <w:rPr>
          <w:rFonts w:ascii="Arial" w:hAnsi="Arial"/>
          <w:b/>
          <w:bCs/>
          <w:szCs w:val="18"/>
        </w:rPr>
        <w:t>5%</w:t>
      </w:r>
    </w:p>
    <w:p w:rsidR="00E96D56" w:rsidRPr="00A3341E" w:rsidRDefault="00E96D56" w:rsidP="00D963C4">
      <w:pPr>
        <w:widowControl w:val="0"/>
        <w:numPr>
          <w:ilvl w:val="0"/>
          <w:numId w:val="12"/>
        </w:numPr>
        <w:spacing w:line="280" w:lineRule="atLeast"/>
        <w:ind w:left="284" w:hanging="284"/>
        <w:jc w:val="both"/>
        <w:rPr>
          <w:szCs w:val="18"/>
        </w:rPr>
      </w:pPr>
      <w:r w:rsidRPr="00A3341E">
        <w:rPr>
          <w:szCs w:val="18"/>
        </w:rPr>
        <w:t xml:space="preserve">Škodný průběh je poměr mezi vyplaceným plněním (vč. rezervy na škody vzniklé, nahlášené, ale v době výpočtu škodného průběhu nevyplacené) a zaplaceným pojistným za hodnocené období – pojistné období – jeden rok, vyjádřený v procentech. Od vyplaceného plnění pojistitel odečítá přijaté regresy. </w:t>
      </w:r>
    </w:p>
    <w:p w:rsidR="00E96D56" w:rsidRPr="00A3341E" w:rsidRDefault="00E96D56" w:rsidP="00D963C4">
      <w:pPr>
        <w:widowControl w:val="0"/>
        <w:numPr>
          <w:ilvl w:val="0"/>
          <w:numId w:val="12"/>
        </w:numPr>
        <w:spacing w:line="280" w:lineRule="atLeast"/>
        <w:ind w:left="284" w:hanging="284"/>
        <w:jc w:val="both"/>
        <w:rPr>
          <w:szCs w:val="18"/>
        </w:rPr>
      </w:pPr>
      <w:r w:rsidRPr="00A3341E">
        <w:rPr>
          <w:szCs w:val="18"/>
        </w:rPr>
        <w:t xml:space="preserve">Na bonifikaci nemá pojistník nárok, pokud v předchozím hodnoceném období byl škodný průběh z pojistné smlouvy vyšší než </w:t>
      </w:r>
      <w:r w:rsidR="000B6D2C" w:rsidRPr="00A3341E">
        <w:rPr>
          <w:szCs w:val="18"/>
        </w:rPr>
        <w:t>40</w:t>
      </w:r>
      <w:r w:rsidRPr="00A3341E">
        <w:rPr>
          <w:szCs w:val="18"/>
        </w:rPr>
        <w:t xml:space="preserve"> %.</w:t>
      </w:r>
    </w:p>
    <w:p w:rsidR="00E96D56" w:rsidRPr="00A3341E" w:rsidRDefault="00E96D56" w:rsidP="00D963C4">
      <w:pPr>
        <w:widowControl w:val="0"/>
        <w:numPr>
          <w:ilvl w:val="0"/>
          <w:numId w:val="12"/>
        </w:numPr>
        <w:spacing w:line="280" w:lineRule="atLeast"/>
        <w:ind w:left="284" w:hanging="284"/>
        <w:jc w:val="both"/>
        <w:rPr>
          <w:szCs w:val="18"/>
        </w:rPr>
      </w:pPr>
      <w:r w:rsidRPr="00A3341E">
        <w:rPr>
          <w:szCs w:val="18"/>
        </w:rPr>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E96D56" w:rsidRPr="00A3341E" w:rsidRDefault="00E96D56" w:rsidP="00D963C4">
      <w:pPr>
        <w:widowControl w:val="0"/>
        <w:numPr>
          <w:ilvl w:val="0"/>
          <w:numId w:val="12"/>
        </w:numPr>
        <w:spacing w:line="280" w:lineRule="atLeast"/>
        <w:ind w:left="284" w:hanging="284"/>
        <w:jc w:val="both"/>
        <w:rPr>
          <w:szCs w:val="18"/>
        </w:rPr>
      </w:pPr>
      <w:r w:rsidRPr="00A3341E">
        <w:rPr>
          <w:szCs w:val="18"/>
        </w:rPr>
        <w:t xml:space="preserve">Podmínkou pro vyplacení bonifikace je uhrazení předepsaného pojistného za hodnocené období. Nárok na bonifikaci nevznikne při ukončení platnosti pojistné smlouvy před uplynutím jednoho pojistného období - roku. </w:t>
      </w:r>
    </w:p>
    <w:p w:rsidR="00E96D56" w:rsidRPr="00A3341E" w:rsidRDefault="00E96D56" w:rsidP="00D963C4">
      <w:pPr>
        <w:widowControl w:val="0"/>
        <w:numPr>
          <w:ilvl w:val="0"/>
          <w:numId w:val="12"/>
        </w:numPr>
        <w:spacing w:line="280" w:lineRule="atLeast"/>
        <w:ind w:left="284" w:hanging="284"/>
        <w:jc w:val="both"/>
        <w:rPr>
          <w:szCs w:val="18"/>
        </w:rPr>
      </w:pPr>
      <w:r w:rsidRPr="00A3341E">
        <w:rPr>
          <w:szCs w:val="18"/>
        </w:rPr>
        <w:t>Pojistitel poukáže jednorázově bonifikaci pojistníkovi do tří měsíců ode dne, kdy o ni pojistník požádal, nejdříve však tři měsíce po uplynutí hodnoceného období.</w:t>
      </w:r>
    </w:p>
    <w:p w:rsidR="00E96D56" w:rsidRPr="00A3341E" w:rsidRDefault="00E96D56" w:rsidP="00D963C4">
      <w:pPr>
        <w:widowControl w:val="0"/>
        <w:numPr>
          <w:ilvl w:val="0"/>
          <w:numId w:val="12"/>
        </w:numPr>
        <w:spacing w:line="280" w:lineRule="atLeast"/>
        <w:ind w:left="284" w:hanging="284"/>
        <w:jc w:val="both"/>
        <w:rPr>
          <w:szCs w:val="18"/>
        </w:rPr>
      </w:pPr>
      <w:r w:rsidRPr="00A3341E">
        <w:rPr>
          <w:szCs w:val="18"/>
        </w:rPr>
        <w:t xml:space="preserve">V případě, že pojistník po uzavření hodnoceného období uplatní nárok na plnění z pojistné události v takové </w:t>
      </w:r>
      <w:r w:rsidRPr="00A3341E">
        <w:rPr>
          <w:szCs w:val="18"/>
        </w:rPr>
        <w:lastRenderedPageBreak/>
        <w:t>výši, která zpětně ruší nárok na bonifikaci nebo mění výši bonifikace, sníží pojistitel plnění z pojistné události o částku odpovídající přeplacené bonifikaci, nebo pojistník vrátí celou bonifikaci nebo část odpovídající přeplatku.</w:t>
      </w:r>
    </w:p>
    <w:p w:rsidR="0055142D" w:rsidRDefault="0055142D" w:rsidP="00D47CF4"/>
    <w:p w:rsidR="00706E7B" w:rsidRDefault="00706E7B" w:rsidP="00706E7B">
      <w:pPr>
        <w:pStyle w:val="Nadpis1"/>
      </w:pPr>
      <w:bookmarkStart w:id="52" w:name="_Toc395097630"/>
      <w:bookmarkStart w:id="53" w:name="_Toc450552745"/>
      <w:r>
        <w:t>Škodní průběh</w:t>
      </w:r>
      <w:bookmarkEnd w:id="52"/>
      <w:r>
        <w:t xml:space="preserve"> 2012-2015</w:t>
      </w:r>
      <w:bookmarkEnd w:id="53"/>
    </w:p>
    <w:p w:rsidR="00D47CF4" w:rsidRDefault="00706E7B" w:rsidP="00D47CF4">
      <w:pPr>
        <w:pStyle w:val="Nadpis2"/>
      </w:pPr>
      <w:bookmarkStart w:id="54" w:name="_Toc268196557"/>
      <w:bookmarkStart w:id="55" w:name="_Toc450552746"/>
      <w:r>
        <w:t>Pojištění majetku</w:t>
      </w:r>
      <w:bookmarkEnd w:id="54"/>
      <w:bookmarkEnd w:id="55"/>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A0" w:firstRow="1" w:lastRow="0" w:firstColumn="1" w:lastColumn="0" w:noHBand="1" w:noVBand="1"/>
      </w:tblPr>
      <w:tblGrid>
        <w:gridCol w:w="2093"/>
        <w:gridCol w:w="4961"/>
        <w:gridCol w:w="2232"/>
      </w:tblGrid>
      <w:tr w:rsidR="00706E7B" w:rsidRPr="000E2166" w:rsidTr="00EF33CD">
        <w:tc>
          <w:tcPr>
            <w:tcW w:w="1127" w:type="pct"/>
            <w:tcBorders>
              <w:top w:val="single" w:sz="4" w:space="0" w:color="808080"/>
              <w:left w:val="single" w:sz="4" w:space="0" w:color="808080"/>
              <w:bottom w:val="single" w:sz="4" w:space="0" w:color="808080"/>
              <w:right w:val="single" w:sz="4" w:space="0" w:color="808080"/>
            </w:tcBorders>
            <w:shd w:val="clear" w:color="auto" w:fill="283164"/>
            <w:vAlign w:val="center"/>
          </w:tcPr>
          <w:p w:rsidR="00706E7B" w:rsidRPr="00EF33CD" w:rsidRDefault="00706E7B" w:rsidP="00EF33CD">
            <w:pPr>
              <w:pStyle w:val="TabulkaTL"/>
              <w:tabs>
                <w:tab w:val="center" w:pos="4536"/>
                <w:tab w:val="right" w:pos="9072"/>
              </w:tabs>
              <w:rPr>
                <w:b/>
                <w:bCs/>
                <w:color w:val="FFFFFF"/>
              </w:rPr>
            </w:pPr>
            <w:r w:rsidRPr="00EF33CD">
              <w:rPr>
                <w:b/>
                <w:bCs/>
                <w:color w:val="FFFFFF"/>
              </w:rPr>
              <w:t>Datum vzniku škody</w:t>
            </w:r>
          </w:p>
        </w:tc>
        <w:tc>
          <w:tcPr>
            <w:tcW w:w="2671" w:type="pct"/>
            <w:tcBorders>
              <w:top w:val="single" w:sz="4" w:space="0" w:color="808080"/>
              <w:left w:val="single" w:sz="4" w:space="0" w:color="808080"/>
              <w:bottom w:val="single" w:sz="4" w:space="0" w:color="808080"/>
              <w:right w:val="single" w:sz="4" w:space="0" w:color="808080"/>
            </w:tcBorders>
            <w:shd w:val="clear" w:color="auto" w:fill="283164"/>
            <w:vAlign w:val="center"/>
          </w:tcPr>
          <w:p w:rsidR="00706E7B" w:rsidRPr="003A4C87" w:rsidRDefault="00706E7B" w:rsidP="00EF33CD">
            <w:pPr>
              <w:pStyle w:val="TabulkaNM"/>
              <w:rPr>
                <w:bCs/>
                <w:lang w:val="cs-CZ"/>
              </w:rPr>
            </w:pPr>
            <w:r w:rsidRPr="003A4C87">
              <w:rPr>
                <w:bCs/>
                <w:lang w:val="cs-CZ"/>
              </w:rPr>
              <w:t>Specifikace</w:t>
            </w:r>
          </w:p>
        </w:tc>
        <w:tc>
          <w:tcPr>
            <w:tcW w:w="1202" w:type="pct"/>
            <w:tcBorders>
              <w:top w:val="single" w:sz="4" w:space="0" w:color="808080"/>
              <w:left w:val="single" w:sz="4" w:space="0" w:color="808080"/>
              <w:bottom w:val="single" w:sz="4" w:space="0" w:color="808080"/>
              <w:right w:val="single" w:sz="4" w:space="0" w:color="808080"/>
            </w:tcBorders>
            <w:shd w:val="clear" w:color="auto" w:fill="283164"/>
            <w:vAlign w:val="center"/>
          </w:tcPr>
          <w:p w:rsidR="00706E7B" w:rsidRPr="003A4C87" w:rsidRDefault="00706E7B" w:rsidP="00EF33CD">
            <w:pPr>
              <w:pStyle w:val="TabulkaNM"/>
              <w:rPr>
                <w:bCs/>
                <w:lang w:val="cs-CZ"/>
              </w:rPr>
            </w:pPr>
            <w:r w:rsidRPr="003A4C87">
              <w:rPr>
                <w:bCs/>
                <w:lang w:val="cs-CZ"/>
              </w:rPr>
              <w:t>Výše škody (Kč)</w:t>
            </w:r>
          </w:p>
        </w:tc>
      </w:tr>
      <w:tr w:rsidR="00B948E9" w:rsidRPr="000E2166" w:rsidTr="00EF33CD">
        <w:tc>
          <w:tcPr>
            <w:tcW w:w="1127" w:type="pct"/>
            <w:shd w:val="clear" w:color="auto" w:fill="D9D9D9"/>
          </w:tcPr>
          <w:p w:rsidR="00706E7B" w:rsidRPr="00EF33CD" w:rsidRDefault="00706E7B" w:rsidP="00EF33CD">
            <w:pPr>
              <w:pStyle w:val="TabulkaTL"/>
              <w:tabs>
                <w:tab w:val="center" w:pos="4536"/>
                <w:tab w:val="right" w:pos="9072"/>
              </w:tabs>
              <w:rPr>
                <w:b/>
                <w:bCs/>
              </w:rPr>
            </w:pPr>
            <w:r w:rsidRPr="00EF33CD">
              <w:rPr>
                <w:b/>
                <w:bCs/>
              </w:rPr>
              <w:t xml:space="preserve">Škody nad 50 000 Kč </w:t>
            </w:r>
          </w:p>
        </w:tc>
        <w:tc>
          <w:tcPr>
            <w:tcW w:w="2671" w:type="pct"/>
            <w:shd w:val="clear" w:color="auto" w:fill="D9D9D9"/>
          </w:tcPr>
          <w:p w:rsidR="00706E7B" w:rsidRPr="00733DF9" w:rsidRDefault="00706E7B" w:rsidP="00EF33CD">
            <w:pPr>
              <w:pStyle w:val="TabulkaTL"/>
              <w:tabs>
                <w:tab w:val="center" w:pos="4536"/>
                <w:tab w:val="right" w:pos="9072"/>
              </w:tabs>
            </w:pPr>
          </w:p>
        </w:tc>
        <w:tc>
          <w:tcPr>
            <w:tcW w:w="1202" w:type="pct"/>
            <w:shd w:val="clear" w:color="auto" w:fill="D9D9D9"/>
          </w:tcPr>
          <w:p w:rsidR="00706E7B" w:rsidRPr="00733DF9" w:rsidRDefault="00706E7B" w:rsidP="00EF33CD">
            <w:pPr>
              <w:pStyle w:val="TabulkaTL"/>
              <w:tabs>
                <w:tab w:val="center" w:pos="4536"/>
                <w:tab w:val="right" w:pos="9072"/>
              </w:tabs>
              <w:jc w:val="right"/>
            </w:pP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7.12.2015</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Voda z vodovodního zařízení</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EF33CD">
              <w:rPr>
                <w:rFonts w:eastAsia="Calibri" w:cs="Times New Roman"/>
                <w:color w:val="000000"/>
                <w:sz w:val="16"/>
                <w:szCs w:val="16"/>
              </w:rPr>
              <w:t>(</w:t>
            </w:r>
            <w:r w:rsidRPr="00706E7B">
              <w:rPr>
                <w:rFonts w:eastAsia="Calibri" w:cs="Times New Roman"/>
                <w:color w:val="000000"/>
                <w:sz w:val="16"/>
                <w:szCs w:val="16"/>
              </w:rPr>
              <w:t>200 000,- Kč</w:t>
            </w:r>
            <w:r w:rsidRPr="00EF33CD">
              <w:rPr>
                <w:rFonts w:eastAsia="Calibri" w:cs="Times New Roman"/>
                <w:color w:val="000000"/>
                <w:sz w:val="16"/>
                <w:szCs w:val="16"/>
              </w:rPr>
              <w:t xml:space="preserve">) - </w:t>
            </w:r>
            <w:r w:rsidRPr="00706E7B">
              <w:rPr>
                <w:rFonts w:eastAsia="Calibri" w:cs="Times New Roman"/>
                <w:color w:val="000000"/>
                <w:sz w:val="16"/>
                <w:szCs w:val="16"/>
              </w:rPr>
              <w:t xml:space="preserve"> v šetření</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26.11.2015</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Voda z vodovodního zařízení</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95 945,-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14.9.2015</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Vichřice</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317 467,-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27.7.2015</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Voda z vodovodního zařízení</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117 596,-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17.2.2015</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Odcizení/vandalismus</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58 686,-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13.9.2013</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Odcizení/vandalismus</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108 777,-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19.8.2013</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 xml:space="preserve">Zatečení </w:t>
            </w:r>
            <w:proofErr w:type="spellStart"/>
            <w:r w:rsidRPr="00706E7B">
              <w:rPr>
                <w:rFonts w:eastAsia="Calibri" w:cs="Times New Roman"/>
                <w:color w:val="000000"/>
                <w:sz w:val="16"/>
                <w:szCs w:val="16"/>
              </w:rPr>
              <w:t>atmosferických</w:t>
            </w:r>
            <w:proofErr w:type="spellEnd"/>
            <w:r w:rsidRPr="00706E7B">
              <w:rPr>
                <w:rFonts w:eastAsia="Calibri" w:cs="Times New Roman"/>
                <w:color w:val="000000"/>
                <w:sz w:val="16"/>
                <w:szCs w:val="16"/>
              </w:rPr>
              <w:t xml:space="preserve"> srážek</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241 714,-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18.6.2013</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Požár</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264 859,-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10.5.2013</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Odcizení/vandalismus</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84 995,-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10.5.2013</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Voda z vodovodního zařízení</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446 599,- Kč</w:t>
            </w:r>
          </w:p>
        </w:tc>
      </w:tr>
      <w:tr w:rsidR="00706E7B" w:rsidRPr="000E2166" w:rsidTr="0055142D">
        <w:trPr>
          <w:trHeight w:val="284"/>
        </w:trPr>
        <w:tc>
          <w:tcPr>
            <w:tcW w:w="1127" w:type="pct"/>
            <w:shd w:val="clear" w:color="auto" w:fill="auto"/>
            <w:vAlign w:val="center"/>
          </w:tcPr>
          <w:p w:rsidR="00706E7B" w:rsidRPr="00706E7B" w:rsidRDefault="00706E7B"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9.6.2015</w:t>
            </w:r>
            <w:proofErr w:type="gramEnd"/>
          </w:p>
        </w:tc>
        <w:tc>
          <w:tcPr>
            <w:tcW w:w="2671" w:type="pct"/>
            <w:shd w:val="clear" w:color="auto" w:fill="auto"/>
            <w:vAlign w:val="center"/>
          </w:tcPr>
          <w:p w:rsidR="00706E7B" w:rsidRPr="00706E7B" w:rsidRDefault="00706E7B" w:rsidP="00EF33CD">
            <w:pPr>
              <w:spacing w:before="0"/>
              <w:rPr>
                <w:rFonts w:eastAsia="Calibri" w:cs="Times New Roman"/>
                <w:color w:val="000000"/>
                <w:sz w:val="16"/>
                <w:szCs w:val="16"/>
              </w:rPr>
            </w:pPr>
            <w:r w:rsidRPr="00706E7B">
              <w:rPr>
                <w:rFonts w:eastAsia="Calibri" w:cs="Times New Roman"/>
                <w:color w:val="000000"/>
                <w:sz w:val="16"/>
                <w:szCs w:val="16"/>
              </w:rPr>
              <w:t>Voda z vodovodního zařízení</w:t>
            </w:r>
          </w:p>
        </w:tc>
        <w:tc>
          <w:tcPr>
            <w:tcW w:w="1202" w:type="pct"/>
            <w:shd w:val="clear" w:color="auto" w:fill="auto"/>
            <w:vAlign w:val="center"/>
          </w:tcPr>
          <w:p w:rsidR="00706E7B" w:rsidRPr="00706E7B" w:rsidRDefault="00706E7B" w:rsidP="00EF33CD">
            <w:pPr>
              <w:spacing w:before="0"/>
              <w:jc w:val="right"/>
              <w:rPr>
                <w:rFonts w:eastAsia="Calibri" w:cs="Times New Roman"/>
                <w:color w:val="000000"/>
                <w:sz w:val="16"/>
                <w:szCs w:val="16"/>
              </w:rPr>
            </w:pPr>
            <w:r w:rsidRPr="00706E7B">
              <w:rPr>
                <w:rFonts w:eastAsia="Calibri" w:cs="Times New Roman"/>
                <w:color w:val="000000"/>
                <w:sz w:val="16"/>
                <w:szCs w:val="16"/>
              </w:rPr>
              <w:t>90 261,- Kč</w:t>
            </w:r>
          </w:p>
        </w:tc>
      </w:tr>
      <w:tr w:rsidR="00B948E9" w:rsidRPr="000E2166" w:rsidTr="00EF33CD">
        <w:tc>
          <w:tcPr>
            <w:tcW w:w="1127" w:type="pct"/>
            <w:shd w:val="clear" w:color="auto" w:fill="D9D9D9"/>
          </w:tcPr>
          <w:p w:rsidR="00706E7B" w:rsidRPr="00EF33CD" w:rsidRDefault="00706E7B" w:rsidP="00EF33CD">
            <w:pPr>
              <w:pStyle w:val="TabulkaTL"/>
              <w:tabs>
                <w:tab w:val="center" w:pos="4536"/>
                <w:tab w:val="right" w:pos="9072"/>
              </w:tabs>
              <w:rPr>
                <w:b/>
                <w:bCs/>
              </w:rPr>
            </w:pPr>
            <w:r w:rsidRPr="00EF33CD">
              <w:rPr>
                <w:b/>
                <w:bCs/>
              </w:rPr>
              <w:t>Škody do 50 000 Kč (souhrnně)</w:t>
            </w:r>
          </w:p>
        </w:tc>
        <w:tc>
          <w:tcPr>
            <w:tcW w:w="2671" w:type="pct"/>
            <w:shd w:val="clear" w:color="auto" w:fill="D9D9D9"/>
          </w:tcPr>
          <w:p w:rsidR="00706E7B" w:rsidRPr="00733DF9" w:rsidRDefault="00706E7B" w:rsidP="00EF33CD">
            <w:pPr>
              <w:pStyle w:val="TabulkaTL"/>
              <w:tabs>
                <w:tab w:val="center" w:pos="4536"/>
                <w:tab w:val="right" w:pos="9072"/>
              </w:tabs>
            </w:pPr>
          </w:p>
        </w:tc>
        <w:tc>
          <w:tcPr>
            <w:tcW w:w="1202" w:type="pct"/>
            <w:shd w:val="clear" w:color="auto" w:fill="D9D9D9"/>
          </w:tcPr>
          <w:p w:rsidR="00706E7B" w:rsidRPr="00733DF9" w:rsidRDefault="00706E7B" w:rsidP="00EF33CD">
            <w:pPr>
              <w:pStyle w:val="TabulkaTL"/>
              <w:tabs>
                <w:tab w:val="center" w:pos="4536"/>
                <w:tab w:val="right" w:pos="9072"/>
              </w:tabs>
              <w:jc w:val="right"/>
            </w:pPr>
          </w:p>
        </w:tc>
      </w:tr>
      <w:tr w:rsidR="00706E7B" w:rsidRPr="000E2166" w:rsidTr="0055142D">
        <w:trPr>
          <w:trHeight w:val="284"/>
        </w:trPr>
        <w:tc>
          <w:tcPr>
            <w:tcW w:w="1127" w:type="pct"/>
            <w:shd w:val="clear" w:color="auto" w:fill="auto"/>
            <w:vAlign w:val="center"/>
          </w:tcPr>
          <w:p w:rsidR="00706E7B" w:rsidRPr="00EF33CD" w:rsidRDefault="00706E7B" w:rsidP="00EF33CD">
            <w:pPr>
              <w:pStyle w:val="TabulkaTL"/>
              <w:rPr>
                <w:bCs/>
              </w:rPr>
            </w:pPr>
            <w:r w:rsidRPr="00EF33CD">
              <w:rPr>
                <w:bCs/>
              </w:rPr>
              <w:t>20</w:t>
            </w:r>
            <w:r w:rsidR="00B948E9" w:rsidRPr="00EF33CD">
              <w:rPr>
                <w:bCs/>
              </w:rPr>
              <w:t>15</w:t>
            </w:r>
          </w:p>
        </w:tc>
        <w:tc>
          <w:tcPr>
            <w:tcW w:w="2671" w:type="pct"/>
            <w:shd w:val="clear" w:color="auto" w:fill="auto"/>
            <w:vAlign w:val="center"/>
          </w:tcPr>
          <w:p w:rsidR="00706E7B" w:rsidRPr="00B948E9" w:rsidRDefault="00B948E9" w:rsidP="00EF33CD">
            <w:pPr>
              <w:pStyle w:val="TabulkaTL"/>
              <w:tabs>
                <w:tab w:val="center" w:pos="4536"/>
                <w:tab w:val="right" w:pos="9072"/>
              </w:tabs>
            </w:pPr>
            <w:r>
              <w:t>3 škody v šetření</w:t>
            </w:r>
          </w:p>
        </w:tc>
        <w:tc>
          <w:tcPr>
            <w:tcW w:w="1202" w:type="pct"/>
            <w:shd w:val="clear" w:color="auto" w:fill="auto"/>
            <w:vAlign w:val="center"/>
          </w:tcPr>
          <w:p w:rsidR="00706E7B" w:rsidRPr="00B948E9" w:rsidRDefault="00706E7B" w:rsidP="00EF33CD">
            <w:pPr>
              <w:pStyle w:val="TabulkaTL"/>
              <w:tabs>
                <w:tab w:val="center" w:pos="4536"/>
                <w:tab w:val="right" w:pos="9072"/>
              </w:tabs>
              <w:jc w:val="right"/>
            </w:pPr>
          </w:p>
        </w:tc>
      </w:tr>
      <w:tr w:rsidR="00B948E9" w:rsidRPr="000E2166" w:rsidTr="0055142D">
        <w:trPr>
          <w:trHeight w:val="284"/>
        </w:trPr>
        <w:tc>
          <w:tcPr>
            <w:tcW w:w="1127" w:type="pct"/>
            <w:shd w:val="clear" w:color="auto" w:fill="auto"/>
            <w:vAlign w:val="center"/>
          </w:tcPr>
          <w:p w:rsidR="00B948E9" w:rsidRPr="00EF33CD" w:rsidRDefault="00B948E9" w:rsidP="00EF33CD">
            <w:pPr>
              <w:pStyle w:val="TabulkaTL"/>
              <w:rPr>
                <w:bCs/>
              </w:rPr>
            </w:pPr>
            <w:r w:rsidRPr="00EF33CD">
              <w:rPr>
                <w:bCs/>
              </w:rPr>
              <w:t>2015</w:t>
            </w:r>
          </w:p>
        </w:tc>
        <w:tc>
          <w:tcPr>
            <w:tcW w:w="2671"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12 škod</w:t>
            </w:r>
          </w:p>
        </w:tc>
        <w:tc>
          <w:tcPr>
            <w:tcW w:w="1202"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126 509,- Kč</w:t>
            </w:r>
          </w:p>
        </w:tc>
      </w:tr>
      <w:tr w:rsidR="00B948E9" w:rsidRPr="000E2166" w:rsidTr="0055142D">
        <w:trPr>
          <w:trHeight w:val="284"/>
        </w:trPr>
        <w:tc>
          <w:tcPr>
            <w:tcW w:w="1127" w:type="pct"/>
            <w:shd w:val="clear" w:color="auto" w:fill="auto"/>
            <w:vAlign w:val="center"/>
          </w:tcPr>
          <w:p w:rsidR="00B948E9" w:rsidRPr="00EF33CD" w:rsidRDefault="00B948E9" w:rsidP="00EF33CD">
            <w:pPr>
              <w:pStyle w:val="TabulkaTL"/>
              <w:rPr>
                <w:bCs/>
              </w:rPr>
            </w:pPr>
            <w:r w:rsidRPr="00EF33CD">
              <w:rPr>
                <w:bCs/>
              </w:rPr>
              <w:t>2014</w:t>
            </w:r>
          </w:p>
        </w:tc>
        <w:tc>
          <w:tcPr>
            <w:tcW w:w="2671"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15 škod</w:t>
            </w:r>
          </w:p>
        </w:tc>
        <w:tc>
          <w:tcPr>
            <w:tcW w:w="1202"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120 314,- Kč</w:t>
            </w:r>
          </w:p>
        </w:tc>
      </w:tr>
      <w:tr w:rsidR="00B948E9" w:rsidRPr="000E2166" w:rsidTr="0055142D">
        <w:trPr>
          <w:trHeight w:val="284"/>
        </w:trPr>
        <w:tc>
          <w:tcPr>
            <w:tcW w:w="1127" w:type="pct"/>
            <w:shd w:val="clear" w:color="auto" w:fill="auto"/>
            <w:vAlign w:val="center"/>
          </w:tcPr>
          <w:p w:rsidR="00B948E9" w:rsidRPr="00EF33CD" w:rsidRDefault="00B948E9" w:rsidP="00EF33CD">
            <w:pPr>
              <w:pStyle w:val="TabulkaTL"/>
              <w:rPr>
                <w:bCs/>
              </w:rPr>
            </w:pPr>
            <w:r w:rsidRPr="00EF33CD">
              <w:rPr>
                <w:bCs/>
              </w:rPr>
              <w:t>2013</w:t>
            </w:r>
          </w:p>
        </w:tc>
        <w:tc>
          <w:tcPr>
            <w:tcW w:w="2671"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18 škod</w:t>
            </w:r>
          </w:p>
        </w:tc>
        <w:tc>
          <w:tcPr>
            <w:tcW w:w="1202"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242 993,- Kč</w:t>
            </w:r>
          </w:p>
        </w:tc>
      </w:tr>
      <w:tr w:rsidR="00B948E9" w:rsidRPr="000E2166" w:rsidTr="0055142D">
        <w:trPr>
          <w:trHeight w:val="284"/>
        </w:trPr>
        <w:tc>
          <w:tcPr>
            <w:tcW w:w="1127" w:type="pct"/>
            <w:shd w:val="clear" w:color="auto" w:fill="auto"/>
            <w:vAlign w:val="center"/>
          </w:tcPr>
          <w:p w:rsidR="00B948E9" w:rsidRPr="00EF33CD" w:rsidRDefault="00B948E9" w:rsidP="00EF33CD">
            <w:pPr>
              <w:pStyle w:val="TabulkaTL"/>
              <w:rPr>
                <w:bCs/>
              </w:rPr>
            </w:pPr>
            <w:r w:rsidRPr="00EF33CD">
              <w:rPr>
                <w:bCs/>
              </w:rPr>
              <w:t>2012</w:t>
            </w:r>
          </w:p>
        </w:tc>
        <w:tc>
          <w:tcPr>
            <w:tcW w:w="2671"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5 škod</w:t>
            </w:r>
          </w:p>
        </w:tc>
        <w:tc>
          <w:tcPr>
            <w:tcW w:w="1202"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25 416,- Kč</w:t>
            </w:r>
          </w:p>
        </w:tc>
      </w:tr>
    </w:tbl>
    <w:p w:rsidR="0055142D" w:rsidRDefault="0055142D" w:rsidP="0055142D">
      <w:pPr>
        <w:pStyle w:val="Nadpis2"/>
        <w:numPr>
          <w:ilvl w:val="0"/>
          <w:numId w:val="0"/>
        </w:numPr>
        <w:ind w:left="576"/>
      </w:pPr>
    </w:p>
    <w:p w:rsidR="00D47CF4" w:rsidRPr="00387BA8" w:rsidRDefault="00706E7B" w:rsidP="00D47CF4">
      <w:pPr>
        <w:pStyle w:val="Nadpis2"/>
      </w:pPr>
      <w:bookmarkStart w:id="56" w:name="_Toc450552747"/>
      <w:r>
        <w:t>Pojištění odpovědnosti</w:t>
      </w:r>
      <w:bookmarkEnd w:id="56"/>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A0" w:firstRow="1" w:lastRow="0" w:firstColumn="1" w:lastColumn="0" w:noHBand="1" w:noVBand="1"/>
      </w:tblPr>
      <w:tblGrid>
        <w:gridCol w:w="1952"/>
        <w:gridCol w:w="5104"/>
        <w:gridCol w:w="2230"/>
      </w:tblGrid>
      <w:tr w:rsidR="00706E7B" w:rsidRPr="000E2166" w:rsidTr="00EF33CD">
        <w:tc>
          <w:tcPr>
            <w:tcW w:w="1051" w:type="pct"/>
            <w:tcBorders>
              <w:top w:val="single" w:sz="4" w:space="0" w:color="808080"/>
              <w:left w:val="single" w:sz="4" w:space="0" w:color="808080"/>
              <w:bottom w:val="single" w:sz="4" w:space="0" w:color="808080"/>
              <w:right w:val="single" w:sz="4" w:space="0" w:color="808080"/>
            </w:tcBorders>
            <w:shd w:val="clear" w:color="auto" w:fill="283164"/>
            <w:vAlign w:val="center"/>
          </w:tcPr>
          <w:p w:rsidR="00706E7B" w:rsidRPr="00EF33CD" w:rsidRDefault="00706E7B" w:rsidP="00EF33CD">
            <w:pPr>
              <w:pStyle w:val="TabulkaTL"/>
              <w:tabs>
                <w:tab w:val="center" w:pos="4536"/>
                <w:tab w:val="right" w:pos="9072"/>
              </w:tabs>
              <w:rPr>
                <w:b/>
                <w:bCs/>
                <w:color w:val="FFFFFF"/>
              </w:rPr>
            </w:pPr>
            <w:r w:rsidRPr="00EF33CD">
              <w:rPr>
                <w:b/>
                <w:bCs/>
                <w:color w:val="FFFFFF"/>
              </w:rPr>
              <w:t>Datum vzniku škody</w:t>
            </w:r>
          </w:p>
        </w:tc>
        <w:tc>
          <w:tcPr>
            <w:tcW w:w="2748" w:type="pct"/>
            <w:tcBorders>
              <w:top w:val="single" w:sz="4" w:space="0" w:color="808080"/>
              <w:left w:val="single" w:sz="4" w:space="0" w:color="808080"/>
              <w:bottom w:val="single" w:sz="4" w:space="0" w:color="808080"/>
              <w:right w:val="single" w:sz="4" w:space="0" w:color="808080"/>
            </w:tcBorders>
            <w:shd w:val="clear" w:color="auto" w:fill="283164"/>
            <w:vAlign w:val="center"/>
          </w:tcPr>
          <w:p w:rsidR="00706E7B" w:rsidRPr="003A4C87" w:rsidRDefault="00706E7B" w:rsidP="00EF33CD">
            <w:pPr>
              <w:pStyle w:val="TabulkaNM"/>
              <w:rPr>
                <w:bCs/>
                <w:lang w:val="cs-CZ"/>
              </w:rPr>
            </w:pPr>
            <w:r w:rsidRPr="003A4C87">
              <w:rPr>
                <w:bCs/>
                <w:lang w:val="cs-CZ"/>
              </w:rPr>
              <w:t>Specifikace</w:t>
            </w:r>
          </w:p>
        </w:tc>
        <w:tc>
          <w:tcPr>
            <w:tcW w:w="1201" w:type="pct"/>
            <w:tcBorders>
              <w:top w:val="single" w:sz="4" w:space="0" w:color="808080"/>
              <w:left w:val="single" w:sz="4" w:space="0" w:color="808080"/>
              <w:bottom w:val="single" w:sz="4" w:space="0" w:color="808080"/>
              <w:right w:val="single" w:sz="4" w:space="0" w:color="808080"/>
            </w:tcBorders>
            <w:shd w:val="clear" w:color="auto" w:fill="283164"/>
            <w:vAlign w:val="center"/>
          </w:tcPr>
          <w:p w:rsidR="00706E7B" w:rsidRPr="003A4C87" w:rsidRDefault="00706E7B" w:rsidP="00EF33CD">
            <w:pPr>
              <w:pStyle w:val="TabulkaNM"/>
              <w:rPr>
                <w:bCs/>
                <w:lang w:val="cs-CZ"/>
              </w:rPr>
            </w:pPr>
            <w:r w:rsidRPr="003A4C87">
              <w:rPr>
                <w:bCs/>
                <w:lang w:val="cs-CZ"/>
              </w:rPr>
              <w:t>Výše škody (Kč)</w:t>
            </w:r>
          </w:p>
        </w:tc>
      </w:tr>
      <w:tr w:rsidR="00B948E9" w:rsidRPr="000E2166" w:rsidTr="0055142D">
        <w:trPr>
          <w:trHeight w:val="284"/>
        </w:trPr>
        <w:tc>
          <w:tcPr>
            <w:tcW w:w="1051" w:type="pct"/>
            <w:shd w:val="clear" w:color="auto" w:fill="D9D9D9"/>
          </w:tcPr>
          <w:p w:rsidR="00706E7B" w:rsidRPr="00EF33CD" w:rsidRDefault="00706E7B" w:rsidP="00EF33CD">
            <w:pPr>
              <w:pStyle w:val="TabulkaTL"/>
              <w:tabs>
                <w:tab w:val="center" w:pos="4536"/>
                <w:tab w:val="right" w:pos="9072"/>
              </w:tabs>
              <w:rPr>
                <w:b/>
                <w:bCs/>
              </w:rPr>
            </w:pPr>
            <w:r w:rsidRPr="00EF33CD">
              <w:rPr>
                <w:b/>
                <w:bCs/>
              </w:rPr>
              <w:t xml:space="preserve">Škody nad 50 000 Kč </w:t>
            </w:r>
          </w:p>
        </w:tc>
        <w:tc>
          <w:tcPr>
            <w:tcW w:w="2748" w:type="pct"/>
            <w:shd w:val="clear" w:color="auto" w:fill="D9D9D9"/>
          </w:tcPr>
          <w:p w:rsidR="00706E7B" w:rsidRPr="00733DF9" w:rsidRDefault="00706E7B" w:rsidP="00EF33CD">
            <w:pPr>
              <w:pStyle w:val="TabulkaTL"/>
              <w:tabs>
                <w:tab w:val="center" w:pos="4536"/>
                <w:tab w:val="right" w:pos="9072"/>
              </w:tabs>
            </w:pPr>
          </w:p>
        </w:tc>
        <w:tc>
          <w:tcPr>
            <w:tcW w:w="1201" w:type="pct"/>
            <w:shd w:val="clear" w:color="auto" w:fill="D9D9D9"/>
          </w:tcPr>
          <w:p w:rsidR="00706E7B" w:rsidRPr="00733DF9" w:rsidRDefault="00706E7B" w:rsidP="00EF33CD">
            <w:pPr>
              <w:pStyle w:val="TabulkaTL"/>
              <w:tabs>
                <w:tab w:val="center" w:pos="4536"/>
                <w:tab w:val="right" w:pos="9072"/>
              </w:tabs>
              <w:jc w:val="right"/>
            </w:pP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4.4.2015</w:t>
            </w:r>
            <w:proofErr w:type="gramEnd"/>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Obecná odpovědnost/škoda na majetku - poškození archivu</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EF33CD">
              <w:rPr>
                <w:rFonts w:eastAsia="Calibri" w:cs="Times New Roman"/>
                <w:color w:val="000000"/>
                <w:sz w:val="16"/>
                <w:szCs w:val="16"/>
              </w:rPr>
              <w:t>(</w:t>
            </w:r>
            <w:r w:rsidRPr="00706E7B">
              <w:rPr>
                <w:rFonts w:eastAsia="Calibri" w:cs="Times New Roman"/>
                <w:color w:val="000000"/>
                <w:sz w:val="16"/>
                <w:szCs w:val="16"/>
              </w:rPr>
              <w:t xml:space="preserve">123 000,- Kč </w:t>
            </w:r>
            <w:r w:rsidRPr="00EF33CD">
              <w:rPr>
                <w:rFonts w:eastAsia="Calibri" w:cs="Times New Roman"/>
                <w:color w:val="000000"/>
                <w:sz w:val="16"/>
                <w:szCs w:val="16"/>
              </w:rPr>
              <w:t xml:space="preserve">) - </w:t>
            </w:r>
            <w:r w:rsidRPr="00706E7B">
              <w:rPr>
                <w:rFonts w:eastAsia="Calibri" w:cs="Times New Roman"/>
                <w:color w:val="000000"/>
                <w:sz w:val="16"/>
                <w:szCs w:val="16"/>
              </w:rPr>
              <w:t>v šetření</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2.9.2014</w:t>
            </w:r>
            <w:proofErr w:type="gramEnd"/>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Obecná odpovědnost/škoda na majetku - pád stromu na kapličku</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127 250,- Kč</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14.3.2013</w:t>
            </w:r>
            <w:proofErr w:type="gramEnd"/>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Obecná odpovědnost/škoda na zdraví - pád na chodníku</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61 918,- Kč</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4.7.2012</w:t>
            </w:r>
            <w:proofErr w:type="gramEnd"/>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Obecná odpovědnost/škoda na zdraví - pád na chodníku</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61 000,- Kč</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proofErr w:type="gramStart"/>
            <w:r w:rsidRPr="00706E7B">
              <w:rPr>
                <w:rFonts w:eastAsia="Calibri" w:cs="Times New Roman"/>
                <w:bCs/>
                <w:color w:val="000000"/>
                <w:sz w:val="16"/>
                <w:szCs w:val="16"/>
              </w:rPr>
              <w:t>18.12.2012</w:t>
            </w:r>
            <w:proofErr w:type="gramEnd"/>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Obecná odpovědnost/škoda na zdraví - pád na chodníku</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69 283,- Kč</w:t>
            </w:r>
          </w:p>
        </w:tc>
      </w:tr>
      <w:tr w:rsidR="00B948E9" w:rsidRPr="000E2166" w:rsidTr="0055142D">
        <w:trPr>
          <w:trHeight w:val="284"/>
        </w:trPr>
        <w:tc>
          <w:tcPr>
            <w:tcW w:w="1051" w:type="pct"/>
            <w:shd w:val="clear" w:color="auto" w:fill="D9D9D9"/>
          </w:tcPr>
          <w:p w:rsidR="00706E7B" w:rsidRPr="00EF33CD" w:rsidRDefault="00706E7B" w:rsidP="00EF33CD">
            <w:pPr>
              <w:pStyle w:val="TabulkaTL"/>
              <w:tabs>
                <w:tab w:val="center" w:pos="4536"/>
                <w:tab w:val="right" w:pos="9072"/>
              </w:tabs>
              <w:rPr>
                <w:b/>
                <w:bCs/>
              </w:rPr>
            </w:pPr>
            <w:r w:rsidRPr="00EF33CD">
              <w:rPr>
                <w:b/>
                <w:bCs/>
              </w:rPr>
              <w:t>Škody do 50 000 Kč (souhrnně)</w:t>
            </w:r>
          </w:p>
        </w:tc>
        <w:tc>
          <w:tcPr>
            <w:tcW w:w="2748" w:type="pct"/>
            <w:shd w:val="clear" w:color="auto" w:fill="D9D9D9"/>
          </w:tcPr>
          <w:p w:rsidR="00706E7B" w:rsidRPr="00733DF9" w:rsidRDefault="00706E7B" w:rsidP="00EF33CD">
            <w:pPr>
              <w:pStyle w:val="TabulkaTL"/>
              <w:tabs>
                <w:tab w:val="center" w:pos="4536"/>
                <w:tab w:val="right" w:pos="9072"/>
              </w:tabs>
            </w:pPr>
          </w:p>
        </w:tc>
        <w:tc>
          <w:tcPr>
            <w:tcW w:w="1201" w:type="pct"/>
            <w:shd w:val="clear" w:color="auto" w:fill="D9D9D9"/>
          </w:tcPr>
          <w:p w:rsidR="00706E7B" w:rsidRPr="00733DF9" w:rsidRDefault="00706E7B" w:rsidP="00EF33CD">
            <w:pPr>
              <w:pStyle w:val="TabulkaTL"/>
              <w:tabs>
                <w:tab w:val="center" w:pos="4536"/>
                <w:tab w:val="right" w:pos="9072"/>
              </w:tabs>
              <w:jc w:val="right"/>
            </w:pP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r w:rsidRPr="00706E7B">
              <w:rPr>
                <w:rFonts w:eastAsia="Calibri" w:cs="Times New Roman"/>
                <w:bCs/>
                <w:color w:val="000000"/>
                <w:sz w:val="16"/>
                <w:szCs w:val="16"/>
              </w:rPr>
              <w:t>2015</w:t>
            </w:r>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1 škod</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17 340,- Kč</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r w:rsidRPr="00706E7B">
              <w:rPr>
                <w:rFonts w:eastAsia="Calibri" w:cs="Times New Roman"/>
                <w:bCs/>
                <w:color w:val="000000"/>
                <w:sz w:val="16"/>
                <w:szCs w:val="16"/>
              </w:rPr>
              <w:t>2014</w:t>
            </w:r>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7 škod</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58 405,- Kč</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r w:rsidRPr="00706E7B">
              <w:rPr>
                <w:rFonts w:eastAsia="Calibri" w:cs="Times New Roman"/>
                <w:bCs/>
                <w:color w:val="000000"/>
                <w:sz w:val="16"/>
                <w:szCs w:val="16"/>
              </w:rPr>
              <w:t>2013</w:t>
            </w:r>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7 škod</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62 169,- Kč</w:t>
            </w:r>
          </w:p>
        </w:tc>
      </w:tr>
      <w:tr w:rsidR="00B948E9" w:rsidRPr="000E2166" w:rsidTr="0055142D">
        <w:trPr>
          <w:trHeight w:val="284"/>
        </w:trPr>
        <w:tc>
          <w:tcPr>
            <w:tcW w:w="1051" w:type="pct"/>
            <w:shd w:val="clear" w:color="auto" w:fill="auto"/>
            <w:vAlign w:val="center"/>
          </w:tcPr>
          <w:p w:rsidR="00B948E9" w:rsidRPr="00706E7B" w:rsidRDefault="00B948E9" w:rsidP="00EF33CD">
            <w:pPr>
              <w:spacing w:before="0"/>
              <w:rPr>
                <w:rFonts w:eastAsia="Calibri" w:cs="Times New Roman"/>
                <w:bCs/>
                <w:color w:val="000000"/>
                <w:sz w:val="16"/>
                <w:szCs w:val="16"/>
              </w:rPr>
            </w:pPr>
            <w:r w:rsidRPr="00706E7B">
              <w:rPr>
                <w:rFonts w:eastAsia="Calibri" w:cs="Times New Roman"/>
                <w:bCs/>
                <w:color w:val="000000"/>
                <w:sz w:val="16"/>
                <w:szCs w:val="16"/>
              </w:rPr>
              <w:t>2012</w:t>
            </w:r>
          </w:p>
        </w:tc>
        <w:tc>
          <w:tcPr>
            <w:tcW w:w="2748" w:type="pct"/>
            <w:shd w:val="clear" w:color="auto" w:fill="auto"/>
            <w:vAlign w:val="center"/>
          </w:tcPr>
          <w:p w:rsidR="00B948E9" w:rsidRPr="00706E7B" w:rsidRDefault="00B948E9" w:rsidP="00EF33CD">
            <w:pPr>
              <w:spacing w:before="0"/>
              <w:rPr>
                <w:rFonts w:eastAsia="Calibri" w:cs="Times New Roman"/>
                <w:color w:val="000000"/>
                <w:sz w:val="16"/>
                <w:szCs w:val="16"/>
              </w:rPr>
            </w:pPr>
            <w:r w:rsidRPr="00706E7B">
              <w:rPr>
                <w:rFonts w:eastAsia="Calibri" w:cs="Times New Roman"/>
                <w:color w:val="000000"/>
                <w:sz w:val="16"/>
                <w:szCs w:val="16"/>
              </w:rPr>
              <w:t>Celkem 5 škod</w:t>
            </w:r>
          </w:p>
        </w:tc>
        <w:tc>
          <w:tcPr>
            <w:tcW w:w="1201" w:type="pct"/>
            <w:shd w:val="clear" w:color="auto" w:fill="auto"/>
            <w:vAlign w:val="center"/>
          </w:tcPr>
          <w:p w:rsidR="00B948E9" w:rsidRPr="00706E7B" w:rsidRDefault="00B948E9" w:rsidP="00EF33CD">
            <w:pPr>
              <w:spacing w:before="0"/>
              <w:jc w:val="right"/>
              <w:rPr>
                <w:rFonts w:eastAsia="Calibri" w:cs="Times New Roman"/>
                <w:color w:val="000000"/>
                <w:sz w:val="16"/>
                <w:szCs w:val="16"/>
              </w:rPr>
            </w:pPr>
            <w:r w:rsidRPr="00706E7B">
              <w:rPr>
                <w:rFonts w:eastAsia="Calibri" w:cs="Times New Roman"/>
                <w:color w:val="000000"/>
                <w:sz w:val="16"/>
                <w:szCs w:val="16"/>
              </w:rPr>
              <w:t>70 857,- Kč</w:t>
            </w:r>
          </w:p>
        </w:tc>
      </w:tr>
    </w:tbl>
    <w:p w:rsidR="00D47CF4" w:rsidRPr="00387BA8" w:rsidRDefault="00D47CF4" w:rsidP="00D47CF4"/>
    <w:p w:rsidR="008524B9" w:rsidRPr="00387BA8" w:rsidRDefault="008524B9"/>
    <w:sectPr w:rsidR="008524B9" w:rsidRPr="00387BA8" w:rsidSect="009C76A7">
      <w:headerReference w:type="default" r:id="rId9"/>
      <w:footerReference w:type="even" r:id="rId10"/>
      <w:footerReference w:type="default" r:id="rId11"/>
      <w:headerReference w:type="first" r:id="rId12"/>
      <w:pgSz w:w="11906" w:h="16838" w:code="9"/>
      <w:pgMar w:top="1242" w:right="1418" w:bottom="1079" w:left="1418" w:header="851" w:footer="0" w:gutter="0"/>
      <w:cols w:space="709"/>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B3" w:rsidRDefault="002A28B3">
      <w:r>
        <w:separator/>
      </w:r>
    </w:p>
  </w:endnote>
  <w:endnote w:type="continuationSeparator" w:id="0">
    <w:p w:rsidR="002A28B3" w:rsidRDefault="002A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Koop Cond Pro">
    <w:altName w:val="Koop Cond Pro"/>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87" w:rsidRDefault="00DC1F8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C1F87" w:rsidRDefault="00DC1F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87" w:rsidRDefault="00DC1F87">
    <w:pPr>
      <w:pStyle w:val="Zpat"/>
      <w:framePr w:wrap="around" w:vAnchor="text" w:hAnchor="margin" w:xAlign="center" w:y="1"/>
      <w:rPr>
        <w:rStyle w:val="slostrnky"/>
      </w:rPr>
    </w:pPr>
  </w:p>
  <w:p w:rsidR="00DC1F87" w:rsidRDefault="00DC1F87">
    <w:pPr>
      <w:pStyle w:val="Zpat"/>
      <w:jc w:val="right"/>
      <w:rPr>
        <w:color w:val="808080"/>
      </w:rPr>
    </w:pPr>
    <w:r>
      <w:rPr>
        <w:rStyle w:val="slostrnky"/>
        <w:rFonts w:ascii="Arial" w:hAnsi="Arial"/>
        <w:color w:val="808080"/>
        <w:sz w:val="20"/>
      </w:rPr>
      <w:fldChar w:fldCharType="begin"/>
    </w:r>
    <w:r>
      <w:rPr>
        <w:rStyle w:val="slostrnky"/>
        <w:rFonts w:ascii="Arial" w:hAnsi="Arial"/>
        <w:color w:val="808080"/>
        <w:sz w:val="20"/>
      </w:rPr>
      <w:instrText xml:space="preserve"> PAGE </w:instrText>
    </w:r>
    <w:r>
      <w:rPr>
        <w:rStyle w:val="slostrnky"/>
        <w:rFonts w:ascii="Arial" w:hAnsi="Arial"/>
        <w:color w:val="808080"/>
        <w:sz w:val="20"/>
      </w:rPr>
      <w:fldChar w:fldCharType="separate"/>
    </w:r>
    <w:r w:rsidR="00171C89">
      <w:rPr>
        <w:rStyle w:val="slostrnky"/>
        <w:rFonts w:ascii="Arial" w:hAnsi="Arial"/>
        <w:noProof/>
        <w:color w:val="808080"/>
        <w:sz w:val="20"/>
      </w:rPr>
      <w:t>22</w:t>
    </w:r>
    <w:r>
      <w:rPr>
        <w:rStyle w:val="slostrnky"/>
        <w:rFonts w:ascii="Arial" w:hAnsi="Arial"/>
        <w:color w:val="808080"/>
        <w:sz w:val="20"/>
      </w:rPr>
      <w:fldChar w:fldCharType="end"/>
    </w:r>
    <w:r>
      <w:rPr>
        <w:rStyle w:val="slostrnky"/>
        <w:rFonts w:ascii="Arial" w:hAnsi="Arial"/>
        <w:color w:val="808080"/>
        <w:sz w:val="20"/>
      </w:rPr>
      <w:t xml:space="preserve"> / </w:t>
    </w:r>
    <w:r>
      <w:rPr>
        <w:rStyle w:val="slostrnky"/>
        <w:rFonts w:ascii="Arial" w:hAnsi="Arial"/>
        <w:color w:val="808080"/>
        <w:sz w:val="20"/>
      </w:rPr>
      <w:fldChar w:fldCharType="begin"/>
    </w:r>
    <w:r>
      <w:rPr>
        <w:rStyle w:val="slostrnky"/>
        <w:rFonts w:ascii="Arial" w:hAnsi="Arial"/>
        <w:color w:val="808080"/>
        <w:sz w:val="20"/>
      </w:rPr>
      <w:instrText xml:space="preserve"> NUMPAGES </w:instrText>
    </w:r>
    <w:r>
      <w:rPr>
        <w:rStyle w:val="slostrnky"/>
        <w:rFonts w:ascii="Arial" w:hAnsi="Arial"/>
        <w:color w:val="808080"/>
        <w:sz w:val="20"/>
      </w:rPr>
      <w:fldChar w:fldCharType="separate"/>
    </w:r>
    <w:r w:rsidR="00171C89">
      <w:rPr>
        <w:rStyle w:val="slostrnky"/>
        <w:rFonts w:ascii="Arial" w:hAnsi="Arial"/>
        <w:noProof/>
        <w:color w:val="808080"/>
        <w:sz w:val="20"/>
      </w:rPr>
      <w:t>22</w:t>
    </w:r>
    <w:r>
      <w:rPr>
        <w:rStyle w:val="slostrnky"/>
        <w:rFonts w:ascii="Arial" w:hAnsi="Arial"/>
        <w:color w:val="808080"/>
        <w:sz w:val="20"/>
      </w:rPr>
      <w:fldChar w:fldCharType="end"/>
    </w:r>
  </w:p>
  <w:p w:rsidR="00DC1F87" w:rsidRDefault="00DC1F87">
    <w:pPr>
      <w:rPr>
        <w:color w:val="808080"/>
      </w:rPr>
    </w:pPr>
    <w:r>
      <w:rPr>
        <w:noProof/>
        <w:color w:val="808080"/>
        <w:sz w:val="20"/>
      </w:rPr>
      <w:pict>
        <v:line id="_x0000_s2050" style="position:absolute;z-index:1" from="-1.35pt,-22.45pt" to="459pt,-22.45pt" strokecolor="#283164" strokeweight=".25pt">
          <w10:wrap type="topAndBottom"/>
        </v:line>
      </w:pict>
    </w:r>
  </w:p>
  <w:p w:rsidR="00DC1F87" w:rsidRDefault="00DC1F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B3" w:rsidRDefault="002A28B3">
      <w:r>
        <w:separator/>
      </w:r>
    </w:p>
  </w:footnote>
  <w:footnote w:type="continuationSeparator" w:id="0">
    <w:p w:rsidR="002A28B3" w:rsidRDefault="002A2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87" w:rsidRDefault="00DC1F87" w:rsidP="009C76A7">
    <w:pPr>
      <w:pStyle w:val="Zhlav"/>
      <w:pBdr>
        <w:bottom w:val="single" w:sz="4" w:space="1" w:color="002060"/>
      </w:pBdr>
      <w:rPr>
        <w:color w:val="808080"/>
        <w:sz w:val="20"/>
      </w:rPr>
    </w:pPr>
    <w:r>
      <w:rPr>
        <w:color w:val="808080"/>
        <w:sz w:val="20"/>
      </w:rPr>
      <w:tab/>
      <w:t xml:space="preserve">                                                                        Příloha Zadávací dokumentace: „Obchodní podmínky“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89" w:rsidRPr="00171C89" w:rsidRDefault="00171C89" w:rsidP="00171C89">
    <w:pPr>
      <w:pStyle w:val="Zhlav"/>
      <w:autoSpaceDE/>
      <w:autoSpaceDN/>
      <w:spacing w:before="0" w:after="120" w:line="240" w:lineRule="auto"/>
      <w:contextualSpacing/>
      <w:rPr>
        <w:rFonts w:ascii="Calibri" w:eastAsia="Calibri" w:hAnsi="Calibri"/>
        <w:sz w:val="18"/>
        <w:szCs w:val="18"/>
        <w:lang w:val="cs-CZ" w:eastAsia="en-US"/>
      </w:rPr>
    </w:pPr>
    <w:r w:rsidRPr="00171C89">
      <w:rPr>
        <w:rFonts w:ascii="Calibri" w:eastAsia="Calibri" w:hAnsi="Calibri"/>
        <w:sz w:val="18"/>
        <w:szCs w:val="18"/>
        <w:lang w:val="cs-CZ" w:eastAsia="en-US"/>
      </w:rPr>
      <w:t xml:space="preserve">Příloha č. </w:t>
    </w:r>
    <w:r>
      <w:rPr>
        <w:rFonts w:ascii="Calibri" w:eastAsia="Calibri" w:hAnsi="Calibri"/>
        <w:sz w:val="18"/>
        <w:szCs w:val="18"/>
        <w:lang w:val="cs-CZ" w:eastAsia="en-US"/>
      </w:rPr>
      <w:t>1</w:t>
    </w:r>
    <w:r w:rsidRPr="00171C89">
      <w:rPr>
        <w:rFonts w:ascii="Calibri" w:eastAsia="Calibri" w:hAnsi="Calibri"/>
        <w:sz w:val="18"/>
        <w:szCs w:val="18"/>
        <w:lang w:val="cs-CZ" w:eastAsia="en-US"/>
      </w:rPr>
      <w:t xml:space="preserve"> zadávací dokumentace –</w:t>
    </w:r>
    <w:r>
      <w:rPr>
        <w:rFonts w:ascii="Calibri" w:eastAsia="Calibri" w:hAnsi="Calibri"/>
        <w:sz w:val="18"/>
        <w:szCs w:val="18"/>
        <w:lang w:val="cs-CZ" w:eastAsia="en-US"/>
      </w:rPr>
      <w:t xml:space="preserve"> S</w:t>
    </w:r>
    <w:r w:rsidRPr="00171C89">
      <w:rPr>
        <w:rFonts w:ascii="Calibri" w:eastAsia="Calibri" w:hAnsi="Calibri"/>
        <w:sz w:val="18"/>
        <w:szCs w:val="18"/>
        <w:lang w:val="cs-CZ" w:eastAsia="en-US"/>
      </w:rPr>
      <w:t>pecifikace požadovaného pojištění</w:t>
    </w:r>
  </w:p>
  <w:p w:rsidR="00171C89" w:rsidRPr="00171C89" w:rsidRDefault="00171C89" w:rsidP="00171C89">
    <w:pPr>
      <w:pStyle w:val="Zhlav"/>
      <w:autoSpaceDE/>
      <w:autoSpaceDN/>
      <w:spacing w:before="0" w:after="120" w:line="240" w:lineRule="auto"/>
      <w:contextualSpacing/>
      <w:rPr>
        <w:rFonts w:ascii="Calibri" w:eastAsia="Calibri" w:hAnsi="Calibri"/>
        <w:sz w:val="18"/>
        <w:szCs w:val="18"/>
        <w:lang w:val="cs-CZ"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6C8B44"/>
    <w:lvl w:ilvl="0">
      <w:start w:val="1"/>
      <w:numFmt w:val="bullet"/>
      <w:pStyle w:val="Seznamsodrkami"/>
      <w:lvlText w:val=""/>
      <w:lvlJc w:val="left"/>
      <w:pPr>
        <w:tabs>
          <w:tab w:val="num" w:pos="360"/>
        </w:tabs>
        <w:ind w:left="360" w:hanging="360"/>
      </w:pPr>
      <w:rPr>
        <w:rFonts w:ascii="Wingdings" w:hAnsi="Wingdings" w:hint="default"/>
        <w:sz w:val="24"/>
      </w:rPr>
    </w:lvl>
  </w:abstractNum>
  <w:abstractNum w:abstractNumId="1">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680"/>
        </w:tabs>
        <w:ind w:left="68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nsid w:val="0F210BD5"/>
    <w:multiLevelType w:val="hybridMultilevel"/>
    <w:tmpl w:val="7E449916"/>
    <w:lvl w:ilvl="0" w:tplc="FFFFFFFF">
      <w:numFmt w:val="bullet"/>
      <w:lvlText w:val="-"/>
      <w:lvlJc w:val="left"/>
      <w:pPr>
        <w:ind w:left="720" w:hanging="360"/>
      </w:pPr>
      <w:rPr>
        <w:rFonts w:ascii="Arial" w:eastAsia="Times New Roman" w:hAnsi="Arial" w:cs="Arial" w:hint="default"/>
      </w:rPr>
    </w:lvl>
    <w:lvl w:ilvl="1" w:tplc="DE283B0C">
      <w:start w:val="1"/>
      <w:numFmt w:val="lowerLetter"/>
      <w:lvlText w:val="%2)"/>
      <w:lvlJc w:val="left"/>
      <w:pPr>
        <w:ind w:left="1440" w:hanging="360"/>
      </w:pPr>
      <w:rPr>
        <w:rFonts w:hint="default"/>
      </w:rPr>
    </w:lvl>
    <w:lvl w:ilvl="2" w:tplc="67A251E4">
      <w:start w:val="1"/>
      <w:numFmt w:val="decimal"/>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4">
    <w:nsid w:val="1CAC330D"/>
    <w:multiLevelType w:val="hybridMultilevel"/>
    <w:tmpl w:val="53266C56"/>
    <w:lvl w:ilvl="0" w:tplc="FFFFFFFF">
      <w:numFmt w:val="bullet"/>
      <w:lvlText w:val="-"/>
      <w:lvlJc w:val="left"/>
      <w:pPr>
        <w:ind w:left="720" w:hanging="360"/>
      </w:pPr>
      <w:rPr>
        <w:rFonts w:ascii="Arial" w:eastAsia="Times New Roman" w:hAnsi="Arial" w:cs="Arial" w:hint="default"/>
      </w:rPr>
    </w:lvl>
    <w:lvl w:ilvl="1" w:tplc="DE283B0C">
      <w:start w:val="1"/>
      <w:numFmt w:val="lowerLetter"/>
      <w:lvlText w:val="%2)"/>
      <w:lvlJc w:val="left"/>
      <w:pPr>
        <w:ind w:left="1440" w:hanging="360"/>
      </w:pPr>
      <w:rPr>
        <w:rFonts w:hint="default"/>
      </w:rPr>
    </w:lvl>
    <w:lvl w:ilvl="2" w:tplc="0405000F">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A4836"/>
    <w:multiLevelType w:val="hybridMultilevel"/>
    <w:tmpl w:val="D52468B2"/>
    <w:lvl w:ilvl="0" w:tplc="0405000F">
      <w:start w:val="1"/>
      <w:numFmt w:val="decimal"/>
      <w:lvlText w:val="%1."/>
      <w:lvlJc w:val="left"/>
      <w:pPr>
        <w:ind w:left="720" w:hanging="360"/>
      </w:pPr>
    </w:lvl>
    <w:lvl w:ilvl="1" w:tplc="DE283B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F657C4"/>
    <w:multiLevelType w:val="multilevel"/>
    <w:tmpl w:val="84D67070"/>
    <w:lvl w:ilvl="0">
      <w:start w:val="4"/>
      <w:numFmt w:val="bullet"/>
      <w:lvlText w:val="-"/>
      <w:lvlJc w:val="left"/>
      <w:pPr>
        <w:tabs>
          <w:tab w:val="num" w:pos="720"/>
        </w:tabs>
        <w:ind w:left="720" w:hanging="360"/>
      </w:pPr>
      <w:rPr>
        <w:rFonts w:ascii="Times New Roman" w:eastAsia="Times New Roman" w:hAnsi="Times New Roman"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
    <w:nsid w:val="29560428"/>
    <w:multiLevelType w:val="multilevel"/>
    <w:tmpl w:val="E7CC3C2E"/>
    <w:lvl w:ilvl="0">
      <w:start w:val="1"/>
      <w:numFmt w:val="decimal"/>
      <w:pStyle w:val="Nadpis1"/>
      <w:suff w:val="space"/>
      <w:lvlText w:val="%1. "/>
      <w:lvlJc w:val="left"/>
      <w:pPr>
        <w:ind w:left="432" w:hanging="432"/>
      </w:pPr>
      <w:rPr>
        <w:rFonts w:hint="default"/>
      </w:rPr>
    </w:lvl>
    <w:lvl w:ilvl="1">
      <w:start w:val="1"/>
      <w:numFmt w:val="decimal"/>
      <w:pStyle w:val="Nadpis2"/>
      <w:suff w:val="space"/>
      <w:lvlText w:val="%1.%2 "/>
      <w:lvlJc w:val="left"/>
      <w:pPr>
        <w:ind w:left="576" w:hanging="576"/>
      </w:pPr>
      <w:rPr>
        <w:rFonts w:hint="default"/>
      </w:rPr>
    </w:lvl>
    <w:lvl w:ilvl="2">
      <w:start w:val="1"/>
      <w:numFmt w:val="decimal"/>
      <w:pStyle w:val="Nadpis3"/>
      <w:suff w:val="space"/>
      <w:lvlText w:val="%1.%2.%3 "/>
      <w:lvlJc w:val="left"/>
      <w:pPr>
        <w:ind w:left="720" w:hanging="720"/>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
      <w:lvlJc w:val="left"/>
      <w:pPr>
        <w:ind w:left="1008" w:hanging="1008"/>
      </w:pPr>
      <w:rPr>
        <w:rFonts w:hint="default"/>
      </w:rPr>
    </w:lvl>
    <w:lvl w:ilvl="5">
      <w:start w:val="1"/>
      <w:numFmt w:val="decimal"/>
      <w:suff w:val="space"/>
      <w:lvlText w:val="%1.%2.%3.%4.%5.%6 "/>
      <w:lvlJc w:val="left"/>
      <w:pPr>
        <w:ind w:left="1152" w:hanging="1152"/>
      </w:pPr>
      <w:rPr>
        <w:rFonts w:hint="default"/>
      </w:rPr>
    </w:lvl>
    <w:lvl w:ilvl="6">
      <w:start w:val="1"/>
      <w:numFmt w:val="decimal"/>
      <w:suff w:val="space"/>
      <w:lvlText w:val="%1.%2.%3.%4.%5.%6.%7 "/>
      <w:lvlJc w:val="left"/>
      <w:pPr>
        <w:ind w:left="1296" w:hanging="1296"/>
      </w:pPr>
      <w:rPr>
        <w:rFonts w:hint="default"/>
      </w:rPr>
    </w:lvl>
    <w:lvl w:ilvl="7">
      <w:start w:val="1"/>
      <w:numFmt w:val="decimal"/>
      <w:suff w:val="space"/>
      <w:lvlText w:val="%1.%2.%3.%4.%5.%6.%7.%8 "/>
      <w:lvlJc w:val="left"/>
      <w:pPr>
        <w:ind w:left="1440" w:hanging="1440"/>
      </w:pPr>
      <w:rPr>
        <w:rFonts w:hint="default"/>
      </w:rPr>
    </w:lvl>
    <w:lvl w:ilvl="8">
      <w:start w:val="1"/>
      <w:numFmt w:val="decimal"/>
      <w:suff w:val="space"/>
      <w:lvlText w:val="%1.%2.%3.%4.%5.%6.%7.%8.%9 "/>
      <w:lvlJc w:val="left"/>
      <w:pPr>
        <w:ind w:left="1584" w:hanging="1584"/>
      </w:pPr>
      <w:rPr>
        <w:rFonts w:hint="default"/>
      </w:rPr>
    </w:lvl>
  </w:abstractNum>
  <w:abstractNum w:abstractNumId="8">
    <w:nsid w:val="34CA59DB"/>
    <w:multiLevelType w:val="hybridMultilevel"/>
    <w:tmpl w:val="D52468B2"/>
    <w:lvl w:ilvl="0" w:tplc="0405000F">
      <w:start w:val="1"/>
      <w:numFmt w:val="decimal"/>
      <w:lvlText w:val="%1."/>
      <w:lvlJc w:val="left"/>
      <w:pPr>
        <w:ind w:left="720" w:hanging="360"/>
      </w:pPr>
    </w:lvl>
    <w:lvl w:ilvl="1" w:tplc="DE283B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9A2C40"/>
    <w:multiLevelType w:val="multilevel"/>
    <w:tmpl w:val="B7804922"/>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
    <w:nsid w:val="3F8E5B04"/>
    <w:multiLevelType w:val="hybridMultilevel"/>
    <w:tmpl w:val="D52468B2"/>
    <w:lvl w:ilvl="0" w:tplc="0405000F">
      <w:start w:val="1"/>
      <w:numFmt w:val="decimal"/>
      <w:lvlText w:val="%1."/>
      <w:lvlJc w:val="left"/>
      <w:pPr>
        <w:ind w:left="720" w:hanging="360"/>
      </w:pPr>
    </w:lvl>
    <w:lvl w:ilvl="1" w:tplc="DE283B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9F84F3F"/>
    <w:multiLevelType w:val="hybridMultilevel"/>
    <w:tmpl w:val="AF700A0C"/>
    <w:lvl w:ilvl="0" w:tplc="1354EAD8">
      <w:start w:val="3"/>
      <w:numFmt w:val="bullet"/>
      <w:lvlText w:val="-"/>
      <w:lvlJc w:val="left"/>
      <w:pPr>
        <w:ind w:left="2136" w:hanging="360"/>
      </w:pPr>
      <w:rPr>
        <w:rFonts w:ascii="Arial" w:eastAsia="Calibri" w:hAnsi="Arial" w:cs="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nsid w:val="70345AEE"/>
    <w:multiLevelType w:val="hybridMultilevel"/>
    <w:tmpl w:val="4F7EFB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7204BDC"/>
    <w:multiLevelType w:val="hybridMultilevel"/>
    <w:tmpl w:val="D52468B2"/>
    <w:lvl w:ilvl="0" w:tplc="0405000F">
      <w:start w:val="1"/>
      <w:numFmt w:val="decimal"/>
      <w:lvlText w:val="%1."/>
      <w:lvlJc w:val="left"/>
      <w:pPr>
        <w:ind w:left="644" w:hanging="360"/>
      </w:pPr>
    </w:lvl>
    <w:lvl w:ilvl="1" w:tplc="DE283B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3"/>
  </w:num>
  <w:num w:numId="4">
    <w:abstractNumId w:val="0"/>
  </w:num>
  <w:num w:numId="5">
    <w:abstractNumId w:val="9"/>
  </w:num>
  <w:num w:numId="6">
    <w:abstractNumId w:val="14"/>
  </w:num>
  <w:num w:numId="7">
    <w:abstractNumId w:val="2"/>
  </w:num>
  <w:num w:numId="8">
    <w:abstractNumId w:val="10"/>
  </w:num>
  <w:num w:numId="9">
    <w:abstractNumId w:val="5"/>
  </w:num>
  <w:num w:numId="10">
    <w:abstractNumId w:val="8"/>
  </w:num>
  <w:num w:numId="11">
    <w:abstractNumId w:val="1"/>
  </w:num>
  <w:num w:numId="12">
    <w:abstractNumId w:val="13"/>
  </w:num>
  <w:num w:numId="13">
    <w:abstractNumId w:val="4"/>
  </w:num>
  <w:num w:numId="14">
    <w:abstractNumId w:val="6"/>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CF4"/>
    <w:rsid w:val="00003285"/>
    <w:rsid w:val="00010A6B"/>
    <w:rsid w:val="00016D43"/>
    <w:rsid w:val="00017CC7"/>
    <w:rsid w:val="00026389"/>
    <w:rsid w:val="00026867"/>
    <w:rsid w:val="00056C9C"/>
    <w:rsid w:val="00073CA5"/>
    <w:rsid w:val="000742BB"/>
    <w:rsid w:val="000770C6"/>
    <w:rsid w:val="00091622"/>
    <w:rsid w:val="000B6D2C"/>
    <w:rsid w:val="000C1B98"/>
    <w:rsid w:val="000D1540"/>
    <w:rsid w:val="000E365F"/>
    <w:rsid w:val="000F0469"/>
    <w:rsid w:val="000F13C0"/>
    <w:rsid w:val="000F297B"/>
    <w:rsid w:val="000F3296"/>
    <w:rsid w:val="000F67C7"/>
    <w:rsid w:val="000F6949"/>
    <w:rsid w:val="00110DE3"/>
    <w:rsid w:val="001213A0"/>
    <w:rsid w:val="00140593"/>
    <w:rsid w:val="0015110A"/>
    <w:rsid w:val="00153F26"/>
    <w:rsid w:val="00161E83"/>
    <w:rsid w:val="00162DAF"/>
    <w:rsid w:val="0016658F"/>
    <w:rsid w:val="00171C89"/>
    <w:rsid w:val="00171FB3"/>
    <w:rsid w:val="001876F9"/>
    <w:rsid w:val="00196D18"/>
    <w:rsid w:val="001A3187"/>
    <w:rsid w:val="001A6F0E"/>
    <w:rsid w:val="001D04AF"/>
    <w:rsid w:val="001E2A3C"/>
    <w:rsid w:val="001F0A20"/>
    <w:rsid w:val="001F7B8C"/>
    <w:rsid w:val="00222027"/>
    <w:rsid w:val="00231A65"/>
    <w:rsid w:val="002502BC"/>
    <w:rsid w:val="002563AD"/>
    <w:rsid w:val="00257610"/>
    <w:rsid w:val="00257E34"/>
    <w:rsid w:val="00260094"/>
    <w:rsid w:val="002776E5"/>
    <w:rsid w:val="002875BD"/>
    <w:rsid w:val="00292DC3"/>
    <w:rsid w:val="00292DD0"/>
    <w:rsid w:val="002A28B3"/>
    <w:rsid w:val="002C237C"/>
    <w:rsid w:val="002E575B"/>
    <w:rsid w:val="002F5ACF"/>
    <w:rsid w:val="002F720D"/>
    <w:rsid w:val="00311A0B"/>
    <w:rsid w:val="00317016"/>
    <w:rsid w:val="00361678"/>
    <w:rsid w:val="00371F0F"/>
    <w:rsid w:val="00377A75"/>
    <w:rsid w:val="00387BA8"/>
    <w:rsid w:val="00394392"/>
    <w:rsid w:val="003A0F83"/>
    <w:rsid w:val="003A3780"/>
    <w:rsid w:val="003A4C87"/>
    <w:rsid w:val="003B17E5"/>
    <w:rsid w:val="003B3391"/>
    <w:rsid w:val="003C2407"/>
    <w:rsid w:val="003C62F3"/>
    <w:rsid w:val="003D2451"/>
    <w:rsid w:val="003D4888"/>
    <w:rsid w:val="00403DB4"/>
    <w:rsid w:val="00423BDD"/>
    <w:rsid w:val="0043665C"/>
    <w:rsid w:val="00440609"/>
    <w:rsid w:val="00457695"/>
    <w:rsid w:val="004628D6"/>
    <w:rsid w:val="004632EB"/>
    <w:rsid w:val="00466806"/>
    <w:rsid w:val="00471C57"/>
    <w:rsid w:val="00486E23"/>
    <w:rsid w:val="004875F4"/>
    <w:rsid w:val="00491635"/>
    <w:rsid w:val="00497D94"/>
    <w:rsid w:val="004A5503"/>
    <w:rsid w:val="004A6F83"/>
    <w:rsid w:val="004B2DA0"/>
    <w:rsid w:val="004B38E8"/>
    <w:rsid w:val="004C1958"/>
    <w:rsid w:val="004C7701"/>
    <w:rsid w:val="004E3D07"/>
    <w:rsid w:val="004E62F2"/>
    <w:rsid w:val="0050214B"/>
    <w:rsid w:val="005320E4"/>
    <w:rsid w:val="005359D5"/>
    <w:rsid w:val="005402D4"/>
    <w:rsid w:val="00543991"/>
    <w:rsid w:val="00547AA3"/>
    <w:rsid w:val="0055142D"/>
    <w:rsid w:val="00555AD5"/>
    <w:rsid w:val="005803D0"/>
    <w:rsid w:val="00582157"/>
    <w:rsid w:val="005C59A6"/>
    <w:rsid w:val="005D5E4E"/>
    <w:rsid w:val="005E0B25"/>
    <w:rsid w:val="005E1C52"/>
    <w:rsid w:val="005E5452"/>
    <w:rsid w:val="005F387C"/>
    <w:rsid w:val="005F6DD5"/>
    <w:rsid w:val="00606E06"/>
    <w:rsid w:val="00616B57"/>
    <w:rsid w:val="006243C8"/>
    <w:rsid w:val="006437A3"/>
    <w:rsid w:val="00657FC8"/>
    <w:rsid w:val="00661AC5"/>
    <w:rsid w:val="00672FF5"/>
    <w:rsid w:val="00687EDA"/>
    <w:rsid w:val="006905A7"/>
    <w:rsid w:val="006961CA"/>
    <w:rsid w:val="006A1E3E"/>
    <w:rsid w:val="006A53C9"/>
    <w:rsid w:val="006B399C"/>
    <w:rsid w:val="006B3A0B"/>
    <w:rsid w:val="006D6118"/>
    <w:rsid w:val="006D6D22"/>
    <w:rsid w:val="006E0DC0"/>
    <w:rsid w:val="006E55E7"/>
    <w:rsid w:val="006F5AF3"/>
    <w:rsid w:val="006F7516"/>
    <w:rsid w:val="007031E6"/>
    <w:rsid w:val="00706E7B"/>
    <w:rsid w:val="00716DF9"/>
    <w:rsid w:val="00740013"/>
    <w:rsid w:val="007428B0"/>
    <w:rsid w:val="00747619"/>
    <w:rsid w:val="007763BF"/>
    <w:rsid w:val="00784B3B"/>
    <w:rsid w:val="00792411"/>
    <w:rsid w:val="007B17B0"/>
    <w:rsid w:val="007C0597"/>
    <w:rsid w:val="007C575E"/>
    <w:rsid w:val="007D04FD"/>
    <w:rsid w:val="007D4956"/>
    <w:rsid w:val="007D4C11"/>
    <w:rsid w:val="007E4181"/>
    <w:rsid w:val="007F4868"/>
    <w:rsid w:val="008007F3"/>
    <w:rsid w:val="00811380"/>
    <w:rsid w:val="00823B20"/>
    <w:rsid w:val="00837638"/>
    <w:rsid w:val="0084259D"/>
    <w:rsid w:val="008508CA"/>
    <w:rsid w:val="008524B9"/>
    <w:rsid w:val="0087168C"/>
    <w:rsid w:val="008A0992"/>
    <w:rsid w:val="008A323E"/>
    <w:rsid w:val="008A478E"/>
    <w:rsid w:val="008C37FA"/>
    <w:rsid w:val="008D400F"/>
    <w:rsid w:val="008D73AA"/>
    <w:rsid w:val="008D745C"/>
    <w:rsid w:val="008F123A"/>
    <w:rsid w:val="008F57E7"/>
    <w:rsid w:val="008F61AF"/>
    <w:rsid w:val="008F69C7"/>
    <w:rsid w:val="008F79D1"/>
    <w:rsid w:val="008F7DE5"/>
    <w:rsid w:val="00904FD0"/>
    <w:rsid w:val="009161FC"/>
    <w:rsid w:val="009242B6"/>
    <w:rsid w:val="009424E0"/>
    <w:rsid w:val="009536A6"/>
    <w:rsid w:val="009628BA"/>
    <w:rsid w:val="00971FC8"/>
    <w:rsid w:val="00973DA1"/>
    <w:rsid w:val="009A4AA2"/>
    <w:rsid w:val="009B2B04"/>
    <w:rsid w:val="009B652A"/>
    <w:rsid w:val="009C100F"/>
    <w:rsid w:val="009C3A43"/>
    <w:rsid w:val="009C6A19"/>
    <w:rsid w:val="009C76A7"/>
    <w:rsid w:val="009D22F1"/>
    <w:rsid w:val="009E039D"/>
    <w:rsid w:val="009E3372"/>
    <w:rsid w:val="009F1CEA"/>
    <w:rsid w:val="009F4019"/>
    <w:rsid w:val="00A04C39"/>
    <w:rsid w:val="00A3341E"/>
    <w:rsid w:val="00A3678A"/>
    <w:rsid w:val="00A435A0"/>
    <w:rsid w:val="00A43AD8"/>
    <w:rsid w:val="00A446D4"/>
    <w:rsid w:val="00A53133"/>
    <w:rsid w:val="00A6407A"/>
    <w:rsid w:val="00A83A3C"/>
    <w:rsid w:val="00AD5812"/>
    <w:rsid w:val="00AD7594"/>
    <w:rsid w:val="00AF7A1F"/>
    <w:rsid w:val="00B0170F"/>
    <w:rsid w:val="00B02654"/>
    <w:rsid w:val="00B03B4C"/>
    <w:rsid w:val="00B17E25"/>
    <w:rsid w:val="00B217F4"/>
    <w:rsid w:val="00B21B2A"/>
    <w:rsid w:val="00B25A27"/>
    <w:rsid w:val="00B33BD2"/>
    <w:rsid w:val="00B368AC"/>
    <w:rsid w:val="00B538D3"/>
    <w:rsid w:val="00B74DDE"/>
    <w:rsid w:val="00B77342"/>
    <w:rsid w:val="00B826DB"/>
    <w:rsid w:val="00B82FE9"/>
    <w:rsid w:val="00B87C2D"/>
    <w:rsid w:val="00B948E9"/>
    <w:rsid w:val="00BA3541"/>
    <w:rsid w:val="00BA4BB6"/>
    <w:rsid w:val="00BB2511"/>
    <w:rsid w:val="00BB7701"/>
    <w:rsid w:val="00BF270B"/>
    <w:rsid w:val="00C2085C"/>
    <w:rsid w:val="00C23FDE"/>
    <w:rsid w:val="00C32D16"/>
    <w:rsid w:val="00C43947"/>
    <w:rsid w:val="00C52DF2"/>
    <w:rsid w:val="00C53B81"/>
    <w:rsid w:val="00C63483"/>
    <w:rsid w:val="00C87E94"/>
    <w:rsid w:val="00CA0DD5"/>
    <w:rsid w:val="00CC21E5"/>
    <w:rsid w:val="00CC7407"/>
    <w:rsid w:val="00CE5DE4"/>
    <w:rsid w:val="00CF26E6"/>
    <w:rsid w:val="00CF38C0"/>
    <w:rsid w:val="00D14C45"/>
    <w:rsid w:val="00D14DA6"/>
    <w:rsid w:val="00D2425A"/>
    <w:rsid w:val="00D47CF4"/>
    <w:rsid w:val="00D62CB0"/>
    <w:rsid w:val="00D84A51"/>
    <w:rsid w:val="00D85C15"/>
    <w:rsid w:val="00D8707D"/>
    <w:rsid w:val="00D90EE1"/>
    <w:rsid w:val="00D963C4"/>
    <w:rsid w:val="00D963F7"/>
    <w:rsid w:val="00DA0F69"/>
    <w:rsid w:val="00DA1C55"/>
    <w:rsid w:val="00DA51F0"/>
    <w:rsid w:val="00DB6204"/>
    <w:rsid w:val="00DC1F87"/>
    <w:rsid w:val="00DC5226"/>
    <w:rsid w:val="00DC5B50"/>
    <w:rsid w:val="00DD609B"/>
    <w:rsid w:val="00DF2915"/>
    <w:rsid w:val="00E17F5C"/>
    <w:rsid w:val="00E30827"/>
    <w:rsid w:val="00E32B72"/>
    <w:rsid w:val="00E479B4"/>
    <w:rsid w:val="00E54923"/>
    <w:rsid w:val="00E64E24"/>
    <w:rsid w:val="00E66E7A"/>
    <w:rsid w:val="00E74986"/>
    <w:rsid w:val="00E830CC"/>
    <w:rsid w:val="00E96D56"/>
    <w:rsid w:val="00EA63DF"/>
    <w:rsid w:val="00EB1037"/>
    <w:rsid w:val="00EB6640"/>
    <w:rsid w:val="00EC2F70"/>
    <w:rsid w:val="00EE1C20"/>
    <w:rsid w:val="00EF33CD"/>
    <w:rsid w:val="00EF5DD8"/>
    <w:rsid w:val="00F200B0"/>
    <w:rsid w:val="00F21556"/>
    <w:rsid w:val="00F22ACB"/>
    <w:rsid w:val="00F23DFE"/>
    <w:rsid w:val="00F306E8"/>
    <w:rsid w:val="00F31CCF"/>
    <w:rsid w:val="00F37828"/>
    <w:rsid w:val="00F37A9D"/>
    <w:rsid w:val="00F55CF6"/>
    <w:rsid w:val="00F640C2"/>
    <w:rsid w:val="00F6454F"/>
    <w:rsid w:val="00F7055D"/>
    <w:rsid w:val="00F74D5B"/>
    <w:rsid w:val="00F845C2"/>
    <w:rsid w:val="00F8715C"/>
    <w:rsid w:val="00F96F29"/>
    <w:rsid w:val="00FA43E7"/>
    <w:rsid w:val="00FB219B"/>
    <w:rsid w:val="00FC0C79"/>
    <w:rsid w:val="00FD2B40"/>
    <w:rsid w:val="00FE374D"/>
    <w:rsid w:val="00FF38A9"/>
    <w:rsid w:val="00FF5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4986"/>
    <w:pPr>
      <w:spacing w:before="120"/>
    </w:pPr>
    <w:rPr>
      <w:sz w:val="18"/>
    </w:rPr>
  </w:style>
  <w:style w:type="paragraph" w:styleId="Nadpis1">
    <w:name w:val="heading 1"/>
    <w:basedOn w:val="Normln"/>
    <w:next w:val="Normln"/>
    <w:qFormat/>
    <w:rsid w:val="008524B9"/>
    <w:pPr>
      <w:widowControl w:val="0"/>
      <w:numPr>
        <w:numId w:val="2"/>
      </w:numPr>
      <w:spacing w:after="220"/>
      <w:outlineLvl w:val="0"/>
    </w:pPr>
    <w:rPr>
      <w:b/>
      <w:noProof/>
      <w:color w:val="283164"/>
      <w:sz w:val="32"/>
    </w:rPr>
  </w:style>
  <w:style w:type="paragraph" w:styleId="Nadpis2">
    <w:name w:val="heading 2"/>
    <w:basedOn w:val="Normln"/>
    <w:next w:val="Normln"/>
    <w:qFormat/>
    <w:rsid w:val="00260094"/>
    <w:pPr>
      <w:widowControl w:val="0"/>
      <w:numPr>
        <w:ilvl w:val="1"/>
        <w:numId w:val="2"/>
      </w:numPr>
      <w:spacing w:before="220" w:after="220"/>
      <w:outlineLvl w:val="1"/>
    </w:pPr>
    <w:rPr>
      <w:b/>
      <w:color w:val="283164"/>
      <w:sz w:val="24"/>
    </w:rPr>
  </w:style>
  <w:style w:type="paragraph" w:styleId="Nadpis3">
    <w:name w:val="heading 3"/>
    <w:aliases w:val="Podpodkapitola,adpis 3"/>
    <w:basedOn w:val="Normln"/>
    <w:next w:val="Normln"/>
    <w:qFormat/>
    <w:rsid w:val="008524B9"/>
    <w:pPr>
      <w:keepNext/>
      <w:numPr>
        <w:ilvl w:val="2"/>
        <w:numId w:val="2"/>
      </w:numPr>
      <w:spacing w:before="220" w:after="220"/>
      <w:outlineLvl w:val="2"/>
    </w:pPr>
    <w:rPr>
      <w:b/>
      <w:color w:val="283164"/>
      <w:szCs w:val="22"/>
    </w:rPr>
  </w:style>
  <w:style w:type="paragraph" w:styleId="Nadpis4">
    <w:name w:val="heading 4"/>
    <w:basedOn w:val="Normln"/>
    <w:next w:val="Normln"/>
    <w:qFormat/>
    <w:rsid w:val="00D47CF4"/>
    <w:pPr>
      <w:keepNext/>
      <w:widowControl w:val="0"/>
      <w:outlineLvl w:val="3"/>
    </w:pPr>
    <w:rPr>
      <w:b/>
      <w:bCs/>
      <w:sz w:val="28"/>
      <w:szCs w:val="22"/>
    </w:rPr>
  </w:style>
  <w:style w:type="paragraph" w:styleId="Nadpis5">
    <w:name w:val="heading 5"/>
    <w:basedOn w:val="Normln"/>
    <w:next w:val="Normln"/>
    <w:qFormat/>
    <w:rsid w:val="00D47CF4"/>
    <w:pPr>
      <w:keepNext/>
      <w:tabs>
        <w:tab w:val="right" w:pos="10206"/>
      </w:tabs>
      <w:autoSpaceDE w:val="0"/>
      <w:autoSpaceDN w:val="0"/>
      <w:outlineLvl w:val="4"/>
    </w:pPr>
    <w:rPr>
      <w:rFonts w:ascii="Times New Roman" w:hAnsi="Times New Roman"/>
      <w:b/>
      <w:bCs/>
      <w:szCs w:val="22"/>
    </w:rPr>
  </w:style>
  <w:style w:type="paragraph" w:styleId="Nadpis6">
    <w:name w:val="heading 6"/>
    <w:basedOn w:val="Normln"/>
    <w:next w:val="Normln"/>
    <w:qFormat/>
    <w:rsid w:val="00D47CF4"/>
    <w:pPr>
      <w:keepNext/>
      <w:widowControl w:val="0"/>
      <w:outlineLvl w:val="5"/>
    </w:pPr>
    <w:rPr>
      <w:b/>
      <w:bCs/>
      <w:sz w:val="28"/>
      <w:szCs w:val="22"/>
    </w:rPr>
  </w:style>
  <w:style w:type="paragraph" w:styleId="Nadpis7">
    <w:name w:val="heading 7"/>
    <w:basedOn w:val="Normln"/>
    <w:next w:val="Normln"/>
    <w:qFormat/>
    <w:rsid w:val="00D47CF4"/>
    <w:pPr>
      <w:keepNext/>
      <w:autoSpaceDE w:val="0"/>
      <w:autoSpaceDN w:val="0"/>
      <w:outlineLvl w:val="6"/>
    </w:pPr>
    <w:rPr>
      <w:rFonts w:ascii="Times New Roman" w:hAnsi="Times New Roman"/>
      <w:b/>
      <w:bCs/>
      <w:szCs w:val="22"/>
    </w:rPr>
  </w:style>
  <w:style w:type="paragraph" w:styleId="Nadpis8">
    <w:name w:val="heading 8"/>
    <w:basedOn w:val="Normln"/>
    <w:next w:val="Normln"/>
    <w:qFormat/>
    <w:rsid w:val="00D47CF4"/>
    <w:pPr>
      <w:keepNext/>
      <w:jc w:val="center"/>
      <w:outlineLvl w:val="7"/>
    </w:pPr>
    <w:rPr>
      <w:b/>
      <w:bCs/>
      <w:sz w:val="40"/>
      <w:u w:val="single"/>
    </w:rPr>
  </w:style>
  <w:style w:type="paragraph" w:styleId="Nadpis9">
    <w:name w:val="heading 9"/>
    <w:basedOn w:val="Normln"/>
    <w:next w:val="Normln"/>
    <w:qFormat/>
    <w:rsid w:val="00D47CF4"/>
    <w:pPr>
      <w:keepNext/>
      <w:outlineLvl w:val="8"/>
    </w:pPr>
    <w:rPr>
      <w:szCs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slovanseznam">
    <w:name w:val="List Number"/>
    <w:basedOn w:val="Normln"/>
    <w:rsid w:val="008524B9"/>
    <w:pPr>
      <w:numPr>
        <w:numId w:val="1"/>
      </w:numPr>
      <w:jc w:val="both"/>
    </w:pPr>
    <w:rPr>
      <w:sz w:val="22"/>
    </w:rPr>
  </w:style>
  <w:style w:type="paragraph" w:styleId="Nzev">
    <w:name w:val="Title"/>
    <w:basedOn w:val="Normln"/>
    <w:next w:val="Normln"/>
    <w:qFormat/>
    <w:rsid w:val="008524B9"/>
    <w:pPr>
      <w:jc w:val="center"/>
    </w:pPr>
    <w:rPr>
      <w:b/>
      <w:color w:val="283164"/>
      <w:sz w:val="32"/>
      <w:szCs w:val="28"/>
    </w:rPr>
  </w:style>
  <w:style w:type="paragraph" w:styleId="slovanseznam2">
    <w:name w:val="List Number 2"/>
    <w:basedOn w:val="Normln"/>
    <w:rsid w:val="008524B9"/>
    <w:pPr>
      <w:numPr>
        <w:ilvl w:val="1"/>
        <w:numId w:val="3"/>
      </w:numPr>
    </w:pPr>
  </w:style>
  <w:style w:type="paragraph" w:styleId="Seznamsodrkami">
    <w:name w:val="List Bullet"/>
    <w:basedOn w:val="Normln"/>
    <w:rsid w:val="008524B9"/>
    <w:pPr>
      <w:numPr>
        <w:numId w:val="4"/>
      </w:numPr>
    </w:pPr>
  </w:style>
  <w:style w:type="paragraph" w:customStyle="1" w:styleId="dkanormln">
    <w:name w:val="Øádka normální"/>
    <w:basedOn w:val="Normln"/>
    <w:rsid w:val="00D47CF4"/>
    <w:rPr>
      <w:rFonts w:ascii="Times New Roman" w:hAnsi="Times New Roman"/>
      <w:kern w:val="16"/>
      <w:sz w:val="24"/>
    </w:rPr>
  </w:style>
  <w:style w:type="paragraph" w:customStyle="1" w:styleId="Pulodek">
    <w:name w:val="Puloádek"/>
    <w:rsid w:val="00D47CF4"/>
    <w:pPr>
      <w:widowControl w:val="0"/>
      <w:spacing w:before="120"/>
    </w:pPr>
    <w:rPr>
      <w:sz w:val="24"/>
    </w:rPr>
  </w:style>
  <w:style w:type="paragraph" w:customStyle="1" w:styleId="StylArial11bVlevo1cm">
    <w:name w:val="Styl Arial 11 b. Vlevo:  1 cm"/>
    <w:basedOn w:val="Normln"/>
    <w:next w:val="Zkladntext2"/>
    <w:rsid w:val="00D47CF4"/>
    <w:pPr>
      <w:ind w:left="540"/>
    </w:pPr>
  </w:style>
  <w:style w:type="paragraph" w:styleId="Zkladntext2">
    <w:name w:val="Body Text 2"/>
    <w:basedOn w:val="Normln"/>
    <w:rsid w:val="00D47CF4"/>
    <w:rPr>
      <w:color w:val="FF0000"/>
      <w:sz w:val="24"/>
    </w:rPr>
  </w:style>
  <w:style w:type="paragraph" w:styleId="Textkomente">
    <w:name w:val="annotation text"/>
    <w:basedOn w:val="Normln"/>
    <w:semiHidden/>
    <w:rsid w:val="00D47CF4"/>
    <w:rPr>
      <w:sz w:val="20"/>
    </w:rPr>
  </w:style>
  <w:style w:type="paragraph" w:styleId="Pedmtkomente">
    <w:name w:val="annotation subject"/>
    <w:basedOn w:val="Textkomente"/>
    <w:next w:val="Textkomente"/>
    <w:link w:val="PedmtkomenteChar"/>
    <w:rsid w:val="00D47CF4"/>
    <w:rPr>
      <w:rFonts w:cs="Times New Roman"/>
      <w:b/>
      <w:bCs/>
      <w:lang w:val="x-none" w:eastAsia="x-none"/>
    </w:rPr>
  </w:style>
  <w:style w:type="paragraph" w:styleId="Obsah1">
    <w:name w:val="toc 1"/>
    <w:basedOn w:val="Normln"/>
    <w:next w:val="Normln"/>
    <w:autoRedefine/>
    <w:uiPriority w:val="39"/>
    <w:rsid w:val="00706E7B"/>
    <w:pPr>
      <w:tabs>
        <w:tab w:val="right" w:leader="dot" w:pos="9060"/>
      </w:tabs>
    </w:pPr>
    <w:rPr>
      <w:noProof/>
      <w:sz w:val="20"/>
    </w:rPr>
  </w:style>
  <w:style w:type="paragraph" w:styleId="Zkladntext">
    <w:name w:val="Body Text"/>
    <w:basedOn w:val="Normln"/>
    <w:rsid w:val="00D47CF4"/>
    <w:pPr>
      <w:autoSpaceDE w:val="0"/>
      <w:autoSpaceDN w:val="0"/>
    </w:pPr>
    <w:rPr>
      <w:rFonts w:ascii="Times New Roman" w:hAnsi="Times New Roman"/>
      <w:szCs w:val="22"/>
    </w:rPr>
  </w:style>
  <w:style w:type="character" w:styleId="Hypertextovodkaz">
    <w:name w:val="Hyperlink"/>
    <w:uiPriority w:val="99"/>
    <w:rsid w:val="00D47CF4"/>
    <w:rPr>
      <w:color w:val="0000FF"/>
      <w:u w:val="single"/>
    </w:rPr>
  </w:style>
  <w:style w:type="paragraph" w:styleId="Obsah2">
    <w:name w:val="toc 2"/>
    <w:basedOn w:val="Normln"/>
    <w:next w:val="Normln"/>
    <w:autoRedefine/>
    <w:uiPriority w:val="39"/>
    <w:rsid w:val="00706E7B"/>
    <w:pPr>
      <w:tabs>
        <w:tab w:val="left" w:pos="960"/>
        <w:tab w:val="right" w:leader="dot" w:pos="9060"/>
      </w:tabs>
      <w:spacing w:before="0"/>
      <w:ind w:left="238"/>
    </w:pPr>
    <w:rPr>
      <w:noProof/>
      <w:szCs w:val="18"/>
    </w:rPr>
  </w:style>
  <w:style w:type="paragraph" w:styleId="Zhlav">
    <w:name w:val="header"/>
    <w:basedOn w:val="Normln"/>
    <w:link w:val="ZhlavChar"/>
    <w:uiPriority w:val="99"/>
    <w:rsid w:val="00D47CF4"/>
    <w:pPr>
      <w:tabs>
        <w:tab w:val="center" w:pos="4536"/>
        <w:tab w:val="right" w:pos="9072"/>
      </w:tabs>
      <w:autoSpaceDE w:val="0"/>
      <w:autoSpaceDN w:val="0"/>
      <w:spacing w:line="240" w:lineRule="atLeast"/>
    </w:pPr>
    <w:rPr>
      <w:rFonts w:cs="Times New Roman"/>
      <w:sz w:val="22"/>
      <w:szCs w:val="22"/>
      <w:lang w:val="x-none" w:eastAsia="x-none"/>
    </w:rPr>
  </w:style>
  <w:style w:type="paragraph" w:styleId="Zkladntextodsazen">
    <w:name w:val="Body Text Indent"/>
    <w:basedOn w:val="Normln"/>
    <w:rsid w:val="00D47CF4"/>
    <w:pPr>
      <w:autoSpaceDE w:val="0"/>
      <w:autoSpaceDN w:val="0"/>
    </w:pPr>
    <w:rPr>
      <w:rFonts w:ascii="Times New Roman" w:hAnsi="Times New Roman"/>
      <w:szCs w:val="22"/>
    </w:rPr>
  </w:style>
  <w:style w:type="paragraph" w:styleId="Zkladntextodsazen2">
    <w:name w:val="Body Text Indent 2"/>
    <w:basedOn w:val="Normln"/>
    <w:rsid w:val="00D47CF4"/>
    <w:pPr>
      <w:autoSpaceDE w:val="0"/>
      <w:autoSpaceDN w:val="0"/>
      <w:ind w:left="705" w:hanging="705"/>
    </w:pPr>
    <w:rPr>
      <w:rFonts w:ascii="Times New Roman" w:hAnsi="Times New Roman"/>
      <w:szCs w:val="22"/>
    </w:rPr>
  </w:style>
  <w:style w:type="paragraph" w:styleId="Zkladntext3">
    <w:name w:val="Body Text 3"/>
    <w:basedOn w:val="Normln"/>
    <w:rsid w:val="00D47CF4"/>
    <w:pPr>
      <w:autoSpaceDE w:val="0"/>
      <w:autoSpaceDN w:val="0"/>
    </w:pPr>
    <w:rPr>
      <w:rFonts w:ascii="Times New Roman" w:hAnsi="Times New Roman"/>
      <w:szCs w:val="22"/>
    </w:rPr>
  </w:style>
  <w:style w:type="character" w:styleId="slostrnky">
    <w:name w:val="page number"/>
    <w:basedOn w:val="Standardnpsmoodstavce"/>
    <w:rsid w:val="00D47CF4"/>
  </w:style>
  <w:style w:type="paragraph" w:styleId="Zpat">
    <w:name w:val="footer"/>
    <w:basedOn w:val="Normln"/>
    <w:rsid w:val="00D47CF4"/>
    <w:pPr>
      <w:tabs>
        <w:tab w:val="center" w:pos="4536"/>
        <w:tab w:val="right" w:pos="9072"/>
      </w:tabs>
      <w:autoSpaceDE w:val="0"/>
      <w:autoSpaceDN w:val="0"/>
    </w:pPr>
    <w:rPr>
      <w:rFonts w:ascii="Times New Roman" w:hAnsi="Times New Roman"/>
      <w:szCs w:val="22"/>
    </w:rPr>
  </w:style>
  <w:style w:type="paragraph" w:styleId="Zkladntextodsazen3">
    <w:name w:val="Body Text Indent 3"/>
    <w:basedOn w:val="Normln"/>
    <w:rsid w:val="00D47CF4"/>
    <w:pPr>
      <w:ind w:left="720"/>
    </w:pPr>
  </w:style>
  <w:style w:type="paragraph" w:styleId="Textvbloku">
    <w:name w:val="Block Text"/>
    <w:basedOn w:val="Normln"/>
    <w:rsid w:val="00D47CF4"/>
    <w:pPr>
      <w:autoSpaceDE w:val="0"/>
      <w:autoSpaceDN w:val="0"/>
      <w:adjustRightInd w:val="0"/>
      <w:spacing w:after="120"/>
      <w:ind w:left="720" w:right="23"/>
    </w:pPr>
    <w:rPr>
      <w:szCs w:val="22"/>
    </w:rPr>
  </w:style>
  <w:style w:type="character" w:customStyle="1" w:styleId="PedmtkomenteChar">
    <w:name w:val="Předmět komentáře Char"/>
    <w:link w:val="Pedmtkomente"/>
    <w:rsid w:val="007031E6"/>
    <w:rPr>
      <w:b/>
      <w:bCs/>
    </w:rPr>
  </w:style>
  <w:style w:type="character" w:customStyle="1" w:styleId="ZhlavChar">
    <w:name w:val="Záhlaví Char"/>
    <w:link w:val="Zhlav"/>
    <w:uiPriority w:val="99"/>
    <w:rsid w:val="009C76A7"/>
    <w:rPr>
      <w:sz w:val="22"/>
      <w:szCs w:val="22"/>
    </w:rPr>
  </w:style>
  <w:style w:type="paragraph" w:styleId="Textpoznpodarou">
    <w:name w:val="footnote text"/>
    <w:basedOn w:val="Normln"/>
    <w:link w:val="TextpoznpodarouChar"/>
    <w:rsid w:val="00C53B81"/>
    <w:rPr>
      <w:rFonts w:cs="Times New Roman"/>
      <w:sz w:val="20"/>
      <w:lang w:val="x-none" w:eastAsia="x-none"/>
    </w:rPr>
  </w:style>
  <w:style w:type="character" w:customStyle="1" w:styleId="TextpoznpodarouChar">
    <w:name w:val="Text pozn. pod čarou Char"/>
    <w:link w:val="Textpoznpodarou"/>
    <w:rsid w:val="00C53B81"/>
    <w:rPr>
      <w:rFonts w:ascii="Arial" w:hAnsi="Arial"/>
    </w:rPr>
  </w:style>
  <w:style w:type="character" w:styleId="Znakapoznpodarou">
    <w:name w:val="footnote reference"/>
    <w:rsid w:val="00C53B81"/>
    <w:rPr>
      <w:vertAlign w:val="superscript"/>
    </w:rPr>
  </w:style>
  <w:style w:type="character" w:styleId="Odkaznakoment">
    <w:name w:val="annotation reference"/>
    <w:rsid w:val="009C3A43"/>
    <w:rPr>
      <w:sz w:val="16"/>
      <w:szCs w:val="16"/>
    </w:rPr>
  </w:style>
  <w:style w:type="paragraph" w:styleId="Textbubliny">
    <w:name w:val="Balloon Text"/>
    <w:basedOn w:val="Normln"/>
    <w:link w:val="TextbublinyChar"/>
    <w:rsid w:val="009C3A43"/>
    <w:rPr>
      <w:rFonts w:ascii="Tahoma" w:hAnsi="Tahoma" w:cs="Times New Roman"/>
      <w:sz w:val="16"/>
      <w:szCs w:val="16"/>
      <w:lang w:val="x-none" w:eastAsia="x-none"/>
    </w:rPr>
  </w:style>
  <w:style w:type="character" w:customStyle="1" w:styleId="TextbublinyChar">
    <w:name w:val="Text bubliny Char"/>
    <w:link w:val="Textbubliny"/>
    <w:rsid w:val="009C3A43"/>
    <w:rPr>
      <w:rFonts w:ascii="Tahoma" w:hAnsi="Tahoma" w:cs="Tahoma"/>
      <w:sz w:val="16"/>
      <w:szCs w:val="16"/>
    </w:rPr>
  </w:style>
  <w:style w:type="paragraph" w:customStyle="1" w:styleId="TabulkaNL">
    <w:name w:val="Tabulka_NL"/>
    <w:basedOn w:val="Normln"/>
    <w:link w:val="TabulkaNLChar"/>
    <w:qFormat/>
    <w:rsid w:val="00466806"/>
    <w:pPr>
      <w:spacing w:before="0" w:line="220" w:lineRule="atLeast"/>
    </w:pPr>
    <w:rPr>
      <w:rFonts w:eastAsia="Calibri" w:cs="Times New Roman"/>
      <w:b/>
      <w:color w:val="FFFFFF"/>
      <w:sz w:val="16"/>
      <w:lang w:val="x-none" w:eastAsia="en-US"/>
    </w:rPr>
  </w:style>
  <w:style w:type="paragraph" w:customStyle="1" w:styleId="TabulkaTL">
    <w:name w:val="Tabulka_TL"/>
    <w:basedOn w:val="Normln"/>
    <w:qFormat/>
    <w:rsid w:val="00466806"/>
    <w:pPr>
      <w:spacing w:before="0" w:line="220" w:lineRule="atLeast"/>
    </w:pPr>
    <w:rPr>
      <w:rFonts w:eastAsia="Calibri" w:cs="Times New Roman"/>
      <w:color w:val="000000"/>
      <w:sz w:val="16"/>
      <w:lang w:eastAsia="en-US"/>
    </w:rPr>
  </w:style>
  <w:style w:type="paragraph" w:customStyle="1" w:styleId="TabulkaTR">
    <w:name w:val="Tabulka_TR"/>
    <w:basedOn w:val="TabulkaTL"/>
    <w:qFormat/>
    <w:rsid w:val="00466806"/>
    <w:pPr>
      <w:jc w:val="right"/>
    </w:pPr>
  </w:style>
  <w:style w:type="paragraph" w:customStyle="1" w:styleId="TabulkaTLB">
    <w:name w:val="Tabulka_TLB"/>
    <w:basedOn w:val="Normln"/>
    <w:qFormat/>
    <w:rsid w:val="00466806"/>
    <w:pPr>
      <w:spacing w:before="0" w:line="220" w:lineRule="atLeast"/>
    </w:pPr>
    <w:rPr>
      <w:rFonts w:eastAsia="Calibri"/>
      <w:b/>
      <w:color w:val="000000"/>
      <w:sz w:val="16"/>
      <w:szCs w:val="18"/>
      <w:lang w:eastAsia="en-US"/>
    </w:rPr>
  </w:style>
  <w:style w:type="paragraph" w:customStyle="1" w:styleId="Normalni8">
    <w:name w:val="Normalni_8"/>
    <w:basedOn w:val="Normln"/>
    <w:link w:val="Normalni8Char"/>
    <w:qFormat/>
    <w:rsid w:val="00466806"/>
    <w:pPr>
      <w:spacing w:before="0" w:line="220" w:lineRule="atLeast"/>
      <w:jc w:val="both"/>
    </w:pPr>
    <w:rPr>
      <w:rFonts w:eastAsia="Calibri" w:cs="Times New Roman"/>
      <w:color w:val="000000"/>
      <w:sz w:val="16"/>
      <w:lang w:val="x-none" w:eastAsia="en-US"/>
    </w:rPr>
  </w:style>
  <w:style w:type="character" w:customStyle="1" w:styleId="Normalni8Char">
    <w:name w:val="Normalni_8 Char"/>
    <w:link w:val="Normalni8"/>
    <w:rsid w:val="00466806"/>
    <w:rPr>
      <w:rFonts w:eastAsia="Calibri" w:cs="Times New Roman"/>
      <w:color w:val="000000"/>
      <w:sz w:val="16"/>
      <w:lang w:eastAsia="en-US"/>
    </w:rPr>
  </w:style>
  <w:style w:type="paragraph" w:customStyle="1" w:styleId="PNadpis1">
    <w:name w:val="P_Nadpis_1"/>
    <w:basedOn w:val="Nadpis1"/>
    <w:qFormat/>
    <w:rsid w:val="00466806"/>
    <w:pPr>
      <w:pageBreakBefore/>
      <w:numPr>
        <w:numId w:val="11"/>
      </w:numPr>
      <w:spacing w:before="0" w:after="0" w:line="500" w:lineRule="atLeast"/>
    </w:pPr>
    <w:rPr>
      <w:rFonts w:cs="Times New Roman"/>
      <w:bCs/>
      <w:noProof w:val="0"/>
      <w:kern w:val="32"/>
      <w:sz w:val="40"/>
      <w:szCs w:val="32"/>
      <w:lang w:eastAsia="en-US"/>
    </w:rPr>
  </w:style>
  <w:style w:type="paragraph" w:customStyle="1" w:styleId="PNadpis2">
    <w:name w:val="P_Nadpis_2"/>
    <w:basedOn w:val="Nadpis2"/>
    <w:qFormat/>
    <w:rsid w:val="00466806"/>
    <w:pPr>
      <w:keepNext/>
      <w:widowControl/>
      <w:numPr>
        <w:numId w:val="11"/>
      </w:numPr>
      <w:spacing w:before="280" w:after="280" w:line="280" w:lineRule="atLeast"/>
    </w:pPr>
    <w:rPr>
      <w:rFonts w:cs="Times New Roman"/>
      <w:bCs/>
      <w:iCs/>
      <w:sz w:val="28"/>
      <w:szCs w:val="28"/>
      <w:lang w:eastAsia="en-US"/>
    </w:rPr>
  </w:style>
  <w:style w:type="paragraph" w:customStyle="1" w:styleId="PNadpis3">
    <w:name w:val="P_Nadpis_3"/>
    <w:basedOn w:val="Nadpis3"/>
    <w:qFormat/>
    <w:rsid w:val="00466806"/>
    <w:pPr>
      <w:numPr>
        <w:numId w:val="11"/>
      </w:numPr>
      <w:spacing w:before="280" w:after="60" w:line="280" w:lineRule="atLeast"/>
      <w:jc w:val="both"/>
    </w:pPr>
    <w:rPr>
      <w:rFonts w:cs="Times New Roman"/>
      <w:bCs/>
      <w:szCs w:val="26"/>
      <w:lang w:eastAsia="en-US"/>
    </w:rPr>
  </w:style>
  <w:style w:type="character" w:customStyle="1" w:styleId="TabulkaNLChar">
    <w:name w:val="Tabulka_NL Char"/>
    <w:link w:val="TabulkaNL"/>
    <w:rsid w:val="00466806"/>
    <w:rPr>
      <w:rFonts w:eastAsia="Calibri" w:cs="Times New Roman"/>
      <w:b/>
      <w:color w:val="FFFFFF"/>
      <w:sz w:val="16"/>
      <w:lang w:eastAsia="en-US"/>
    </w:rPr>
  </w:style>
  <w:style w:type="paragraph" w:styleId="Seznam">
    <w:name w:val="List"/>
    <w:basedOn w:val="Normln"/>
    <w:rsid w:val="00F23DFE"/>
    <w:pPr>
      <w:ind w:left="283" w:hanging="283"/>
      <w:contextualSpacing/>
    </w:pPr>
  </w:style>
  <w:style w:type="paragraph" w:customStyle="1" w:styleId="Default">
    <w:name w:val="Default"/>
    <w:rsid w:val="00457695"/>
    <w:pPr>
      <w:autoSpaceDE w:val="0"/>
      <w:autoSpaceDN w:val="0"/>
      <w:adjustRightInd w:val="0"/>
    </w:pPr>
    <w:rPr>
      <w:rFonts w:ascii="Koop Cond Pro" w:hAnsi="Koop Cond Pro" w:cs="Koop Cond Pro"/>
      <w:color w:val="000000"/>
      <w:sz w:val="24"/>
      <w:szCs w:val="24"/>
    </w:rPr>
  </w:style>
  <w:style w:type="character" w:customStyle="1" w:styleId="A2">
    <w:name w:val="A2"/>
    <w:uiPriority w:val="99"/>
    <w:rsid w:val="00457695"/>
    <w:rPr>
      <w:rFonts w:cs="Koop Cond Pro"/>
      <w:color w:val="000000"/>
    </w:rPr>
  </w:style>
  <w:style w:type="table" w:styleId="Mkatabulky">
    <w:name w:val="Table Grid"/>
    <w:basedOn w:val="Normlntabulka"/>
    <w:rsid w:val="00B3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 3"/>
    <w:basedOn w:val="Normln"/>
    <w:rsid w:val="005803D0"/>
    <w:pPr>
      <w:tabs>
        <w:tab w:val="left" w:pos="-720"/>
      </w:tabs>
      <w:spacing w:before="0" w:line="360" w:lineRule="auto"/>
    </w:pPr>
    <w:rPr>
      <w:rFonts w:ascii="Times New Roman" w:hAnsi="Times New Roman" w:cs="Times New Roman"/>
      <w:sz w:val="20"/>
    </w:rPr>
  </w:style>
  <w:style w:type="paragraph" w:customStyle="1" w:styleId="TitulekTitulekChar">
    <w:name w:val="Titulek.Titulek Char"/>
    <w:basedOn w:val="Normln"/>
    <w:next w:val="Normln"/>
    <w:rsid w:val="005803D0"/>
    <w:pPr>
      <w:spacing w:after="120"/>
    </w:pPr>
    <w:rPr>
      <w:rFonts w:cs="Times New Roman"/>
      <w:b/>
      <w:sz w:val="20"/>
    </w:rPr>
  </w:style>
  <w:style w:type="paragraph" w:customStyle="1" w:styleId="TabulkaNM">
    <w:name w:val="Tabulka_NM"/>
    <w:basedOn w:val="TabulkaNL"/>
    <w:qFormat/>
    <w:rsid w:val="00706E7B"/>
    <w:pPr>
      <w:jc w:val="center"/>
    </w:pPr>
  </w:style>
  <w:style w:type="table" w:customStyle="1" w:styleId="Stednstnovn1zvraznn1">
    <w:name w:val="Medium Shading 1 Accent 1"/>
    <w:aliases w:val="Tabulka_RENOMIA"/>
    <w:basedOn w:val="Normlntabulka"/>
    <w:uiPriority w:val="63"/>
    <w:rsid w:val="00706E7B"/>
    <w:rPr>
      <w:rFonts w:eastAsia="Calibri" w:cs="Times New Roman"/>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pPr>
        <w:spacing w:before="0" w:after="0" w:line="240" w:lineRule="auto"/>
      </w:pPr>
      <w:rPr>
        <w:b w:val="0"/>
        <w:bCs/>
        <w:color w:val="FFFFFF"/>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283164"/>
      </w:tcPr>
    </w:tblStylePr>
    <w:tblStylePr w:type="lastRow">
      <w:pPr>
        <w:spacing w:before="0" w:after="0" w:line="240" w:lineRule="auto"/>
      </w:pPr>
      <w:rPr>
        <w:b w:val="0"/>
        <w:bCs/>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tblStylePr w:type="firstCol">
      <w:rPr>
        <w:b w:val="0"/>
        <w:bCs/>
      </w:rPr>
    </w:tblStylePr>
    <w:tblStylePr w:type="lastCol">
      <w:rPr>
        <w:b w:val="0"/>
        <w:bCs/>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tblStylePr w:type="band2Vert">
      <w:tblPr/>
      <w:tcPr>
        <w:shd w:val="clear" w:color="auto" w:fill="FFFFFF"/>
      </w:tcPr>
    </w:tblStylePr>
    <w:tblStylePr w:type="band1Horz">
      <w:tblPr/>
      <w:tcPr>
        <w:shd w:val="clear" w:color="auto" w:fill="FFFFFF"/>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8100">
      <w:bodyDiv w:val="1"/>
      <w:marLeft w:val="0"/>
      <w:marRight w:val="0"/>
      <w:marTop w:val="0"/>
      <w:marBottom w:val="0"/>
      <w:divBdr>
        <w:top w:val="none" w:sz="0" w:space="0" w:color="auto"/>
        <w:left w:val="none" w:sz="0" w:space="0" w:color="auto"/>
        <w:bottom w:val="none" w:sz="0" w:space="0" w:color="auto"/>
        <w:right w:val="none" w:sz="0" w:space="0" w:color="auto"/>
      </w:divBdr>
    </w:div>
    <w:div w:id="138964981">
      <w:bodyDiv w:val="1"/>
      <w:marLeft w:val="0"/>
      <w:marRight w:val="0"/>
      <w:marTop w:val="0"/>
      <w:marBottom w:val="0"/>
      <w:divBdr>
        <w:top w:val="none" w:sz="0" w:space="0" w:color="auto"/>
        <w:left w:val="none" w:sz="0" w:space="0" w:color="auto"/>
        <w:bottom w:val="none" w:sz="0" w:space="0" w:color="auto"/>
        <w:right w:val="none" w:sz="0" w:space="0" w:color="auto"/>
      </w:divBdr>
    </w:div>
    <w:div w:id="1187064957">
      <w:bodyDiv w:val="1"/>
      <w:marLeft w:val="0"/>
      <w:marRight w:val="0"/>
      <w:marTop w:val="0"/>
      <w:marBottom w:val="0"/>
      <w:divBdr>
        <w:top w:val="none" w:sz="0" w:space="0" w:color="auto"/>
        <w:left w:val="none" w:sz="0" w:space="0" w:color="auto"/>
        <w:bottom w:val="none" w:sz="0" w:space="0" w:color="auto"/>
        <w:right w:val="none" w:sz="0" w:space="0" w:color="auto"/>
      </w:divBdr>
    </w:div>
    <w:div w:id="1271624817">
      <w:bodyDiv w:val="1"/>
      <w:marLeft w:val="0"/>
      <w:marRight w:val="0"/>
      <w:marTop w:val="0"/>
      <w:marBottom w:val="0"/>
      <w:divBdr>
        <w:top w:val="none" w:sz="0" w:space="0" w:color="auto"/>
        <w:left w:val="none" w:sz="0" w:space="0" w:color="auto"/>
        <w:bottom w:val="none" w:sz="0" w:space="0" w:color="auto"/>
        <w:right w:val="none" w:sz="0" w:space="0" w:color="auto"/>
      </w:divBdr>
    </w:div>
    <w:div w:id="18318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nojmoc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3CC6-B832-454C-A5E7-32D1514C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7826</Words>
  <Characters>46179</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Microsoft</Company>
  <LinksUpToDate>false</LinksUpToDate>
  <CharactersWithSpaces>53898</CharactersWithSpaces>
  <SharedDoc>false</SharedDoc>
  <HLinks>
    <vt:vector size="264" baseType="variant">
      <vt:variant>
        <vt:i4>1048648</vt:i4>
      </vt:variant>
      <vt:variant>
        <vt:i4>264</vt:i4>
      </vt:variant>
      <vt:variant>
        <vt:i4>0</vt:i4>
      </vt:variant>
      <vt:variant>
        <vt:i4>5</vt:i4>
      </vt:variant>
      <vt:variant>
        <vt:lpwstr>http://www.znojmocity.cz/</vt:lpwstr>
      </vt:variant>
      <vt:variant>
        <vt:lpwstr/>
      </vt:variant>
      <vt:variant>
        <vt:i4>1114166</vt:i4>
      </vt:variant>
      <vt:variant>
        <vt:i4>254</vt:i4>
      </vt:variant>
      <vt:variant>
        <vt:i4>0</vt:i4>
      </vt:variant>
      <vt:variant>
        <vt:i4>5</vt:i4>
      </vt:variant>
      <vt:variant>
        <vt:lpwstr/>
      </vt:variant>
      <vt:variant>
        <vt:lpwstr>_Toc450552747</vt:lpwstr>
      </vt:variant>
      <vt:variant>
        <vt:i4>1114166</vt:i4>
      </vt:variant>
      <vt:variant>
        <vt:i4>248</vt:i4>
      </vt:variant>
      <vt:variant>
        <vt:i4>0</vt:i4>
      </vt:variant>
      <vt:variant>
        <vt:i4>5</vt:i4>
      </vt:variant>
      <vt:variant>
        <vt:lpwstr/>
      </vt:variant>
      <vt:variant>
        <vt:lpwstr>_Toc450552746</vt:lpwstr>
      </vt:variant>
      <vt:variant>
        <vt:i4>1114166</vt:i4>
      </vt:variant>
      <vt:variant>
        <vt:i4>242</vt:i4>
      </vt:variant>
      <vt:variant>
        <vt:i4>0</vt:i4>
      </vt:variant>
      <vt:variant>
        <vt:i4>5</vt:i4>
      </vt:variant>
      <vt:variant>
        <vt:lpwstr/>
      </vt:variant>
      <vt:variant>
        <vt:lpwstr>_Toc450552745</vt:lpwstr>
      </vt:variant>
      <vt:variant>
        <vt:i4>1114166</vt:i4>
      </vt:variant>
      <vt:variant>
        <vt:i4>236</vt:i4>
      </vt:variant>
      <vt:variant>
        <vt:i4>0</vt:i4>
      </vt:variant>
      <vt:variant>
        <vt:i4>5</vt:i4>
      </vt:variant>
      <vt:variant>
        <vt:lpwstr/>
      </vt:variant>
      <vt:variant>
        <vt:lpwstr>_Toc450552744</vt:lpwstr>
      </vt:variant>
      <vt:variant>
        <vt:i4>1114166</vt:i4>
      </vt:variant>
      <vt:variant>
        <vt:i4>230</vt:i4>
      </vt:variant>
      <vt:variant>
        <vt:i4>0</vt:i4>
      </vt:variant>
      <vt:variant>
        <vt:i4>5</vt:i4>
      </vt:variant>
      <vt:variant>
        <vt:lpwstr/>
      </vt:variant>
      <vt:variant>
        <vt:lpwstr>_Toc450552743</vt:lpwstr>
      </vt:variant>
      <vt:variant>
        <vt:i4>1114166</vt:i4>
      </vt:variant>
      <vt:variant>
        <vt:i4>224</vt:i4>
      </vt:variant>
      <vt:variant>
        <vt:i4>0</vt:i4>
      </vt:variant>
      <vt:variant>
        <vt:i4>5</vt:i4>
      </vt:variant>
      <vt:variant>
        <vt:lpwstr/>
      </vt:variant>
      <vt:variant>
        <vt:lpwstr>_Toc450552742</vt:lpwstr>
      </vt:variant>
      <vt:variant>
        <vt:i4>1114166</vt:i4>
      </vt:variant>
      <vt:variant>
        <vt:i4>218</vt:i4>
      </vt:variant>
      <vt:variant>
        <vt:i4>0</vt:i4>
      </vt:variant>
      <vt:variant>
        <vt:i4>5</vt:i4>
      </vt:variant>
      <vt:variant>
        <vt:lpwstr/>
      </vt:variant>
      <vt:variant>
        <vt:lpwstr>_Toc450552741</vt:lpwstr>
      </vt:variant>
      <vt:variant>
        <vt:i4>1114166</vt:i4>
      </vt:variant>
      <vt:variant>
        <vt:i4>212</vt:i4>
      </vt:variant>
      <vt:variant>
        <vt:i4>0</vt:i4>
      </vt:variant>
      <vt:variant>
        <vt:i4>5</vt:i4>
      </vt:variant>
      <vt:variant>
        <vt:lpwstr/>
      </vt:variant>
      <vt:variant>
        <vt:lpwstr>_Toc450552740</vt:lpwstr>
      </vt:variant>
      <vt:variant>
        <vt:i4>1441846</vt:i4>
      </vt:variant>
      <vt:variant>
        <vt:i4>206</vt:i4>
      </vt:variant>
      <vt:variant>
        <vt:i4>0</vt:i4>
      </vt:variant>
      <vt:variant>
        <vt:i4>5</vt:i4>
      </vt:variant>
      <vt:variant>
        <vt:lpwstr/>
      </vt:variant>
      <vt:variant>
        <vt:lpwstr>_Toc450552739</vt:lpwstr>
      </vt:variant>
      <vt:variant>
        <vt:i4>1441846</vt:i4>
      </vt:variant>
      <vt:variant>
        <vt:i4>200</vt:i4>
      </vt:variant>
      <vt:variant>
        <vt:i4>0</vt:i4>
      </vt:variant>
      <vt:variant>
        <vt:i4>5</vt:i4>
      </vt:variant>
      <vt:variant>
        <vt:lpwstr/>
      </vt:variant>
      <vt:variant>
        <vt:lpwstr>_Toc450552738</vt:lpwstr>
      </vt:variant>
      <vt:variant>
        <vt:i4>1441846</vt:i4>
      </vt:variant>
      <vt:variant>
        <vt:i4>194</vt:i4>
      </vt:variant>
      <vt:variant>
        <vt:i4>0</vt:i4>
      </vt:variant>
      <vt:variant>
        <vt:i4>5</vt:i4>
      </vt:variant>
      <vt:variant>
        <vt:lpwstr/>
      </vt:variant>
      <vt:variant>
        <vt:lpwstr>_Toc450552737</vt:lpwstr>
      </vt:variant>
      <vt:variant>
        <vt:i4>1441846</vt:i4>
      </vt:variant>
      <vt:variant>
        <vt:i4>188</vt:i4>
      </vt:variant>
      <vt:variant>
        <vt:i4>0</vt:i4>
      </vt:variant>
      <vt:variant>
        <vt:i4>5</vt:i4>
      </vt:variant>
      <vt:variant>
        <vt:lpwstr/>
      </vt:variant>
      <vt:variant>
        <vt:lpwstr>_Toc450552736</vt:lpwstr>
      </vt:variant>
      <vt:variant>
        <vt:i4>1441846</vt:i4>
      </vt:variant>
      <vt:variant>
        <vt:i4>182</vt:i4>
      </vt:variant>
      <vt:variant>
        <vt:i4>0</vt:i4>
      </vt:variant>
      <vt:variant>
        <vt:i4>5</vt:i4>
      </vt:variant>
      <vt:variant>
        <vt:lpwstr/>
      </vt:variant>
      <vt:variant>
        <vt:lpwstr>_Toc450552735</vt:lpwstr>
      </vt:variant>
      <vt:variant>
        <vt:i4>1441846</vt:i4>
      </vt:variant>
      <vt:variant>
        <vt:i4>176</vt:i4>
      </vt:variant>
      <vt:variant>
        <vt:i4>0</vt:i4>
      </vt:variant>
      <vt:variant>
        <vt:i4>5</vt:i4>
      </vt:variant>
      <vt:variant>
        <vt:lpwstr/>
      </vt:variant>
      <vt:variant>
        <vt:lpwstr>_Toc450552734</vt:lpwstr>
      </vt:variant>
      <vt:variant>
        <vt:i4>1441846</vt:i4>
      </vt:variant>
      <vt:variant>
        <vt:i4>170</vt:i4>
      </vt:variant>
      <vt:variant>
        <vt:i4>0</vt:i4>
      </vt:variant>
      <vt:variant>
        <vt:i4>5</vt:i4>
      </vt:variant>
      <vt:variant>
        <vt:lpwstr/>
      </vt:variant>
      <vt:variant>
        <vt:lpwstr>_Toc450552733</vt:lpwstr>
      </vt:variant>
      <vt:variant>
        <vt:i4>1441846</vt:i4>
      </vt:variant>
      <vt:variant>
        <vt:i4>164</vt:i4>
      </vt:variant>
      <vt:variant>
        <vt:i4>0</vt:i4>
      </vt:variant>
      <vt:variant>
        <vt:i4>5</vt:i4>
      </vt:variant>
      <vt:variant>
        <vt:lpwstr/>
      </vt:variant>
      <vt:variant>
        <vt:lpwstr>_Toc450552732</vt:lpwstr>
      </vt:variant>
      <vt:variant>
        <vt:i4>1441846</vt:i4>
      </vt:variant>
      <vt:variant>
        <vt:i4>158</vt:i4>
      </vt:variant>
      <vt:variant>
        <vt:i4>0</vt:i4>
      </vt:variant>
      <vt:variant>
        <vt:i4>5</vt:i4>
      </vt:variant>
      <vt:variant>
        <vt:lpwstr/>
      </vt:variant>
      <vt:variant>
        <vt:lpwstr>_Toc450552731</vt:lpwstr>
      </vt:variant>
      <vt:variant>
        <vt:i4>1441846</vt:i4>
      </vt:variant>
      <vt:variant>
        <vt:i4>152</vt:i4>
      </vt:variant>
      <vt:variant>
        <vt:i4>0</vt:i4>
      </vt:variant>
      <vt:variant>
        <vt:i4>5</vt:i4>
      </vt:variant>
      <vt:variant>
        <vt:lpwstr/>
      </vt:variant>
      <vt:variant>
        <vt:lpwstr>_Toc450552730</vt:lpwstr>
      </vt:variant>
      <vt:variant>
        <vt:i4>1507382</vt:i4>
      </vt:variant>
      <vt:variant>
        <vt:i4>146</vt:i4>
      </vt:variant>
      <vt:variant>
        <vt:i4>0</vt:i4>
      </vt:variant>
      <vt:variant>
        <vt:i4>5</vt:i4>
      </vt:variant>
      <vt:variant>
        <vt:lpwstr/>
      </vt:variant>
      <vt:variant>
        <vt:lpwstr>_Toc450552729</vt:lpwstr>
      </vt:variant>
      <vt:variant>
        <vt:i4>1507382</vt:i4>
      </vt:variant>
      <vt:variant>
        <vt:i4>140</vt:i4>
      </vt:variant>
      <vt:variant>
        <vt:i4>0</vt:i4>
      </vt:variant>
      <vt:variant>
        <vt:i4>5</vt:i4>
      </vt:variant>
      <vt:variant>
        <vt:lpwstr/>
      </vt:variant>
      <vt:variant>
        <vt:lpwstr>_Toc450552728</vt:lpwstr>
      </vt:variant>
      <vt:variant>
        <vt:i4>1507382</vt:i4>
      </vt:variant>
      <vt:variant>
        <vt:i4>134</vt:i4>
      </vt:variant>
      <vt:variant>
        <vt:i4>0</vt:i4>
      </vt:variant>
      <vt:variant>
        <vt:i4>5</vt:i4>
      </vt:variant>
      <vt:variant>
        <vt:lpwstr/>
      </vt:variant>
      <vt:variant>
        <vt:lpwstr>_Toc450552727</vt:lpwstr>
      </vt:variant>
      <vt:variant>
        <vt:i4>1507382</vt:i4>
      </vt:variant>
      <vt:variant>
        <vt:i4>128</vt:i4>
      </vt:variant>
      <vt:variant>
        <vt:i4>0</vt:i4>
      </vt:variant>
      <vt:variant>
        <vt:i4>5</vt:i4>
      </vt:variant>
      <vt:variant>
        <vt:lpwstr/>
      </vt:variant>
      <vt:variant>
        <vt:lpwstr>_Toc450552726</vt:lpwstr>
      </vt:variant>
      <vt:variant>
        <vt:i4>1507382</vt:i4>
      </vt:variant>
      <vt:variant>
        <vt:i4>122</vt:i4>
      </vt:variant>
      <vt:variant>
        <vt:i4>0</vt:i4>
      </vt:variant>
      <vt:variant>
        <vt:i4>5</vt:i4>
      </vt:variant>
      <vt:variant>
        <vt:lpwstr/>
      </vt:variant>
      <vt:variant>
        <vt:lpwstr>_Toc450552725</vt:lpwstr>
      </vt:variant>
      <vt:variant>
        <vt:i4>1507382</vt:i4>
      </vt:variant>
      <vt:variant>
        <vt:i4>116</vt:i4>
      </vt:variant>
      <vt:variant>
        <vt:i4>0</vt:i4>
      </vt:variant>
      <vt:variant>
        <vt:i4>5</vt:i4>
      </vt:variant>
      <vt:variant>
        <vt:lpwstr/>
      </vt:variant>
      <vt:variant>
        <vt:lpwstr>_Toc450552724</vt:lpwstr>
      </vt:variant>
      <vt:variant>
        <vt:i4>1507382</vt:i4>
      </vt:variant>
      <vt:variant>
        <vt:i4>110</vt:i4>
      </vt:variant>
      <vt:variant>
        <vt:i4>0</vt:i4>
      </vt:variant>
      <vt:variant>
        <vt:i4>5</vt:i4>
      </vt:variant>
      <vt:variant>
        <vt:lpwstr/>
      </vt:variant>
      <vt:variant>
        <vt:lpwstr>_Toc450552723</vt:lpwstr>
      </vt:variant>
      <vt:variant>
        <vt:i4>1507382</vt:i4>
      </vt:variant>
      <vt:variant>
        <vt:i4>104</vt:i4>
      </vt:variant>
      <vt:variant>
        <vt:i4>0</vt:i4>
      </vt:variant>
      <vt:variant>
        <vt:i4>5</vt:i4>
      </vt:variant>
      <vt:variant>
        <vt:lpwstr/>
      </vt:variant>
      <vt:variant>
        <vt:lpwstr>_Toc450552722</vt:lpwstr>
      </vt:variant>
      <vt:variant>
        <vt:i4>1507382</vt:i4>
      </vt:variant>
      <vt:variant>
        <vt:i4>98</vt:i4>
      </vt:variant>
      <vt:variant>
        <vt:i4>0</vt:i4>
      </vt:variant>
      <vt:variant>
        <vt:i4>5</vt:i4>
      </vt:variant>
      <vt:variant>
        <vt:lpwstr/>
      </vt:variant>
      <vt:variant>
        <vt:lpwstr>_Toc450552721</vt:lpwstr>
      </vt:variant>
      <vt:variant>
        <vt:i4>1507382</vt:i4>
      </vt:variant>
      <vt:variant>
        <vt:i4>92</vt:i4>
      </vt:variant>
      <vt:variant>
        <vt:i4>0</vt:i4>
      </vt:variant>
      <vt:variant>
        <vt:i4>5</vt:i4>
      </vt:variant>
      <vt:variant>
        <vt:lpwstr/>
      </vt:variant>
      <vt:variant>
        <vt:lpwstr>_Toc450552720</vt:lpwstr>
      </vt:variant>
      <vt:variant>
        <vt:i4>1310774</vt:i4>
      </vt:variant>
      <vt:variant>
        <vt:i4>86</vt:i4>
      </vt:variant>
      <vt:variant>
        <vt:i4>0</vt:i4>
      </vt:variant>
      <vt:variant>
        <vt:i4>5</vt:i4>
      </vt:variant>
      <vt:variant>
        <vt:lpwstr/>
      </vt:variant>
      <vt:variant>
        <vt:lpwstr>_Toc450552719</vt:lpwstr>
      </vt:variant>
      <vt:variant>
        <vt:i4>1310774</vt:i4>
      </vt:variant>
      <vt:variant>
        <vt:i4>80</vt:i4>
      </vt:variant>
      <vt:variant>
        <vt:i4>0</vt:i4>
      </vt:variant>
      <vt:variant>
        <vt:i4>5</vt:i4>
      </vt:variant>
      <vt:variant>
        <vt:lpwstr/>
      </vt:variant>
      <vt:variant>
        <vt:lpwstr>_Toc450552718</vt:lpwstr>
      </vt:variant>
      <vt:variant>
        <vt:i4>1310774</vt:i4>
      </vt:variant>
      <vt:variant>
        <vt:i4>74</vt:i4>
      </vt:variant>
      <vt:variant>
        <vt:i4>0</vt:i4>
      </vt:variant>
      <vt:variant>
        <vt:i4>5</vt:i4>
      </vt:variant>
      <vt:variant>
        <vt:lpwstr/>
      </vt:variant>
      <vt:variant>
        <vt:lpwstr>_Toc450552717</vt:lpwstr>
      </vt:variant>
      <vt:variant>
        <vt:i4>1310774</vt:i4>
      </vt:variant>
      <vt:variant>
        <vt:i4>68</vt:i4>
      </vt:variant>
      <vt:variant>
        <vt:i4>0</vt:i4>
      </vt:variant>
      <vt:variant>
        <vt:i4>5</vt:i4>
      </vt:variant>
      <vt:variant>
        <vt:lpwstr/>
      </vt:variant>
      <vt:variant>
        <vt:lpwstr>_Toc450552716</vt:lpwstr>
      </vt:variant>
      <vt:variant>
        <vt:i4>1310774</vt:i4>
      </vt:variant>
      <vt:variant>
        <vt:i4>62</vt:i4>
      </vt:variant>
      <vt:variant>
        <vt:i4>0</vt:i4>
      </vt:variant>
      <vt:variant>
        <vt:i4>5</vt:i4>
      </vt:variant>
      <vt:variant>
        <vt:lpwstr/>
      </vt:variant>
      <vt:variant>
        <vt:lpwstr>_Toc450552715</vt:lpwstr>
      </vt:variant>
      <vt:variant>
        <vt:i4>1310774</vt:i4>
      </vt:variant>
      <vt:variant>
        <vt:i4>56</vt:i4>
      </vt:variant>
      <vt:variant>
        <vt:i4>0</vt:i4>
      </vt:variant>
      <vt:variant>
        <vt:i4>5</vt:i4>
      </vt:variant>
      <vt:variant>
        <vt:lpwstr/>
      </vt:variant>
      <vt:variant>
        <vt:lpwstr>_Toc450552714</vt:lpwstr>
      </vt:variant>
      <vt:variant>
        <vt:i4>1310774</vt:i4>
      </vt:variant>
      <vt:variant>
        <vt:i4>50</vt:i4>
      </vt:variant>
      <vt:variant>
        <vt:i4>0</vt:i4>
      </vt:variant>
      <vt:variant>
        <vt:i4>5</vt:i4>
      </vt:variant>
      <vt:variant>
        <vt:lpwstr/>
      </vt:variant>
      <vt:variant>
        <vt:lpwstr>_Toc450552713</vt:lpwstr>
      </vt:variant>
      <vt:variant>
        <vt:i4>1310774</vt:i4>
      </vt:variant>
      <vt:variant>
        <vt:i4>44</vt:i4>
      </vt:variant>
      <vt:variant>
        <vt:i4>0</vt:i4>
      </vt:variant>
      <vt:variant>
        <vt:i4>5</vt:i4>
      </vt:variant>
      <vt:variant>
        <vt:lpwstr/>
      </vt:variant>
      <vt:variant>
        <vt:lpwstr>_Toc450552712</vt:lpwstr>
      </vt:variant>
      <vt:variant>
        <vt:i4>1310774</vt:i4>
      </vt:variant>
      <vt:variant>
        <vt:i4>38</vt:i4>
      </vt:variant>
      <vt:variant>
        <vt:i4>0</vt:i4>
      </vt:variant>
      <vt:variant>
        <vt:i4>5</vt:i4>
      </vt:variant>
      <vt:variant>
        <vt:lpwstr/>
      </vt:variant>
      <vt:variant>
        <vt:lpwstr>_Toc450552711</vt:lpwstr>
      </vt:variant>
      <vt:variant>
        <vt:i4>1310774</vt:i4>
      </vt:variant>
      <vt:variant>
        <vt:i4>32</vt:i4>
      </vt:variant>
      <vt:variant>
        <vt:i4>0</vt:i4>
      </vt:variant>
      <vt:variant>
        <vt:i4>5</vt:i4>
      </vt:variant>
      <vt:variant>
        <vt:lpwstr/>
      </vt:variant>
      <vt:variant>
        <vt:lpwstr>_Toc450552710</vt:lpwstr>
      </vt:variant>
      <vt:variant>
        <vt:i4>1376310</vt:i4>
      </vt:variant>
      <vt:variant>
        <vt:i4>26</vt:i4>
      </vt:variant>
      <vt:variant>
        <vt:i4>0</vt:i4>
      </vt:variant>
      <vt:variant>
        <vt:i4>5</vt:i4>
      </vt:variant>
      <vt:variant>
        <vt:lpwstr/>
      </vt:variant>
      <vt:variant>
        <vt:lpwstr>_Toc450552709</vt:lpwstr>
      </vt:variant>
      <vt:variant>
        <vt:i4>1376310</vt:i4>
      </vt:variant>
      <vt:variant>
        <vt:i4>20</vt:i4>
      </vt:variant>
      <vt:variant>
        <vt:i4>0</vt:i4>
      </vt:variant>
      <vt:variant>
        <vt:i4>5</vt:i4>
      </vt:variant>
      <vt:variant>
        <vt:lpwstr/>
      </vt:variant>
      <vt:variant>
        <vt:lpwstr>_Toc450552708</vt:lpwstr>
      </vt:variant>
      <vt:variant>
        <vt:i4>1376310</vt:i4>
      </vt:variant>
      <vt:variant>
        <vt:i4>14</vt:i4>
      </vt:variant>
      <vt:variant>
        <vt:i4>0</vt:i4>
      </vt:variant>
      <vt:variant>
        <vt:i4>5</vt:i4>
      </vt:variant>
      <vt:variant>
        <vt:lpwstr/>
      </vt:variant>
      <vt:variant>
        <vt:lpwstr>_Toc450552707</vt:lpwstr>
      </vt:variant>
      <vt:variant>
        <vt:i4>1376310</vt:i4>
      </vt:variant>
      <vt:variant>
        <vt:i4>8</vt:i4>
      </vt:variant>
      <vt:variant>
        <vt:i4>0</vt:i4>
      </vt:variant>
      <vt:variant>
        <vt:i4>5</vt:i4>
      </vt:variant>
      <vt:variant>
        <vt:lpwstr/>
      </vt:variant>
      <vt:variant>
        <vt:lpwstr>_Toc450552706</vt:lpwstr>
      </vt:variant>
      <vt:variant>
        <vt:i4>1376310</vt:i4>
      </vt:variant>
      <vt:variant>
        <vt:i4>2</vt:i4>
      </vt:variant>
      <vt:variant>
        <vt:i4>0</vt:i4>
      </vt:variant>
      <vt:variant>
        <vt:i4>5</vt:i4>
      </vt:variant>
      <vt:variant>
        <vt:lpwstr/>
      </vt:variant>
      <vt:variant>
        <vt:lpwstr>_Toc450552705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cp:lastModifiedBy>
  <cp:revision>3</cp:revision>
  <cp:lastPrinted>2016-06-28T12:46:00Z</cp:lastPrinted>
  <dcterms:created xsi:type="dcterms:W3CDTF">2016-06-28T16:17:00Z</dcterms:created>
  <dcterms:modified xsi:type="dcterms:W3CDTF">2016-06-28T16:21:00Z</dcterms:modified>
</cp:coreProperties>
</file>