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CF49" w14:textId="2819B949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356126C1" w14:textId="2AA49E1A" w:rsidR="005410FE" w:rsidRPr="005410FE" w:rsidRDefault="005410FE" w:rsidP="002940A6">
      <w:pPr>
        <w:pStyle w:val="BodyA"/>
        <w:spacing w:line="312" w:lineRule="auto"/>
        <w:jc w:val="center"/>
        <w:rPr>
          <w:rFonts w:cs="Times New Roman"/>
          <w:b/>
          <w:bCs/>
          <w:sz w:val="52"/>
          <w:szCs w:val="52"/>
          <w:lang w:val="cs-CZ"/>
        </w:rPr>
      </w:pPr>
      <w:r w:rsidRPr="005410FE">
        <w:rPr>
          <w:rFonts w:cs="Times New Roman"/>
          <w:b/>
          <w:bCs/>
          <w:sz w:val="52"/>
          <w:szCs w:val="52"/>
          <w:lang w:val="cs-CZ"/>
        </w:rPr>
        <w:t>KUPNÍ SMLOUVA</w:t>
      </w:r>
    </w:p>
    <w:p w14:paraId="50FF4549" w14:textId="77777777" w:rsid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8"/>
          <w:szCs w:val="28"/>
          <w:lang w:val="cs-CZ"/>
        </w:rPr>
      </w:pPr>
      <w:r w:rsidRPr="005410FE">
        <w:rPr>
          <w:rFonts w:eastAsia="Verdana" w:cs="Times New Roman"/>
          <w:sz w:val="24"/>
          <w:szCs w:val="24"/>
          <w:lang w:val="cs-CZ"/>
        </w:rPr>
        <w:br/>
      </w:r>
      <w:r w:rsidRPr="005410FE">
        <w:rPr>
          <w:rFonts w:eastAsia="Verdana" w:cs="Times New Roman"/>
          <w:b/>
          <w:bCs/>
          <w:sz w:val="28"/>
          <w:szCs w:val="28"/>
          <w:lang w:val="cs-CZ"/>
        </w:rPr>
        <w:t>VZOR</w:t>
      </w:r>
    </w:p>
    <w:p w14:paraId="6B188B68" w14:textId="3517114B" w:rsidR="005410FE" w:rsidRP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sz w:val="28"/>
          <w:szCs w:val="28"/>
          <w:lang w:val="cs-CZ"/>
        </w:rPr>
      </w:pPr>
      <w:r w:rsidRPr="005410FE">
        <w:rPr>
          <w:rFonts w:eastAsia="Verdana" w:cs="Times New Roman"/>
          <w:sz w:val="28"/>
          <w:szCs w:val="28"/>
          <w:lang w:val="cs-CZ"/>
        </w:rPr>
        <w:t>pro podání nabídky ve výběrovém řízení</w:t>
      </w:r>
      <w:r w:rsidRPr="005410FE">
        <w:rPr>
          <w:rFonts w:eastAsia="Verdana" w:cs="Times New Roman"/>
          <w:sz w:val="28"/>
          <w:szCs w:val="28"/>
          <w:lang w:val="cs-CZ"/>
        </w:rPr>
        <w:br/>
      </w:r>
      <w:r w:rsidRPr="005410FE">
        <w:rPr>
          <w:rFonts w:eastAsia="Verdana" w:cs="Times New Roman"/>
          <w:b/>
          <w:bCs/>
          <w:sz w:val="28"/>
          <w:szCs w:val="28"/>
          <w:lang w:val="cs-CZ"/>
        </w:rPr>
        <w:t>„Odkup výměníkových stanic“</w:t>
      </w:r>
      <w:r w:rsidRPr="005410FE">
        <w:rPr>
          <w:rFonts w:eastAsia="Verdana" w:cs="Times New Roman"/>
          <w:sz w:val="28"/>
          <w:szCs w:val="28"/>
          <w:lang w:val="cs-CZ"/>
        </w:rPr>
        <w:br/>
      </w:r>
    </w:p>
    <w:p w14:paraId="0B5F0841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57CC5CD6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5612528F" w14:textId="469BBD8E" w:rsidR="005410FE" w:rsidRPr="005410FE" w:rsidRDefault="005410FE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</w:rPr>
      </w:pPr>
      <w:r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>Městská část Praha 9</w:t>
      </w:r>
      <w:r w:rsidRPr="005410FE">
        <w:rPr>
          <w:rFonts w:eastAsia="Verdana" w:cs="Times New Roman"/>
          <w:color w:val="00000A"/>
          <w:sz w:val="24"/>
          <w:szCs w:val="24"/>
          <w:u w:color="00000A"/>
        </w:rPr>
        <w:br/>
      </w:r>
      <w:r>
        <w:rPr>
          <w:rFonts w:cs="Times New Roman"/>
          <w:color w:val="00000A"/>
          <w:sz w:val="24"/>
          <w:szCs w:val="24"/>
          <w:u w:color="00000A"/>
          <w:lang w:val="cs-CZ"/>
        </w:rPr>
        <w:t>IČO: 00063894, DIČ: CZ00063894</w:t>
      </w:r>
      <w:r w:rsidRPr="005410FE">
        <w:rPr>
          <w:rFonts w:cs="Times New Roman"/>
          <w:color w:val="00000A"/>
          <w:sz w:val="24"/>
          <w:szCs w:val="24"/>
          <w:u w:color="00000A"/>
        </w:rPr>
        <w:t xml:space="preserve"> </w:t>
      </w:r>
    </w:p>
    <w:p w14:paraId="17F62978" w14:textId="55C950C4" w:rsidR="005410FE" w:rsidRPr="005410FE" w:rsidRDefault="005410FE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  <w:lang w:val="cs-CZ"/>
        </w:rPr>
      </w:pPr>
      <w:r w:rsidRPr="005410FE">
        <w:rPr>
          <w:rFonts w:cs="Times New Roman"/>
          <w:color w:val="00000A"/>
          <w:sz w:val="24"/>
          <w:szCs w:val="24"/>
          <w:u w:color="00000A"/>
        </w:rPr>
        <w:t xml:space="preserve">se sídlem </w:t>
      </w:r>
      <w:r>
        <w:rPr>
          <w:rFonts w:cs="Times New Roman"/>
          <w:color w:val="00000A"/>
          <w:sz w:val="24"/>
          <w:szCs w:val="24"/>
          <w:u w:color="00000A"/>
          <w:lang w:val="cs-CZ"/>
        </w:rPr>
        <w:t>Sokolovská 14/324, Vysočany, 180 49 Praha 9</w:t>
      </w:r>
    </w:p>
    <w:p w14:paraId="59A19B30" w14:textId="78233B1B" w:rsidR="005410FE" w:rsidRPr="005410FE" w:rsidRDefault="005410FE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  <w:lang w:val="cs-CZ"/>
        </w:rPr>
      </w:pPr>
      <w:r w:rsidRPr="005410FE">
        <w:rPr>
          <w:rFonts w:cs="Times New Roman"/>
          <w:color w:val="00000A"/>
          <w:sz w:val="24"/>
          <w:szCs w:val="24"/>
          <w:u w:color="00000A"/>
        </w:rPr>
        <w:t>zastoupen</w:t>
      </w:r>
      <w:r>
        <w:rPr>
          <w:rFonts w:cs="Times New Roman"/>
          <w:color w:val="00000A"/>
          <w:sz w:val="24"/>
          <w:szCs w:val="24"/>
          <w:u w:color="00000A"/>
          <w:lang w:val="cs-CZ"/>
        </w:rPr>
        <w:t>a Mgr. Tomášem Portlíkem, starostou</w:t>
      </w:r>
    </w:p>
    <w:p w14:paraId="27CB5BED" w14:textId="5556AD2E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>(dále jen „</w:t>
      </w:r>
      <w:r>
        <w:rPr>
          <w:rFonts w:cs="Times New Roman"/>
          <w:b/>
          <w:bCs/>
          <w:sz w:val="24"/>
          <w:szCs w:val="24"/>
          <w:lang w:val="cs-CZ"/>
        </w:rPr>
        <w:t>Prodávající</w:t>
      </w:r>
      <w:r w:rsidRPr="005410FE">
        <w:rPr>
          <w:rFonts w:cs="Times New Roman"/>
          <w:sz w:val="24"/>
          <w:szCs w:val="24"/>
          <w:rtl/>
          <w:lang w:val="cs-CZ"/>
        </w:rPr>
        <w:t>“</w:t>
      </w:r>
      <w:r w:rsidRPr="005410FE">
        <w:rPr>
          <w:rFonts w:cs="Times New Roman"/>
          <w:sz w:val="24"/>
          <w:szCs w:val="24"/>
          <w:lang w:val="cs-CZ"/>
        </w:rPr>
        <w:t>)</w:t>
      </w:r>
    </w:p>
    <w:p w14:paraId="3F92649F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6E2AF336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a</w:t>
      </w:r>
    </w:p>
    <w:p w14:paraId="00C15B74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14DE15C9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......................................................</w:t>
      </w:r>
    </w:p>
    <w:p w14:paraId="26F66CAE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 xml:space="preserve">IČO: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</w:t>
      </w:r>
      <w:r w:rsidRPr="005410FE">
        <w:rPr>
          <w:rFonts w:cs="Times New Roman"/>
          <w:sz w:val="24"/>
          <w:szCs w:val="24"/>
          <w:lang w:val="cs-CZ"/>
        </w:rPr>
        <w:t xml:space="preserve">, DIČ: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....................</w:t>
      </w:r>
    </w:p>
    <w:p w14:paraId="56B41814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 xml:space="preserve">se sídlem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........................................</w:t>
      </w:r>
    </w:p>
    <w:p w14:paraId="560C96B0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 xml:space="preserve">zapsána/a v: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</w:t>
      </w:r>
    </w:p>
    <w:p w14:paraId="0E77AADE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 xml:space="preserve">zastoupen/a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....................................</w:t>
      </w:r>
    </w:p>
    <w:p w14:paraId="1FE2B52E" w14:textId="4F5B25D1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>(dále jen „</w:t>
      </w:r>
      <w:r w:rsidR="004E4FDC">
        <w:rPr>
          <w:rFonts w:cs="Times New Roman"/>
          <w:b/>
          <w:bCs/>
          <w:sz w:val="24"/>
          <w:szCs w:val="24"/>
          <w:lang w:val="cs-CZ"/>
        </w:rPr>
        <w:t>Kupující</w:t>
      </w:r>
      <w:r w:rsidRPr="005410FE">
        <w:rPr>
          <w:rFonts w:cs="Times New Roman"/>
          <w:sz w:val="24"/>
          <w:szCs w:val="24"/>
          <w:rtl/>
          <w:lang w:val="cs-CZ"/>
        </w:rPr>
        <w:t>“</w:t>
      </w:r>
      <w:r w:rsidRPr="005410FE">
        <w:rPr>
          <w:rFonts w:cs="Times New Roman"/>
          <w:sz w:val="24"/>
          <w:szCs w:val="24"/>
          <w:lang w:val="cs-CZ"/>
        </w:rPr>
        <w:t>)</w:t>
      </w:r>
    </w:p>
    <w:p w14:paraId="574D77D5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51FB0337" w14:textId="77777777" w:rsidR="005410FE" w:rsidRPr="005410FE" w:rsidRDefault="005410FE" w:rsidP="005410FE">
      <w:pPr>
        <w:pStyle w:val="BodyA"/>
        <w:spacing w:line="312" w:lineRule="auto"/>
        <w:rPr>
          <w:rFonts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>(společně také jako „</w:t>
      </w:r>
      <w:r w:rsidRPr="005410FE">
        <w:rPr>
          <w:rFonts w:cs="Times New Roman"/>
          <w:b/>
          <w:bCs/>
          <w:sz w:val="24"/>
          <w:szCs w:val="24"/>
          <w:lang w:val="cs-CZ"/>
        </w:rPr>
        <w:t>smluvní strany</w:t>
      </w:r>
      <w:r w:rsidRPr="005410FE">
        <w:rPr>
          <w:rFonts w:cs="Times New Roman"/>
          <w:sz w:val="24"/>
          <w:szCs w:val="24"/>
          <w:rtl/>
          <w:lang w:val="cs-CZ"/>
        </w:rPr>
        <w:t>“</w:t>
      </w:r>
      <w:r w:rsidRPr="005410FE">
        <w:rPr>
          <w:rFonts w:cs="Times New Roman"/>
          <w:sz w:val="24"/>
          <w:szCs w:val="24"/>
          <w:lang w:val="cs-CZ"/>
        </w:rPr>
        <w:t>)</w:t>
      </w:r>
    </w:p>
    <w:p w14:paraId="25B730D8" w14:textId="77777777" w:rsidR="005410FE" w:rsidRPr="005410FE" w:rsidRDefault="005410FE" w:rsidP="005410FE">
      <w:pPr>
        <w:pStyle w:val="BodyA"/>
        <w:spacing w:line="312" w:lineRule="auto"/>
        <w:rPr>
          <w:rFonts w:cs="Times New Roman"/>
          <w:sz w:val="24"/>
          <w:szCs w:val="24"/>
          <w:lang w:val="cs-CZ"/>
        </w:rPr>
      </w:pPr>
    </w:p>
    <w:p w14:paraId="7FD99C77" w14:textId="5F8A771D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>uzavírají níže uvedeného dne</w:t>
      </w:r>
      <w:r w:rsidR="00962EE5">
        <w:rPr>
          <w:rFonts w:cs="Times New Roman"/>
          <w:sz w:val="24"/>
          <w:szCs w:val="24"/>
          <w:lang w:val="cs-CZ"/>
        </w:rPr>
        <w:t xml:space="preserve"> dle </w:t>
      </w:r>
      <w:r w:rsidRPr="005410FE">
        <w:rPr>
          <w:rFonts w:cs="Times New Roman"/>
          <w:sz w:val="24"/>
          <w:szCs w:val="24"/>
          <w:lang w:val="cs-CZ"/>
        </w:rPr>
        <w:t xml:space="preserve">s ust. § 2079 a násl. zákona č. 89/2012 Sb., občanského zákoníku, v platném znění (dále jen „občanský zákoník“) tuto </w:t>
      </w:r>
      <w:r w:rsidRPr="008A691D">
        <w:rPr>
          <w:rFonts w:cs="Times New Roman"/>
          <w:sz w:val="24"/>
          <w:szCs w:val="24"/>
          <w:lang w:val="cs-CZ"/>
        </w:rPr>
        <w:t>Kupní smlouvu</w:t>
      </w:r>
      <w:r w:rsidRPr="005410FE">
        <w:rPr>
          <w:rFonts w:cs="Times New Roman"/>
          <w:b/>
          <w:bCs/>
          <w:sz w:val="24"/>
          <w:szCs w:val="24"/>
          <w:lang w:val="cs-CZ"/>
        </w:rPr>
        <w:t xml:space="preserve"> </w:t>
      </w:r>
      <w:r w:rsidRPr="005410FE">
        <w:rPr>
          <w:rFonts w:cs="Times New Roman"/>
          <w:sz w:val="24"/>
          <w:szCs w:val="24"/>
          <w:lang w:val="cs-CZ"/>
        </w:rPr>
        <w:t>(dále jen „</w:t>
      </w:r>
      <w:r w:rsidRPr="008A691D">
        <w:rPr>
          <w:rFonts w:cs="Times New Roman"/>
          <w:b/>
          <w:bCs/>
          <w:sz w:val="24"/>
          <w:szCs w:val="24"/>
          <w:lang w:val="cs-CZ"/>
        </w:rPr>
        <w:t>Smlouva</w:t>
      </w:r>
      <w:r w:rsidRPr="005410FE">
        <w:rPr>
          <w:rFonts w:cs="Times New Roman"/>
          <w:sz w:val="24"/>
          <w:szCs w:val="24"/>
          <w:lang w:val="cs-CZ"/>
        </w:rPr>
        <w:t>“):</w:t>
      </w:r>
    </w:p>
    <w:p w14:paraId="570B7EEC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6F110F8E" w14:textId="77777777" w:rsidR="005410FE" w:rsidRP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</w:p>
    <w:p w14:paraId="7C8EA308" w14:textId="5A058CBD" w:rsidR="005410FE" w:rsidRP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I.</w:t>
      </w:r>
    </w:p>
    <w:p w14:paraId="0711720E" w14:textId="48666940" w:rsidR="005410FE" w:rsidRP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 xml:space="preserve">Předmět </w:t>
      </w:r>
      <w:r w:rsidR="002940A6">
        <w:rPr>
          <w:rFonts w:cs="Times New Roman"/>
          <w:b/>
          <w:bCs/>
          <w:sz w:val="24"/>
          <w:szCs w:val="24"/>
          <w:lang w:val="cs-CZ"/>
        </w:rPr>
        <w:t>převodu</w:t>
      </w:r>
    </w:p>
    <w:p w14:paraId="5DEC1183" w14:textId="77777777" w:rsidR="008A691D" w:rsidRDefault="008A691D" w:rsidP="008A691D">
      <w:pPr>
        <w:pStyle w:val="BodyA"/>
        <w:spacing w:line="312" w:lineRule="auto"/>
        <w:jc w:val="both"/>
        <w:rPr>
          <w:rFonts w:eastAsia="Verdana" w:cs="Times New Roman"/>
          <w:b/>
          <w:bCs/>
          <w:sz w:val="24"/>
          <w:szCs w:val="24"/>
          <w:lang w:val="cs-CZ"/>
        </w:rPr>
      </w:pPr>
    </w:p>
    <w:p w14:paraId="3A6BD250" w14:textId="11CEA866" w:rsidR="008A691D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A691D">
        <w:rPr>
          <w:rFonts w:cs="Times New Roman"/>
          <w:b/>
          <w:bCs/>
          <w:sz w:val="24"/>
          <w:szCs w:val="24"/>
          <w:lang w:val="cs-CZ"/>
        </w:rPr>
        <w:t>1.1.</w:t>
      </w:r>
      <w:r>
        <w:rPr>
          <w:rFonts w:cs="Times New Roman"/>
          <w:sz w:val="24"/>
          <w:szCs w:val="24"/>
          <w:lang w:val="cs-CZ"/>
        </w:rPr>
        <w:t xml:space="preserve"> </w:t>
      </w:r>
      <w:r w:rsidR="005410FE" w:rsidRPr="005410FE">
        <w:rPr>
          <w:rFonts w:cs="Times New Roman"/>
          <w:sz w:val="24"/>
          <w:szCs w:val="24"/>
          <w:lang w:val="cs-CZ"/>
        </w:rPr>
        <w:t xml:space="preserve">Prodávající </w:t>
      </w:r>
      <w:r>
        <w:rPr>
          <w:rFonts w:cs="Times New Roman"/>
          <w:sz w:val="24"/>
          <w:szCs w:val="24"/>
          <w:lang w:val="cs-CZ"/>
        </w:rPr>
        <w:t>vykonává práva vlastníka k</w:t>
      </w:r>
      <w:r w:rsidR="00B079D0">
        <w:rPr>
          <w:rFonts w:cs="Times New Roman"/>
          <w:sz w:val="24"/>
          <w:szCs w:val="24"/>
          <w:lang w:val="cs-CZ"/>
        </w:rPr>
        <w:t> </w:t>
      </w:r>
      <w:r>
        <w:rPr>
          <w:rFonts w:cs="Times New Roman"/>
          <w:sz w:val="24"/>
          <w:szCs w:val="24"/>
          <w:lang w:val="cs-CZ"/>
        </w:rPr>
        <w:t>následující</w:t>
      </w:r>
      <w:r w:rsidR="00B079D0">
        <w:rPr>
          <w:rFonts w:cs="Times New Roman"/>
          <w:sz w:val="24"/>
          <w:szCs w:val="24"/>
          <w:lang w:val="cs-CZ"/>
        </w:rPr>
        <w:t>mu souboru</w:t>
      </w:r>
      <w:r>
        <w:rPr>
          <w:rFonts w:cs="Times New Roman"/>
          <w:sz w:val="24"/>
          <w:szCs w:val="24"/>
          <w:lang w:val="cs-CZ"/>
        </w:rPr>
        <w:t xml:space="preserve"> movit</w:t>
      </w:r>
      <w:r w:rsidR="00B079D0">
        <w:rPr>
          <w:rFonts w:cs="Times New Roman"/>
          <w:sz w:val="24"/>
          <w:szCs w:val="24"/>
          <w:lang w:val="cs-CZ"/>
        </w:rPr>
        <w:t>ých</w:t>
      </w:r>
      <w:r>
        <w:rPr>
          <w:rFonts w:cs="Times New Roman"/>
          <w:sz w:val="24"/>
          <w:szCs w:val="24"/>
          <w:lang w:val="cs-CZ"/>
        </w:rPr>
        <w:t xml:space="preserve"> věc</w:t>
      </w:r>
      <w:r w:rsidR="00B079D0">
        <w:rPr>
          <w:rFonts w:cs="Times New Roman"/>
          <w:sz w:val="24"/>
          <w:szCs w:val="24"/>
          <w:lang w:val="cs-CZ"/>
        </w:rPr>
        <w:t>í</w:t>
      </w:r>
      <w:r w:rsidR="00046B24">
        <w:rPr>
          <w:rFonts w:cs="Times New Roman"/>
          <w:sz w:val="24"/>
          <w:szCs w:val="24"/>
          <w:lang w:val="cs-CZ"/>
        </w:rPr>
        <w:t>, tvořících nedílný celek</w:t>
      </w:r>
      <w:r w:rsidR="009645EC">
        <w:rPr>
          <w:rFonts w:cs="Times New Roman"/>
          <w:sz w:val="24"/>
          <w:szCs w:val="24"/>
          <w:lang w:val="cs-CZ"/>
        </w:rPr>
        <w:t xml:space="preserve"> (hromadné movité věci)</w:t>
      </w:r>
      <w:r w:rsidR="00046B24">
        <w:rPr>
          <w:rFonts w:cs="Times New Roman"/>
          <w:sz w:val="24"/>
          <w:szCs w:val="24"/>
          <w:lang w:val="cs-CZ"/>
        </w:rPr>
        <w:t>,</w:t>
      </w:r>
      <w:r>
        <w:rPr>
          <w:rFonts w:cs="Times New Roman"/>
          <w:sz w:val="24"/>
          <w:szCs w:val="24"/>
          <w:lang w:val="cs-CZ"/>
        </w:rPr>
        <w:t xml:space="preserve"> ve vlastnictví hlavního města Prahy, IČO: </w:t>
      </w:r>
      <w:r w:rsidR="005D2E5B">
        <w:rPr>
          <w:rFonts w:cs="Times New Roman"/>
          <w:sz w:val="24"/>
          <w:szCs w:val="24"/>
          <w:lang w:val="cs-CZ"/>
        </w:rPr>
        <w:t>00064581, se sídlem Mariánské náměstí 2/2, Staré Město, 110 00 Praha 1:</w:t>
      </w:r>
    </w:p>
    <w:p w14:paraId="6F853039" w14:textId="77777777" w:rsidR="005D2E5B" w:rsidRDefault="005D2E5B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57C40818" w14:textId="77777777" w:rsidR="005D2E5B" w:rsidRDefault="005D2E5B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7E8BD294" w14:textId="25AA3C8C" w:rsidR="005D2E5B" w:rsidRPr="00B93702" w:rsidRDefault="00B93702" w:rsidP="00B93702">
      <w:pPr>
        <w:pStyle w:val="NormalWeb"/>
        <w:shd w:val="clear" w:color="auto" w:fill="FFFFFF"/>
        <w:spacing w:line="312" w:lineRule="auto"/>
        <w:jc w:val="both"/>
        <w:rPr>
          <w:b/>
          <w:bCs/>
          <w:color w:val="FF0000"/>
          <w:u w:val="single"/>
        </w:rPr>
      </w:pPr>
      <w:r w:rsidRPr="00B93702">
        <w:rPr>
          <w:b/>
          <w:bCs/>
          <w:color w:val="FF0000"/>
          <w:highlight w:val="yellow"/>
          <w:u w:val="single"/>
        </w:rPr>
        <w:lastRenderedPageBreak/>
        <w:t>UCHAZEČ VYBERE PŘÍSLUŠNOU VARIANTU</w:t>
      </w:r>
    </w:p>
    <w:p w14:paraId="3D39EEEA" w14:textId="5852B273" w:rsidR="00052E03" w:rsidRPr="00052E03" w:rsidRDefault="00052E03" w:rsidP="00052E03">
      <w:pPr>
        <w:pStyle w:val="ListParagraph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  <w:rPr>
          <w:rFonts w:cs="Times New Roman"/>
          <w:sz w:val="24"/>
          <w:szCs w:val="24"/>
          <w:highlight w:val="yellow"/>
        </w:rPr>
      </w:pPr>
      <w:r w:rsidRPr="00052E03">
        <w:rPr>
          <w:rFonts w:cs="Times New Roman"/>
          <w:b/>
          <w:bCs/>
          <w:sz w:val="24"/>
          <w:szCs w:val="24"/>
          <w:highlight w:val="yellow"/>
          <w:lang w:val="cs-CZ"/>
        </w:rPr>
        <w:t xml:space="preserve">technologie </w:t>
      </w:r>
      <w:r w:rsidRPr="00052E03">
        <w:rPr>
          <w:rFonts w:cs="Times New Roman"/>
          <w:b/>
          <w:bCs/>
          <w:sz w:val="24"/>
          <w:szCs w:val="24"/>
          <w:highlight w:val="yellow"/>
        </w:rPr>
        <w:t>výměníkov</w:t>
      </w:r>
      <w:r w:rsidRPr="00052E03">
        <w:rPr>
          <w:rFonts w:cs="Times New Roman"/>
          <w:b/>
          <w:bCs/>
          <w:sz w:val="24"/>
          <w:szCs w:val="24"/>
          <w:highlight w:val="yellow"/>
          <w:lang w:val="cs-CZ"/>
        </w:rPr>
        <w:t>é</w:t>
      </w:r>
      <w:r w:rsidRPr="00052E03">
        <w:rPr>
          <w:rFonts w:cs="Times New Roman"/>
          <w:b/>
          <w:bCs/>
          <w:sz w:val="24"/>
          <w:szCs w:val="24"/>
          <w:highlight w:val="yellow"/>
        </w:rPr>
        <w:t xml:space="preserve"> stanice</w:t>
      </w:r>
      <w:r w:rsidRPr="00052E03">
        <w:rPr>
          <w:rFonts w:cs="Times New Roman"/>
          <w:sz w:val="24"/>
          <w:szCs w:val="24"/>
          <w:highlight w:val="yellow"/>
        </w:rPr>
        <w:t xml:space="preserve"> – zdroj tepla včetně předávacích stanic, 2.519 kW, celoroční provoz, technologie CETETHERM, rok výroby 1996, RTZ 455, počet PS 1+5 (včetně), umístěn</w:t>
      </w:r>
      <w:r>
        <w:rPr>
          <w:rFonts w:cs="Times New Roman"/>
          <w:sz w:val="24"/>
          <w:szCs w:val="24"/>
          <w:highlight w:val="yellow"/>
          <w:lang w:val="cs-CZ"/>
        </w:rPr>
        <w:t>á</w:t>
      </w:r>
      <w:r w:rsidRPr="00052E03">
        <w:rPr>
          <w:rFonts w:cs="Times New Roman"/>
          <w:sz w:val="24"/>
          <w:szCs w:val="24"/>
          <w:highlight w:val="yellow"/>
        </w:rPr>
        <w:t xml:space="preserve"> </w:t>
      </w:r>
      <w:r w:rsidRPr="00052E03">
        <w:rPr>
          <w:rFonts w:cs="Times New Roman"/>
          <w:b/>
          <w:bCs/>
          <w:sz w:val="24"/>
          <w:szCs w:val="24"/>
          <w:highlight w:val="yellow"/>
        </w:rPr>
        <w:t>v bytovém domě č.p. 972 v k.ú. Libeň, na adrese Sokolovská 972/195, Praha 9</w:t>
      </w:r>
      <w:r w:rsidRPr="00052E03">
        <w:rPr>
          <w:rFonts w:cs="Times New Roman"/>
          <w:sz w:val="24"/>
          <w:szCs w:val="24"/>
          <w:highlight w:val="yellow"/>
        </w:rPr>
        <w:t xml:space="preserve">, z jejíhož provozu vč. příslušných předávacích stanic mají užitek bytové domy na adrese Sokolovská 965/183 a 966/185, Sokolovská 967/187 a 968/189, Sokolovská 971/193 a 972/195, Sokolovská 973/197 a 974/199 a Čihákova 871/15 (předávací stanice umístěná v domě 872/17) </w:t>
      </w:r>
    </w:p>
    <w:p w14:paraId="2AA4C5A0" w14:textId="77777777" w:rsidR="00052E03" w:rsidRPr="00052E03" w:rsidRDefault="00052E03" w:rsidP="00052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  <w:rPr>
          <w:highlight w:val="yellow"/>
        </w:rPr>
      </w:pPr>
    </w:p>
    <w:p w14:paraId="0DF91E2E" w14:textId="5DC7008C" w:rsidR="00052E03" w:rsidRPr="00052E03" w:rsidRDefault="00052E03" w:rsidP="00052E03">
      <w:pPr>
        <w:pStyle w:val="ListParagraph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  <w:rPr>
          <w:rFonts w:cs="Times New Roman"/>
          <w:sz w:val="24"/>
          <w:szCs w:val="24"/>
          <w:highlight w:val="yellow"/>
        </w:rPr>
      </w:pPr>
      <w:r w:rsidRPr="00052E03">
        <w:rPr>
          <w:rFonts w:cs="Times New Roman"/>
          <w:b/>
          <w:bCs/>
          <w:sz w:val="24"/>
          <w:szCs w:val="24"/>
          <w:highlight w:val="yellow"/>
          <w:lang w:val="cs-CZ"/>
        </w:rPr>
        <w:t xml:space="preserve">technologie </w:t>
      </w:r>
      <w:r w:rsidRPr="00052E03">
        <w:rPr>
          <w:rFonts w:cs="Times New Roman"/>
          <w:b/>
          <w:bCs/>
          <w:sz w:val="24"/>
          <w:szCs w:val="24"/>
          <w:highlight w:val="yellow"/>
        </w:rPr>
        <w:t>výměníkov</w:t>
      </w:r>
      <w:r w:rsidRPr="00052E03">
        <w:rPr>
          <w:rFonts w:cs="Times New Roman"/>
          <w:b/>
          <w:bCs/>
          <w:sz w:val="24"/>
          <w:szCs w:val="24"/>
          <w:highlight w:val="yellow"/>
          <w:lang w:val="cs-CZ"/>
        </w:rPr>
        <w:t>é</w:t>
      </w:r>
      <w:r w:rsidRPr="00052E03">
        <w:rPr>
          <w:rFonts w:cs="Times New Roman"/>
          <w:b/>
          <w:bCs/>
          <w:sz w:val="24"/>
          <w:szCs w:val="24"/>
          <w:highlight w:val="yellow"/>
        </w:rPr>
        <w:t xml:space="preserve"> stanice</w:t>
      </w:r>
      <w:r w:rsidRPr="00052E03">
        <w:rPr>
          <w:rFonts w:cs="Times New Roman"/>
          <w:sz w:val="24"/>
          <w:szCs w:val="24"/>
          <w:highlight w:val="yellow"/>
        </w:rPr>
        <w:t xml:space="preserve"> – zdroj tepla včetně předávacích stanic, 959 kW, celoroční provoz, technologie SYSTHERM, rok výroby 2009, RTZ 170, počet PS 1+4 (včetně), umístěn</w:t>
      </w:r>
      <w:r>
        <w:rPr>
          <w:rFonts w:cs="Times New Roman"/>
          <w:sz w:val="24"/>
          <w:szCs w:val="24"/>
          <w:highlight w:val="yellow"/>
          <w:lang w:val="cs-CZ"/>
        </w:rPr>
        <w:t>á</w:t>
      </w:r>
      <w:r w:rsidRPr="00052E03">
        <w:rPr>
          <w:rFonts w:cs="Times New Roman"/>
          <w:sz w:val="24"/>
          <w:szCs w:val="24"/>
          <w:highlight w:val="yellow"/>
        </w:rPr>
        <w:t xml:space="preserve"> </w:t>
      </w:r>
      <w:r w:rsidRPr="00052E03">
        <w:rPr>
          <w:rFonts w:cs="Times New Roman"/>
          <w:b/>
          <w:bCs/>
          <w:sz w:val="24"/>
          <w:szCs w:val="24"/>
          <w:highlight w:val="yellow"/>
        </w:rPr>
        <w:t>v bytovém domě č.p. 1070 v k.ú. Libeň, na adrese U Svobodárny 1070/9, Praha 9</w:t>
      </w:r>
      <w:r w:rsidRPr="00052E03">
        <w:rPr>
          <w:rFonts w:cs="Times New Roman"/>
          <w:sz w:val="24"/>
          <w:szCs w:val="24"/>
          <w:highlight w:val="yellow"/>
        </w:rPr>
        <w:t xml:space="preserve">, z jejíhož provozu vč. příslušných předávacích stanic má užitek uvedený bytový dům, jakož i bytové domy na adrese U Svobodárny 1071/7, Sokolovská 1069/254 a Sokolovská 1017/252 </w:t>
      </w:r>
    </w:p>
    <w:p w14:paraId="2E1E5748" w14:textId="77777777" w:rsidR="00052E03" w:rsidRPr="00052E03" w:rsidRDefault="00052E03" w:rsidP="00052E03">
      <w:pPr>
        <w:pStyle w:val="ListParagraph"/>
        <w:rPr>
          <w:rFonts w:cs="Times New Roman"/>
          <w:sz w:val="24"/>
          <w:szCs w:val="24"/>
          <w:highlight w:val="yellow"/>
        </w:rPr>
      </w:pPr>
    </w:p>
    <w:p w14:paraId="5CCC8BDC" w14:textId="0B615E0D" w:rsidR="00052E03" w:rsidRPr="002940A6" w:rsidRDefault="00052E03" w:rsidP="00052E03">
      <w:pPr>
        <w:pStyle w:val="ListParagraph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  <w:rPr>
          <w:rFonts w:cs="Times New Roman"/>
          <w:sz w:val="24"/>
          <w:szCs w:val="24"/>
          <w:lang w:val="cs-CZ"/>
        </w:rPr>
      </w:pPr>
      <w:r w:rsidRPr="002940A6">
        <w:rPr>
          <w:rFonts w:cs="Times New Roman"/>
          <w:sz w:val="24"/>
          <w:szCs w:val="24"/>
          <w:lang w:val="cs-CZ"/>
        </w:rPr>
        <w:t>(dále jen „</w:t>
      </w:r>
      <w:r w:rsidRPr="002940A6">
        <w:rPr>
          <w:rFonts w:cs="Times New Roman"/>
          <w:b/>
          <w:bCs/>
          <w:sz w:val="24"/>
          <w:szCs w:val="24"/>
          <w:lang w:val="cs-CZ"/>
        </w:rPr>
        <w:t>Předmět převodu</w:t>
      </w:r>
      <w:r w:rsidRPr="002940A6">
        <w:rPr>
          <w:rFonts w:cs="Times New Roman"/>
          <w:sz w:val="24"/>
          <w:szCs w:val="24"/>
          <w:lang w:val="cs-CZ"/>
        </w:rPr>
        <w:t>“)</w:t>
      </w:r>
    </w:p>
    <w:p w14:paraId="499255F9" w14:textId="77777777" w:rsidR="00052E03" w:rsidRPr="002940A6" w:rsidRDefault="00052E03" w:rsidP="00052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</w:pPr>
    </w:p>
    <w:p w14:paraId="0C2C575C" w14:textId="075B672F" w:rsidR="008A691D" w:rsidRPr="002940A6" w:rsidRDefault="00052E03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2940A6">
        <w:rPr>
          <w:rFonts w:cs="Times New Roman"/>
          <w:b/>
          <w:bCs/>
          <w:sz w:val="24"/>
          <w:szCs w:val="24"/>
          <w:lang w:val="cs-CZ"/>
        </w:rPr>
        <w:t>1.2.</w:t>
      </w:r>
      <w:r w:rsidRPr="002940A6">
        <w:rPr>
          <w:rFonts w:cs="Times New Roman"/>
          <w:sz w:val="24"/>
          <w:szCs w:val="24"/>
          <w:lang w:val="cs-CZ"/>
        </w:rPr>
        <w:t xml:space="preserve"> Prodávající</w:t>
      </w:r>
      <w:r w:rsidRPr="002940A6">
        <w:rPr>
          <w:rFonts w:cs="Times New Roman"/>
          <w:sz w:val="24"/>
          <w:szCs w:val="24"/>
        </w:rPr>
        <w:t xml:space="preserve"> je městskou částí hlavního města Prahy</w:t>
      </w:r>
      <w:r w:rsidR="002940A6" w:rsidRPr="002940A6">
        <w:rPr>
          <w:rFonts w:cs="Times New Roman"/>
          <w:sz w:val="24"/>
          <w:szCs w:val="24"/>
          <w:lang w:val="cs-CZ"/>
        </w:rPr>
        <w:t xml:space="preserve"> je</w:t>
      </w:r>
      <w:r w:rsidRPr="002940A6">
        <w:rPr>
          <w:rFonts w:cs="Times New Roman"/>
          <w:sz w:val="24"/>
          <w:szCs w:val="24"/>
        </w:rPr>
        <w:t xml:space="preserve"> v souladu se zákonem č. 131/2000 Sb., o hl. m. Praze, v platném znění, a </w:t>
      </w:r>
      <w:r w:rsidR="002940A6" w:rsidRPr="002940A6">
        <w:rPr>
          <w:rFonts w:cs="Times New Roman"/>
          <w:sz w:val="24"/>
          <w:szCs w:val="24"/>
          <w:lang w:val="cs-CZ"/>
        </w:rPr>
        <w:t xml:space="preserve">obecně závaznou </w:t>
      </w:r>
      <w:r w:rsidRPr="002940A6">
        <w:rPr>
          <w:rFonts w:cs="Times New Roman"/>
          <w:sz w:val="24"/>
          <w:szCs w:val="24"/>
        </w:rPr>
        <w:t>vyhláškou č. 55/2000 Sb. HMP, kterou se vydává Statut hl. m. Prahy, oprávněna uzavřít tuto Smlouvu</w:t>
      </w:r>
      <w:r w:rsidR="009645EC">
        <w:rPr>
          <w:rFonts w:cs="Times New Roman"/>
          <w:sz w:val="24"/>
          <w:szCs w:val="24"/>
          <w:lang w:val="cs-CZ"/>
        </w:rPr>
        <w:t>, tj. převést vlastnictví k Předmětu převodu</w:t>
      </w:r>
      <w:r w:rsidR="002940A6" w:rsidRPr="002940A6">
        <w:rPr>
          <w:rFonts w:cs="Times New Roman"/>
          <w:sz w:val="24"/>
          <w:szCs w:val="24"/>
          <w:lang w:val="cs-CZ"/>
        </w:rPr>
        <w:t xml:space="preserve"> </w:t>
      </w:r>
      <w:r w:rsidR="00695FAC">
        <w:rPr>
          <w:rFonts w:cs="Times New Roman"/>
          <w:sz w:val="24"/>
          <w:szCs w:val="24"/>
          <w:lang w:val="cs-CZ"/>
        </w:rPr>
        <w:t>vlastním</w:t>
      </w:r>
      <w:r w:rsidR="002940A6" w:rsidRPr="002940A6">
        <w:rPr>
          <w:rFonts w:cs="Times New Roman"/>
          <w:sz w:val="24"/>
          <w:szCs w:val="24"/>
          <w:lang w:val="cs-CZ"/>
        </w:rPr>
        <w:t xml:space="preserve"> jménem.</w:t>
      </w:r>
    </w:p>
    <w:p w14:paraId="27739336" w14:textId="77777777" w:rsidR="008A691D" w:rsidRPr="002940A6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27949B74" w14:textId="77777777" w:rsidR="008A691D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6E116F60" w14:textId="1E836405" w:rsidR="002940A6" w:rsidRPr="005410FE" w:rsidRDefault="002940A6" w:rsidP="002940A6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I</w:t>
      </w:r>
      <w:r>
        <w:rPr>
          <w:rFonts w:cs="Times New Roman"/>
          <w:b/>
          <w:bCs/>
          <w:sz w:val="24"/>
          <w:szCs w:val="24"/>
          <w:lang w:val="cs-CZ"/>
        </w:rPr>
        <w:t>I</w:t>
      </w:r>
      <w:r w:rsidRPr="005410FE">
        <w:rPr>
          <w:rFonts w:cs="Times New Roman"/>
          <w:b/>
          <w:bCs/>
          <w:sz w:val="24"/>
          <w:szCs w:val="24"/>
          <w:lang w:val="cs-CZ"/>
        </w:rPr>
        <w:t>.</w:t>
      </w:r>
    </w:p>
    <w:p w14:paraId="2DEAA9DE" w14:textId="77777777" w:rsidR="002940A6" w:rsidRPr="005410FE" w:rsidRDefault="002940A6" w:rsidP="002940A6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 xml:space="preserve">Předmět Smlouvy </w:t>
      </w:r>
    </w:p>
    <w:p w14:paraId="5F85A271" w14:textId="77777777" w:rsidR="008A691D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6AA66EED" w14:textId="69B4EA6A" w:rsidR="008A691D" w:rsidRDefault="002940A6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2940A6">
        <w:rPr>
          <w:rFonts w:cs="Times New Roman"/>
          <w:b/>
          <w:bCs/>
          <w:sz w:val="24"/>
          <w:szCs w:val="24"/>
          <w:lang w:val="cs-CZ"/>
        </w:rPr>
        <w:t>2.1.</w:t>
      </w:r>
      <w:r>
        <w:rPr>
          <w:rFonts w:cs="Times New Roman"/>
          <w:sz w:val="24"/>
          <w:szCs w:val="24"/>
          <w:lang w:val="cs-CZ"/>
        </w:rPr>
        <w:t xml:space="preserve"> Prodávající touto Smlouvou převádí vlastnické právo k Předmětu převodu se všemi jeho součástmi a příslušenstvím na Kupujícího a zavazuje se mu </w:t>
      </w:r>
      <w:r w:rsidR="003915C1">
        <w:rPr>
          <w:rFonts w:cs="Times New Roman"/>
          <w:sz w:val="24"/>
          <w:szCs w:val="24"/>
          <w:lang w:val="cs-CZ"/>
        </w:rPr>
        <w:t>jej</w:t>
      </w:r>
      <w:r>
        <w:rPr>
          <w:rFonts w:cs="Times New Roman"/>
          <w:sz w:val="24"/>
          <w:szCs w:val="24"/>
          <w:lang w:val="cs-CZ"/>
        </w:rPr>
        <w:t xml:space="preserve"> předat. Kupující Předmět převodu se všemi jeho součástmi a příslušenstvím do svého výlučného vlastnictví přijímá, zavazuje se jej převzít a zaplatit</w:t>
      </w:r>
      <w:r w:rsidR="003915C1">
        <w:rPr>
          <w:rFonts w:cs="Times New Roman"/>
          <w:sz w:val="24"/>
          <w:szCs w:val="24"/>
          <w:lang w:val="cs-CZ"/>
        </w:rPr>
        <w:t xml:space="preserve"> za něj</w:t>
      </w:r>
      <w:r>
        <w:rPr>
          <w:rFonts w:cs="Times New Roman"/>
          <w:sz w:val="24"/>
          <w:szCs w:val="24"/>
          <w:lang w:val="cs-CZ"/>
        </w:rPr>
        <w:t xml:space="preserve"> Prodávajícímu touto Smlouvou ujednanou kupní cenu.</w:t>
      </w:r>
    </w:p>
    <w:p w14:paraId="168C60DE" w14:textId="77777777" w:rsidR="008A691D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61AAE7ED" w14:textId="0B7A7190" w:rsidR="008A2106" w:rsidRDefault="002940A6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EC16DD">
        <w:rPr>
          <w:rFonts w:cs="Times New Roman"/>
          <w:b/>
          <w:bCs/>
          <w:sz w:val="24"/>
          <w:szCs w:val="24"/>
          <w:lang w:val="cs-CZ"/>
        </w:rPr>
        <w:t>2.2.</w:t>
      </w:r>
      <w:r>
        <w:rPr>
          <w:rFonts w:cs="Times New Roman"/>
          <w:sz w:val="24"/>
          <w:szCs w:val="24"/>
          <w:lang w:val="cs-CZ"/>
        </w:rPr>
        <w:t xml:space="preserve"> Kupující prohlašuje, že si Př</w:t>
      </w:r>
      <w:r w:rsidR="003915C1">
        <w:rPr>
          <w:rFonts w:cs="Times New Roman"/>
          <w:sz w:val="24"/>
          <w:szCs w:val="24"/>
          <w:lang w:val="cs-CZ"/>
        </w:rPr>
        <w:t xml:space="preserve">edmět převodu podrobně </w:t>
      </w:r>
      <w:r w:rsidR="00487ED1">
        <w:rPr>
          <w:rFonts w:cs="Times New Roman"/>
          <w:sz w:val="24"/>
          <w:szCs w:val="24"/>
          <w:lang w:val="cs-CZ"/>
        </w:rPr>
        <w:t xml:space="preserve">a s vynaložením veškeré odborné péče </w:t>
      </w:r>
      <w:r w:rsidR="003915C1">
        <w:rPr>
          <w:rFonts w:cs="Times New Roman"/>
          <w:sz w:val="24"/>
          <w:szCs w:val="24"/>
          <w:lang w:val="cs-CZ"/>
        </w:rPr>
        <w:t xml:space="preserve">prohlédl, </w:t>
      </w:r>
      <w:r w:rsidR="00DB708B">
        <w:rPr>
          <w:rFonts w:cs="Times New Roman"/>
          <w:sz w:val="24"/>
          <w:szCs w:val="24"/>
          <w:lang w:val="cs-CZ"/>
        </w:rPr>
        <w:t xml:space="preserve">měl možnost zjistit jeho úplný </w:t>
      </w:r>
      <w:r w:rsidR="003A0E31">
        <w:rPr>
          <w:rFonts w:cs="Times New Roman"/>
          <w:sz w:val="24"/>
          <w:szCs w:val="24"/>
          <w:lang w:val="cs-CZ"/>
        </w:rPr>
        <w:t xml:space="preserve">faktický </w:t>
      </w:r>
      <w:r w:rsidR="00DB708B">
        <w:rPr>
          <w:rFonts w:cs="Times New Roman"/>
          <w:sz w:val="24"/>
          <w:szCs w:val="24"/>
          <w:lang w:val="cs-CZ"/>
        </w:rPr>
        <w:t>stav se zapojením odborn</w:t>
      </w:r>
      <w:r w:rsidR="007A4D99">
        <w:rPr>
          <w:rFonts w:cs="Times New Roman"/>
          <w:sz w:val="24"/>
          <w:szCs w:val="24"/>
          <w:lang w:val="cs-CZ"/>
        </w:rPr>
        <w:t xml:space="preserve">ě </w:t>
      </w:r>
      <w:r w:rsidR="00DB708B">
        <w:rPr>
          <w:rFonts w:cs="Times New Roman"/>
          <w:sz w:val="24"/>
          <w:szCs w:val="24"/>
          <w:lang w:val="cs-CZ"/>
        </w:rPr>
        <w:t xml:space="preserve">způsobilé osoby, </w:t>
      </w:r>
      <w:r w:rsidR="003915C1">
        <w:rPr>
          <w:rFonts w:cs="Times New Roman"/>
          <w:sz w:val="24"/>
          <w:szCs w:val="24"/>
          <w:lang w:val="cs-CZ"/>
        </w:rPr>
        <w:t xml:space="preserve">je </w:t>
      </w:r>
      <w:r w:rsidR="00932DC9">
        <w:rPr>
          <w:rFonts w:cs="Times New Roman"/>
          <w:sz w:val="24"/>
          <w:szCs w:val="24"/>
          <w:lang w:val="cs-CZ"/>
        </w:rPr>
        <w:t xml:space="preserve">plně </w:t>
      </w:r>
      <w:r w:rsidR="003915C1">
        <w:rPr>
          <w:rFonts w:cs="Times New Roman"/>
          <w:sz w:val="24"/>
          <w:szCs w:val="24"/>
          <w:lang w:val="cs-CZ"/>
        </w:rPr>
        <w:t>seznámen s jeho technickým stavem</w:t>
      </w:r>
      <w:r w:rsidR="008A2106">
        <w:rPr>
          <w:rFonts w:cs="Times New Roman"/>
          <w:sz w:val="24"/>
          <w:szCs w:val="24"/>
          <w:lang w:val="cs-CZ"/>
        </w:rPr>
        <w:t xml:space="preserve"> a v tomto stavu Předmět převodu </w:t>
      </w:r>
      <w:r w:rsidR="00DB708B">
        <w:rPr>
          <w:rFonts w:cs="Times New Roman"/>
          <w:sz w:val="24"/>
          <w:szCs w:val="24"/>
          <w:lang w:val="cs-CZ"/>
        </w:rPr>
        <w:t xml:space="preserve">za podmínek této Smlouvy </w:t>
      </w:r>
      <w:r w:rsidR="008A2106">
        <w:rPr>
          <w:rFonts w:cs="Times New Roman"/>
          <w:sz w:val="24"/>
          <w:szCs w:val="24"/>
          <w:lang w:val="cs-CZ"/>
        </w:rPr>
        <w:t>přebírá. Kupující prohlašuje, že je mu známo, jak s Předmětem převodu nakládat a nepožaduje po Prodávajícím žádné d</w:t>
      </w:r>
      <w:r w:rsidR="0011057F">
        <w:rPr>
          <w:rFonts w:cs="Times New Roman"/>
          <w:sz w:val="24"/>
          <w:szCs w:val="24"/>
          <w:lang w:val="cs-CZ"/>
        </w:rPr>
        <w:t xml:space="preserve">alší </w:t>
      </w:r>
      <w:r w:rsidR="008A2106">
        <w:rPr>
          <w:rFonts w:cs="Times New Roman"/>
          <w:sz w:val="24"/>
          <w:szCs w:val="24"/>
          <w:lang w:val="cs-CZ"/>
        </w:rPr>
        <w:t>informace, neuvedené v této Smlouvě.</w:t>
      </w:r>
    </w:p>
    <w:p w14:paraId="45F861CF" w14:textId="6532C82D" w:rsidR="008A2106" w:rsidRDefault="008A2106" w:rsidP="008A2106">
      <w:pPr>
        <w:pStyle w:val="NormalWeb"/>
        <w:shd w:val="clear" w:color="auto" w:fill="FFFFFF"/>
        <w:spacing w:line="312" w:lineRule="auto"/>
        <w:jc w:val="both"/>
      </w:pPr>
      <w:r w:rsidRPr="00EC16DD">
        <w:rPr>
          <w:b/>
          <w:bCs/>
        </w:rPr>
        <w:t>2.3.</w:t>
      </w:r>
      <w:r>
        <w:t xml:space="preserve"> Kupující bere na vědomí, že spolu s vlastnickým právem </w:t>
      </w:r>
      <w:r w:rsidR="0011057F">
        <w:t xml:space="preserve">k </w:t>
      </w:r>
      <w:r>
        <w:t>Předmět</w:t>
      </w:r>
      <w:r w:rsidR="0011057F">
        <w:t>u</w:t>
      </w:r>
      <w:r>
        <w:t xml:space="preserve"> převodu přecházejí na Kupujícího </w:t>
      </w:r>
      <w:r w:rsidR="00EC16DD">
        <w:t xml:space="preserve">ve smyslu ust. § 2221 odst. 1 občanského zákoníku </w:t>
      </w:r>
      <w:r>
        <w:t xml:space="preserve">práva a povinnosti pronajímatele </w:t>
      </w:r>
      <w:r w:rsidRPr="00F77268">
        <w:lastRenderedPageBreak/>
        <w:t>z nájemní smlouvy s provozovatelem zdroje tepla, PT Distribuční, s.r.o.</w:t>
      </w:r>
      <w:r w:rsidR="00376762">
        <w:t xml:space="preserve"> (dříve „Devátá energetická, s.r.o.“)</w:t>
      </w:r>
      <w:r w:rsidRPr="00F77268">
        <w:t>, IČO: 45793590, se sídlem Praha 9 – Střížkov, Jablonecká 322/72, PSČ 190 00, s desetiletou výpovědní dobou</w:t>
      </w:r>
      <w:r w:rsidR="005E1091">
        <w:t>; přičemž</w:t>
      </w:r>
      <w:r w:rsidRPr="00F77268">
        <w:t xml:space="preserve"> </w:t>
      </w:r>
      <w:r w:rsidR="005E1091">
        <w:t>n</w:t>
      </w:r>
      <w:r w:rsidR="00EC16DD">
        <w:t>ájemní smlouva</w:t>
      </w:r>
      <w:r w:rsidR="00F47674">
        <w:t xml:space="preserve"> č. NAN/OSM/28/2008 ze dne 24.01.2008 ve znění dodatků č.1-4</w:t>
      </w:r>
      <w:r w:rsidR="00EC16DD">
        <w:t xml:space="preserve"> </w:t>
      </w:r>
      <w:r w:rsidR="00F47674">
        <w:t>(dále jen „</w:t>
      </w:r>
      <w:r w:rsidR="00F47674">
        <w:rPr>
          <w:b/>
          <w:bCs/>
        </w:rPr>
        <w:t>N</w:t>
      </w:r>
      <w:r w:rsidR="00F47674" w:rsidRPr="00EC16DD">
        <w:rPr>
          <w:b/>
          <w:bCs/>
        </w:rPr>
        <w:t>ájemní smlouva</w:t>
      </w:r>
      <w:r w:rsidR="00F47674">
        <w:t xml:space="preserve">“) </w:t>
      </w:r>
      <w:r w:rsidR="00EC16DD">
        <w:t xml:space="preserve">je </w:t>
      </w:r>
      <w:r w:rsidR="00EC16DD" w:rsidRPr="003C0CB2">
        <w:t xml:space="preserve">nedílnou </w:t>
      </w:r>
      <w:r w:rsidR="00EC16DD" w:rsidRPr="003C0CB2">
        <w:rPr>
          <w:u w:val="single"/>
        </w:rPr>
        <w:t>přílohou č. 1</w:t>
      </w:r>
      <w:r w:rsidR="00EC16DD" w:rsidRPr="003C0CB2">
        <w:t xml:space="preserve"> této</w:t>
      </w:r>
      <w:r w:rsidR="00EC16DD">
        <w:t xml:space="preserve"> Smlouvy</w:t>
      </w:r>
      <w:r w:rsidR="006E0813">
        <w:t xml:space="preserve"> a Kupující ve smyslu ust. § 2221 odst. 2 občanského zákoníku prohlašuje, že je seznámen se všemi jejími ujednáními.</w:t>
      </w:r>
      <w:r w:rsidR="00EC16DD">
        <w:t xml:space="preserve"> Pro vyloučení pochybností si smluvní strany výslovně ujednávají, že Kupující vstupuje na straně pronajímatele z </w:t>
      </w:r>
      <w:r w:rsidR="00C67037">
        <w:t>N</w:t>
      </w:r>
      <w:r w:rsidR="00EC16DD">
        <w:t>ájemní smlouvy do</w:t>
      </w:r>
      <w:r w:rsidR="001913FA">
        <w:t xml:space="preserve"> všech</w:t>
      </w:r>
      <w:r w:rsidR="00EC16DD">
        <w:t xml:space="preserve"> práv a povinností </w:t>
      </w:r>
      <w:r w:rsidR="0011057F">
        <w:t>pronajímatele</w:t>
      </w:r>
      <w:r w:rsidR="00EC16DD">
        <w:t>.</w:t>
      </w:r>
      <w:r w:rsidR="0011057F">
        <w:t xml:space="preserve"> Kupující se zavazuje oznámit změnu osoby pronajímateli nájemci bez zbytečného odkladu.</w:t>
      </w:r>
    </w:p>
    <w:p w14:paraId="625A2F08" w14:textId="6300D86C" w:rsidR="00C67037" w:rsidRDefault="00EC16DD" w:rsidP="008A2106">
      <w:pPr>
        <w:pStyle w:val="NormalWeb"/>
        <w:shd w:val="clear" w:color="auto" w:fill="FFFFFF"/>
        <w:spacing w:line="312" w:lineRule="auto"/>
        <w:jc w:val="both"/>
      </w:pPr>
      <w:r w:rsidRPr="00C67037">
        <w:rPr>
          <w:b/>
          <w:bCs/>
        </w:rPr>
        <w:t>2.4.</w:t>
      </w:r>
      <w:r>
        <w:t xml:space="preserve"> Kupující bere na vědomí, že</w:t>
      </w:r>
      <w:r w:rsidR="00C67037">
        <w:t xml:space="preserve"> Předmět převodu vyžaduje dle stanoviska provozovatele (nájemce z Nájemní smlouvy) následující úpravy a nezbytné investice:</w:t>
      </w:r>
    </w:p>
    <w:p w14:paraId="51ADD1C3" w14:textId="4AD5D178" w:rsidR="00B93702" w:rsidRPr="00B93702" w:rsidRDefault="00B93702" w:rsidP="008A2106">
      <w:pPr>
        <w:pStyle w:val="NormalWeb"/>
        <w:shd w:val="clear" w:color="auto" w:fill="FFFFFF"/>
        <w:spacing w:line="312" w:lineRule="auto"/>
        <w:jc w:val="both"/>
        <w:rPr>
          <w:b/>
          <w:bCs/>
          <w:color w:val="FF0000"/>
          <w:u w:val="single"/>
        </w:rPr>
      </w:pPr>
      <w:r w:rsidRPr="00B93702">
        <w:rPr>
          <w:b/>
          <w:bCs/>
          <w:color w:val="FF0000"/>
          <w:highlight w:val="yellow"/>
          <w:u w:val="single"/>
        </w:rPr>
        <w:t>UCHAZEČ VYBERE PŘÍSLUŠNOU VARIANTU</w:t>
      </w:r>
    </w:p>
    <w:p w14:paraId="64BEEECD" w14:textId="034797C7" w:rsidR="00C67037" w:rsidRPr="00635B1F" w:rsidRDefault="00C67037" w:rsidP="00C67037">
      <w:pPr>
        <w:pStyle w:val="NormalWeb"/>
        <w:numPr>
          <w:ilvl w:val="0"/>
          <w:numId w:val="3"/>
        </w:numPr>
        <w:shd w:val="clear" w:color="auto" w:fill="FFFFFF"/>
        <w:spacing w:line="312" w:lineRule="auto"/>
        <w:ind w:left="993" w:hanging="426"/>
        <w:jc w:val="both"/>
        <w:rPr>
          <w:highlight w:val="yellow"/>
        </w:rPr>
      </w:pPr>
      <w:r w:rsidRPr="00635B1F">
        <w:rPr>
          <w:b/>
          <w:bCs/>
          <w:i/>
          <w:iCs/>
          <w:color w:val="FF0000"/>
          <w:highlight w:val="yellow"/>
        </w:rPr>
        <w:t>Pro VS Sokolovská:</w:t>
      </w:r>
      <w:r w:rsidRPr="00635B1F">
        <w:rPr>
          <w:color w:val="FF0000"/>
          <w:highlight w:val="yellow"/>
        </w:rPr>
        <w:t xml:space="preserve"> </w:t>
      </w:r>
      <w:r w:rsidRPr="00635B1F">
        <w:rPr>
          <w:highlight w:val="yellow"/>
        </w:rPr>
        <w:t>celková rekonstrukce MaR včetně výměny rozvaděčů pro hlavní výměníkovou stanici a všech pět předávacích stanic A, B, C, D, E, výměny čerpadel, ventilů a pohonů a dále kompletní rekonstrukce elektrorozvodů, a to v celkové předpokládané hodnotě 2.652.000,- Kč bez DPH. O investicích do oprav, včetně jeho případného podílu na investici, je možno jednat s provozovatelem / nájemcem.</w:t>
      </w:r>
      <w:r w:rsidR="00931086">
        <w:rPr>
          <w:highlight w:val="yellow"/>
        </w:rPr>
        <w:t xml:space="preserve"> Odhadovanou hodnotu rekonstrukce Prodávající negarantuje.</w:t>
      </w:r>
    </w:p>
    <w:p w14:paraId="5DB4D925" w14:textId="2FF203C8" w:rsidR="00C67037" w:rsidRPr="00635B1F" w:rsidRDefault="00C67037" w:rsidP="00C67037">
      <w:pPr>
        <w:pStyle w:val="NormalWeb"/>
        <w:numPr>
          <w:ilvl w:val="0"/>
          <w:numId w:val="3"/>
        </w:numPr>
        <w:shd w:val="clear" w:color="auto" w:fill="FFFFFF"/>
        <w:spacing w:line="312" w:lineRule="auto"/>
        <w:ind w:left="993" w:hanging="426"/>
        <w:jc w:val="both"/>
        <w:rPr>
          <w:highlight w:val="yellow"/>
        </w:rPr>
      </w:pPr>
      <w:r w:rsidRPr="00635B1F">
        <w:rPr>
          <w:b/>
          <w:bCs/>
          <w:i/>
          <w:iCs/>
          <w:color w:val="FF0000"/>
          <w:highlight w:val="yellow"/>
        </w:rPr>
        <w:t>Pro VS U Svobodárny:</w:t>
      </w:r>
      <w:r w:rsidRPr="00635B1F">
        <w:rPr>
          <w:color w:val="FF0000"/>
          <w:highlight w:val="yellow"/>
        </w:rPr>
        <w:t xml:space="preserve"> </w:t>
      </w:r>
      <w:r w:rsidRPr="00635B1F">
        <w:rPr>
          <w:highlight w:val="yellow"/>
        </w:rPr>
        <w:t>rekonstrukce MaR včetně výměny rozvaděče pro hlavní výměníkovou stanici i 4 převáděcí stanice a výměny pohonů a čidel pro 4 předávací stanice, a to v celkové předpokládané hodnotě 882.000,- Kč bez DPH. O investicích do oprav, včetně jeho případného podílu na investici, je možno jednat s provozovatelem / nájemcem.</w:t>
      </w:r>
      <w:r w:rsidR="00931086" w:rsidRPr="00931086">
        <w:rPr>
          <w:highlight w:val="yellow"/>
        </w:rPr>
        <w:t xml:space="preserve"> </w:t>
      </w:r>
      <w:r w:rsidR="00931086">
        <w:rPr>
          <w:highlight w:val="yellow"/>
        </w:rPr>
        <w:t>Odhadovanou hodnotu rekonstrukce Prodávající negarantuje.</w:t>
      </w:r>
    </w:p>
    <w:p w14:paraId="117B7146" w14:textId="35899CE2" w:rsidR="00635B1F" w:rsidRDefault="00C67037" w:rsidP="00C67037">
      <w:pPr>
        <w:pStyle w:val="NormalWeb"/>
        <w:shd w:val="clear" w:color="auto" w:fill="FFFFFF"/>
        <w:spacing w:line="312" w:lineRule="auto"/>
        <w:jc w:val="both"/>
      </w:pPr>
      <w:r w:rsidRPr="00C67037">
        <w:rPr>
          <w:b/>
          <w:bCs/>
        </w:rPr>
        <w:t>2.5.</w:t>
      </w:r>
      <w:r>
        <w:t xml:space="preserve"> Smluvní strany shodně prohlašují, že skutečnosti uvedené v odst. 2.3. a 2.4. jsou již zahrnuty v</w:t>
      </w:r>
      <w:r w:rsidR="005E3173">
        <w:t>e výši ujednané</w:t>
      </w:r>
      <w:r>
        <w:t> kupní cen</w:t>
      </w:r>
      <w:r w:rsidR="005E3173">
        <w:t>y</w:t>
      </w:r>
      <w:r>
        <w:t xml:space="preserve"> dle čl. III. této Smlouvy a Kupující nemá právo požadovat po Prodávajícími v souvislosti s právním ani technickým stavem Předmětu převodu žádné plnění či kompenzaci.</w:t>
      </w:r>
      <w:r w:rsidR="000A466A">
        <w:t xml:space="preserve"> </w:t>
      </w:r>
      <w:r>
        <w:t>Prodávající prohlašuje, že na Předmětu převodu neváznou žádné právní vady neuvedené v této Smlouvě</w:t>
      </w:r>
      <w:r w:rsidR="00A82DCB">
        <w:t xml:space="preserve"> ani že si žádná třetí osoba taková práva nenárokuje.</w:t>
      </w:r>
    </w:p>
    <w:p w14:paraId="0BE4A2A6" w14:textId="33C3D754" w:rsidR="00222F54" w:rsidRDefault="00635B1F" w:rsidP="00C67037">
      <w:pPr>
        <w:pStyle w:val="NormalWeb"/>
        <w:shd w:val="clear" w:color="auto" w:fill="FFFFFF"/>
        <w:spacing w:line="312" w:lineRule="auto"/>
        <w:jc w:val="both"/>
      </w:pPr>
      <w:r w:rsidRPr="00635B1F">
        <w:rPr>
          <w:b/>
          <w:bCs/>
        </w:rPr>
        <w:t>2.</w:t>
      </w:r>
      <w:r w:rsidR="000A466A">
        <w:rPr>
          <w:b/>
          <w:bCs/>
        </w:rPr>
        <w:t>6</w:t>
      </w:r>
      <w:r w:rsidRPr="00635B1F">
        <w:rPr>
          <w:b/>
          <w:bCs/>
        </w:rPr>
        <w:t>.</w:t>
      </w:r>
      <w:r>
        <w:t xml:space="preserve"> Předmět převodu bude Prodávajícím Kupujícímu protokolárně předán do </w:t>
      </w:r>
      <w:r w:rsidR="00F22CC3">
        <w:t>1</w:t>
      </w:r>
      <w:r w:rsidR="00331ADF">
        <w:t>5</w:t>
      </w:r>
      <w:r w:rsidR="00F22CC3">
        <w:t xml:space="preserve"> </w:t>
      </w:r>
      <w:r>
        <w:t xml:space="preserve">dnů ode </w:t>
      </w:r>
      <w:r w:rsidR="00F22CC3">
        <w:t>uhrazení kupní ceny dle odst.</w:t>
      </w:r>
      <w:r w:rsidR="00331ADF">
        <w:t xml:space="preserve"> 3.1. a</w:t>
      </w:r>
      <w:r w:rsidR="00F22CC3">
        <w:t xml:space="preserve"> 3.2. této Smlouvy</w:t>
      </w:r>
      <w:r>
        <w:t>. V případě, že by stav Předmětu převodu při předání neodpovídal stavu ujednanému v této Smlouvě, uvede se příslušná vada v předávacím protokolu</w:t>
      </w:r>
      <w:r w:rsidR="000C69B7">
        <w:t>, jinak za ni Prodávající neodpovídá.</w:t>
      </w:r>
    </w:p>
    <w:p w14:paraId="6BD8BD61" w14:textId="3B444963" w:rsidR="00222F54" w:rsidRDefault="00222F54" w:rsidP="00C67037">
      <w:pPr>
        <w:pStyle w:val="NormalWeb"/>
        <w:shd w:val="clear" w:color="auto" w:fill="FFFFFF"/>
        <w:spacing w:line="312" w:lineRule="auto"/>
        <w:jc w:val="both"/>
      </w:pPr>
      <w:r w:rsidRPr="00222F54">
        <w:rPr>
          <w:b/>
          <w:bCs/>
        </w:rPr>
        <w:t>2.</w:t>
      </w:r>
      <w:r w:rsidR="000A466A">
        <w:rPr>
          <w:b/>
          <w:bCs/>
        </w:rPr>
        <w:t>7</w:t>
      </w:r>
      <w:r w:rsidRPr="00222F54">
        <w:rPr>
          <w:b/>
          <w:bCs/>
        </w:rPr>
        <w:t>.</w:t>
      </w:r>
      <w:r>
        <w:t xml:space="preserve"> V případě uvedení vady v předávacím protokolu dle odst. 2.</w:t>
      </w:r>
      <w:r w:rsidR="004660FD">
        <w:t>6</w:t>
      </w:r>
      <w:r>
        <w:t>. je Prodávající povinen vadu v přiměřené době odstranit. Neučiní-li tak</w:t>
      </w:r>
      <w:r w:rsidR="004660FD">
        <w:t xml:space="preserve"> ani do dvou měsíců</w:t>
      </w:r>
      <w:r>
        <w:t>, je každá ze smluvních stran oprávněna od této Smlouvy odstoupit.</w:t>
      </w:r>
    </w:p>
    <w:p w14:paraId="5B72FF76" w14:textId="25DB5361" w:rsidR="005410FE" w:rsidRPr="005063C0" w:rsidRDefault="00222F54" w:rsidP="00C0349B">
      <w:pPr>
        <w:pStyle w:val="NormalWeb"/>
        <w:shd w:val="clear" w:color="auto" w:fill="FFFFFF"/>
        <w:spacing w:line="312" w:lineRule="auto"/>
        <w:jc w:val="both"/>
        <w:rPr>
          <w:highlight w:val="green"/>
        </w:rPr>
      </w:pPr>
      <w:r w:rsidRPr="001622A4">
        <w:rPr>
          <w:b/>
          <w:bCs/>
        </w:rPr>
        <w:lastRenderedPageBreak/>
        <w:t>2</w:t>
      </w:r>
      <w:r w:rsidR="006B4CC4" w:rsidRPr="001622A4">
        <w:rPr>
          <w:b/>
          <w:bCs/>
        </w:rPr>
        <w:t>.</w:t>
      </w:r>
      <w:r w:rsidR="000A466A">
        <w:rPr>
          <w:b/>
          <w:bCs/>
        </w:rPr>
        <w:t>8</w:t>
      </w:r>
      <w:r w:rsidR="006B4CC4" w:rsidRPr="001622A4">
        <w:rPr>
          <w:b/>
          <w:bCs/>
        </w:rPr>
        <w:t>.</w:t>
      </w:r>
      <w:r w:rsidR="006B4CC4">
        <w:t xml:space="preserve"> </w:t>
      </w:r>
      <w:r>
        <w:t>Smluvní strany bero</w:t>
      </w:r>
      <w:r w:rsidR="006B4CC4">
        <w:t>u</w:t>
      </w:r>
      <w:r>
        <w:t xml:space="preserve"> na vědomí, že Předmět převodu </w:t>
      </w:r>
      <w:r w:rsidR="006B4CC4">
        <w:t xml:space="preserve">není novou věcí, ale je </w:t>
      </w:r>
      <w:r w:rsidR="001622A4">
        <w:t xml:space="preserve">delší dobu užíván. Prodávající proto neposkytuje Kupujícímu žádnou záruku za stav Předmětu převodu </w:t>
      </w:r>
      <w:r w:rsidR="00D00CE6" w:rsidRPr="005063C0">
        <w:t xml:space="preserve">existující </w:t>
      </w:r>
      <w:r w:rsidR="00DF1D1A" w:rsidRPr="005063C0">
        <w:t>an</w:t>
      </w:r>
      <w:r w:rsidR="00D00CE6" w:rsidRPr="005063C0">
        <w:t xml:space="preserve">i projevivší se </w:t>
      </w:r>
      <w:r w:rsidR="001622A4" w:rsidRPr="005063C0">
        <w:t xml:space="preserve">v době po jeho protokolárním předání. </w:t>
      </w:r>
    </w:p>
    <w:p w14:paraId="2DC0E375" w14:textId="429D511F" w:rsidR="00B011D4" w:rsidRPr="003F52DB" w:rsidRDefault="00B011D4" w:rsidP="00C0349B">
      <w:pPr>
        <w:pStyle w:val="NormalWeb"/>
        <w:shd w:val="clear" w:color="auto" w:fill="FFFFFF"/>
        <w:spacing w:line="312" w:lineRule="auto"/>
        <w:jc w:val="both"/>
      </w:pPr>
      <w:r w:rsidRPr="003C0CB2">
        <w:rPr>
          <w:b/>
          <w:bCs/>
        </w:rPr>
        <w:t>2.9.</w:t>
      </w:r>
      <w:r w:rsidRPr="003C0CB2">
        <w:t xml:space="preserve"> Předmět </w:t>
      </w:r>
      <w:r w:rsidRPr="003F52DB">
        <w:t>převodu je v dotčených nemovitých věcech umístěn na základě služebnost</w:t>
      </w:r>
      <w:r w:rsidR="003F52DB" w:rsidRPr="003F52DB">
        <w:t>í</w:t>
      </w:r>
      <w:r w:rsidRPr="003F52DB">
        <w:t xml:space="preserve"> zřízen</w:t>
      </w:r>
      <w:r w:rsidR="003F52DB" w:rsidRPr="003F52DB">
        <w:t>ých</w:t>
      </w:r>
      <w:r w:rsidRPr="003F52DB">
        <w:t xml:space="preserve"> ve prospěch Městské části Praha 9</w:t>
      </w:r>
      <w:r w:rsidR="003C0CB2" w:rsidRPr="003F52DB">
        <w:t xml:space="preserve"> k tíži jednotlivých jednotek</w:t>
      </w:r>
      <w:r w:rsidR="0033594C" w:rsidRPr="003F52DB">
        <w:t>, zakládající oprávnění umístění a provozování výměníkové a předávací stanice pro dodávku tepla a TUV a právo provádění oprav a údržby včetně rekonstrukcí a modernizací či výměn</w:t>
      </w:r>
      <w:r w:rsidRPr="003F52DB">
        <w:t xml:space="preserve"> (dále</w:t>
      </w:r>
      <w:r w:rsidR="003F52DB">
        <w:t xml:space="preserve"> souhrnně</w:t>
      </w:r>
      <w:r w:rsidRPr="003F52DB">
        <w:t xml:space="preserve"> jen</w:t>
      </w:r>
      <w:r w:rsidR="003F52DB">
        <w:t xml:space="preserve"> jako</w:t>
      </w:r>
      <w:r w:rsidRPr="003F52DB">
        <w:t xml:space="preserve"> „</w:t>
      </w:r>
      <w:r w:rsidRPr="003F52DB">
        <w:rPr>
          <w:b/>
          <w:bCs/>
        </w:rPr>
        <w:t>služebnost</w:t>
      </w:r>
      <w:r w:rsidRPr="003F52DB">
        <w:t xml:space="preserve">“), přičemž služebnost </w:t>
      </w:r>
      <w:r w:rsidR="009A1E25" w:rsidRPr="003F52DB">
        <w:t>dle výslovn</w:t>
      </w:r>
      <w:r w:rsidR="003C0CB2" w:rsidRPr="003F52DB">
        <w:t>ýc</w:t>
      </w:r>
      <w:r w:rsidR="009A1E25" w:rsidRPr="003F52DB">
        <w:t>h ujednání smluv</w:t>
      </w:r>
      <w:r w:rsidR="003C0CB2" w:rsidRPr="003F52DB">
        <w:t xml:space="preserve"> s vlastníky jednotek</w:t>
      </w:r>
      <w:r w:rsidR="009A1E25" w:rsidRPr="003F52DB">
        <w:t>, j</w:t>
      </w:r>
      <w:r w:rsidR="003C0CB2" w:rsidRPr="003F52DB">
        <w:t>imi</w:t>
      </w:r>
      <w:r w:rsidR="009A1E25" w:rsidRPr="003F52DB">
        <w:t xml:space="preserve">ž byla zřízena, </w:t>
      </w:r>
      <w:r w:rsidRPr="003F52DB">
        <w:t>zakládá</w:t>
      </w:r>
      <w:r w:rsidR="0033594C" w:rsidRPr="003F52DB">
        <w:t xml:space="preserve"> uvedená</w:t>
      </w:r>
      <w:r w:rsidRPr="003F52DB">
        <w:t xml:space="preserve"> oprávnění </w:t>
      </w:r>
      <w:r w:rsidR="0033594C" w:rsidRPr="003F52DB">
        <w:t xml:space="preserve">pro </w:t>
      </w:r>
      <w:r w:rsidRPr="003F52DB">
        <w:t>Městskou část</w:t>
      </w:r>
      <w:r w:rsidR="0033594C" w:rsidRPr="003F52DB">
        <w:t xml:space="preserve"> </w:t>
      </w:r>
      <w:r w:rsidRPr="003F52DB">
        <w:t>Praha 9 i</w:t>
      </w:r>
      <w:r w:rsidR="0033594C" w:rsidRPr="003F52DB">
        <w:t xml:space="preserve"> pro</w:t>
      </w:r>
      <w:r w:rsidRPr="003F52DB">
        <w:t xml:space="preserve"> každ</w:t>
      </w:r>
      <w:r w:rsidR="0033594C" w:rsidRPr="003F52DB">
        <w:t>ého</w:t>
      </w:r>
      <w:r w:rsidRPr="003F52DB">
        <w:t xml:space="preserve"> budoucí</w:t>
      </w:r>
      <w:r w:rsidR="0033594C" w:rsidRPr="003F52DB">
        <w:t>ho</w:t>
      </w:r>
      <w:r w:rsidRPr="003F52DB">
        <w:t xml:space="preserve"> vlastník</w:t>
      </w:r>
      <w:r w:rsidR="0033594C" w:rsidRPr="003F52DB">
        <w:t>a</w:t>
      </w:r>
      <w:r w:rsidRPr="003F52DB">
        <w:t xml:space="preserve"> technologie</w:t>
      </w:r>
      <w:r w:rsidR="003F52DB" w:rsidRPr="003F52DB">
        <w:t>, tj. Kupujícího, případně opravňuje Městskou část Praha 9 právo vykonávat skrze třetí osobu, tj. i Kupujícího.</w:t>
      </w:r>
      <w:r w:rsidRPr="003F52DB">
        <w:t xml:space="preserve"> Prodávající se zavazuje tuto služebnost neukončit. Pokud by tak učinil, je Kupující oprávněn od této Smlouvy odstoupit.</w:t>
      </w:r>
    </w:p>
    <w:p w14:paraId="2C37CD0E" w14:textId="6D68FB4A" w:rsidR="00B011D4" w:rsidRPr="003C0CB2" w:rsidRDefault="00B011D4" w:rsidP="00C0349B">
      <w:pPr>
        <w:pStyle w:val="NormalWeb"/>
        <w:shd w:val="clear" w:color="auto" w:fill="FFFFFF"/>
        <w:spacing w:line="312" w:lineRule="auto"/>
        <w:jc w:val="both"/>
      </w:pPr>
      <w:r w:rsidRPr="003F52DB">
        <w:rPr>
          <w:b/>
          <w:bCs/>
        </w:rPr>
        <w:t>2.10.</w:t>
      </w:r>
      <w:r w:rsidRPr="003F52DB">
        <w:t xml:space="preserve"> Kupující se zavazuje </w:t>
      </w:r>
      <w:r w:rsidR="00662EFC" w:rsidRPr="003F52DB">
        <w:t xml:space="preserve">ode dne převzetí Předmětu převodu </w:t>
      </w:r>
      <w:r w:rsidRPr="003F52DB">
        <w:t xml:space="preserve">plnit veškeré povinnosti </w:t>
      </w:r>
      <w:r w:rsidR="00662EFC" w:rsidRPr="003F52DB">
        <w:t xml:space="preserve">oprávněného ze služebnosti </w:t>
      </w:r>
      <w:r w:rsidRPr="003F52DB">
        <w:t xml:space="preserve">ve vztahu </w:t>
      </w:r>
      <w:r w:rsidR="0033594C" w:rsidRPr="003F52DB">
        <w:t>k povinnému ze služebnosti, zejména hradit veškeré náklady spojené s umístěním Předmětu převodu, jeho údržbou, opravami a modernizací či výměnou.</w:t>
      </w:r>
    </w:p>
    <w:p w14:paraId="331E7154" w14:textId="15F57EC5" w:rsidR="00D37099" w:rsidRDefault="00D37099" w:rsidP="00C0349B">
      <w:pPr>
        <w:pStyle w:val="NormalWeb"/>
        <w:shd w:val="clear" w:color="auto" w:fill="FFFFFF"/>
        <w:spacing w:line="312" w:lineRule="auto"/>
        <w:jc w:val="both"/>
      </w:pPr>
      <w:r w:rsidRPr="003C0CB2">
        <w:rPr>
          <w:b/>
          <w:bCs/>
        </w:rPr>
        <w:t>2.11.</w:t>
      </w:r>
      <w:r w:rsidRPr="003C0CB2">
        <w:t xml:space="preserve"> Kupující je oprávněn zřídit si vlastní služebnost umístění a provozu Předmětu převodu ujednáním s vlastníky příslušných nemovitých věcí. Prodávající se mu pro takový případ zavazuje poskytnout veškerou nezbytnou součinnost. V případě ukončení služebnosti postupem dle předchozí věty, tj. na základě součinnosti Kupuj</w:t>
      </w:r>
      <w:r w:rsidR="00A913F3">
        <w:t>í</w:t>
      </w:r>
      <w:r w:rsidRPr="003C0CB2">
        <w:t>cího a Prodávajícího, se neužije ujednání odst. 2.9. věta druhá a třetí této Smlouvy.</w:t>
      </w:r>
      <w:r>
        <w:t xml:space="preserve"> </w:t>
      </w:r>
    </w:p>
    <w:p w14:paraId="2C5D69E7" w14:textId="77777777" w:rsidR="00C0349B" w:rsidRPr="00C0349B" w:rsidRDefault="00C0349B" w:rsidP="00C0349B">
      <w:pPr>
        <w:pStyle w:val="NormalWeb"/>
        <w:shd w:val="clear" w:color="auto" w:fill="FFFFFF"/>
        <w:spacing w:line="312" w:lineRule="auto"/>
        <w:jc w:val="both"/>
      </w:pPr>
    </w:p>
    <w:p w14:paraId="65BF4302" w14:textId="77777777" w:rsidR="005410FE" w:rsidRPr="005410FE" w:rsidRDefault="005410FE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III.</w:t>
      </w:r>
    </w:p>
    <w:p w14:paraId="757A8834" w14:textId="77777777" w:rsidR="005410FE" w:rsidRPr="005410FE" w:rsidRDefault="005410FE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Kupní cena</w:t>
      </w:r>
    </w:p>
    <w:p w14:paraId="78C822FB" w14:textId="77777777" w:rsidR="005410FE" w:rsidRPr="005410FE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30F2ED32" w14:textId="61A21E4C" w:rsidR="005410FE" w:rsidRPr="005410FE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3.1.</w:t>
      </w:r>
      <w:r w:rsidRPr="005410FE">
        <w:rPr>
          <w:rFonts w:cs="Times New Roman"/>
          <w:sz w:val="24"/>
          <w:szCs w:val="24"/>
          <w:lang w:val="cs-CZ"/>
        </w:rPr>
        <w:t xml:space="preserve"> </w:t>
      </w:r>
      <w:r w:rsidR="00C0349B">
        <w:rPr>
          <w:rFonts w:cs="Times New Roman"/>
          <w:sz w:val="24"/>
          <w:szCs w:val="24"/>
          <w:lang w:val="cs-CZ"/>
        </w:rPr>
        <w:t>K</w:t>
      </w:r>
      <w:r w:rsidRPr="005410FE">
        <w:rPr>
          <w:rFonts w:cs="Times New Roman"/>
          <w:sz w:val="24"/>
          <w:szCs w:val="24"/>
          <w:lang w:val="cs-CZ"/>
        </w:rPr>
        <w:t>upní cen</w:t>
      </w:r>
      <w:r w:rsidR="00C0349B">
        <w:rPr>
          <w:rFonts w:cs="Times New Roman"/>
          <w:sz w:val="24"/>
          <w:szCs w:val="24"/>
          <w:lang w:val="cs-CZ"/>
        </w:rPr>
        <w:t xml:space="preserve">a za Předmět převodu se všemi jeho součástmi a příslušenstvím a se zohledněním jeho právního a skutkového stavu dle čl. II. této Smlouvy činí částku ve výši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........................</w:t>
      </w:r>
      <w:r w:rsidRPr="005410FE">
        <w:rPr>
          <w:rFonts w:cs="Times New Roman"/>
          <w:sz w:val="24"/>
          <w:szCs w:val="24"/>
          <w:lang w:val="cs-CZ"/>
        </w:rPr>
        <w:t xml:space="preserve">,- Kč (slovy: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…………………………………………)</w:t>
      </w:r>
      <w:r w:rsidRPr="005410FE">
        <w:rPr>
          <w:rFonts w:cs="Times New Roman"/>
          <w:sz w:val="24"/>
          <w:szCs w:val="24"/>
          <w:lang w:val="cs-CZ"/>
        </w:rPr>
        <w:t xml:space="preserve"> bez DPH. </w:t>
      </w:r>
    </w:p>
    <w:p w14:paraId="548636D9" w14:textId="77777777" w:rsidR="005410FE" w:rsidRPr="005410FE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0FB47A1C" w14:textId="28D62ED1" w:rsidR="005410FE" w:rsidRPr="005410FE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3.</w:t>
      </w:r>
      <w:r w:rsidR="0062741F">
        <w:rPr>
          <w:rFonts w:cs="Times New Roman"/>
          <w:b/>
          <w:bCs/>
          <w:sz w:val="24"/>
          <w:szCs w:val="24"/>
          <w:lang w:val="cs-CZ"/>
        </w:rPr>
        <w:t>2</w:t>
      </w:r>
      <w:r w:rsidRPr="005410FE">
        <w:rPr>
          <w:rFonts w:cs="Times New Roman"/>
          <w:b/>
          <w:bCs/>
          <w:sz w:val="24"/>
          <w:szCs w:val="24"/>
          <w:lang w:val="cs-CZ"/>
        </w:rPr>
        <w:t>.</w:t>
      </w:r>
      <w:r w:rsidRPr="005410FE">
        <w:rPr>
          <w:rFonts w:cs="Times New Roman"/>
          <w:sz w:val="24"/>
          <w:szCs w:val="24"/>
          <w:lang w:val="cs-CZ"/>
        </w:rPr>
        <w:t xml:space="preserve"> Kupující se zavazuje kupní cenu </w:t>
      </w:r>
      <w:r w:rsidR="00EC1DAB">
        <w:rPr>
          <w:rFonts w:cs="Times New Roman"/>
          <w:sz w:val="24"/>
          <w:szCs w:val="24"/>
          <w:lang w:val="cs-CZ"/>
        </w:rPr>
        <w:t xml:space="preserve">dle odst. 3.1. </w:t>
      </w:r>
      <w:r w:rsidRPr="005410FE">
        <w:rPr>
          <w:rFonts w:cs="Times New Roman"/>
          <w:sz w:val="24"/>
          <w:szCs w:val="24"/>
          <w:lang w:val="cs-CZ"/>
        </w:rPr>
        <w:t xml:space="preserve">včetně částky odpovídající zákonné sazbě DPH uhradit Prodávajícímu v české měně převodem na bankovní účet </w:t>
      </w:r>
      <w:r w:rsidR="009B658C">
        <w:rPr>
          <w:rFonts w:cs="Times New Roman"/>
          <w:sz w:val="24"/>
          <w:szCs w:val="24"/>
          <w:lang w:val="cs-CZ"/>
        </w:rPr>
        <w:t>Prodávajícího, vedený u České spořitelny, a.s.,</w:t>
      </w:r>
      <w:r w:rsidR="00DE4288">
        <w:rPr>
          <w:rFonts w:cs="Times New Roman"/>
          <w:sz w:val="24"/>
          <w:szCs w:val="24"/>
          <w:lang w:val="cs-CZ"/>
        </w:rPr>
        <w:t xml:space="preserve"> </w:t>
      </w:r>
      <w:r w:rsidR="009B658C">
        <w:rPr>
          <w:rFonts w:cs="Times New Roman"/>
          <w:sz w:val="24"/>
          <w:szCs w:val="24"/>
          <w:lang w:val="cs-CZ"/>
        </w:rPr>
        <w:t>č</w:t>
      </w:r>
      <w:r w:rsidR="00DE4288">
        <w:rPr>
          <w:rFonts w:cs="Times New Roman"/>
          <w:sz w:val="24"/>
          <w:szCs w:val="24"/>
          <w:lang w:val="cs-CZ"/>
        </w:rPr>
        <w:t>.</w:t>
      </w:r>
      <w:r w:rsidR="009B658C">
        <w:rPr>
          <w:rFonts w:cs="Times New Roman"/>
          <w:sz w:val="24"/>
          <w:szCs w:val="24"/>
          <w:lang w:val="cs-CZ"/>
        </w:rPr>
        <w:t xml:space="preserve">ú. </w:t>
      </w:r>
      <w:r w:rsidR="00170A2C" w:rsidRPr="00170A2C">
        <w:rPr>
          <w:rFonts w:cs="Times New Roman"/>
          <w:sz w:val="24"/>
          <w:szCs w:val="24"/>
        </w:rPr>
        <w:t>89025-2000910329/0800</w:t>
      </w:r>
      <w:r w:rsidR="009B658C">
        <w:rPr>
          <w:rFonts w:cs="Times New Roman"/>
          <w:sz w:val="24"/>
          <w:szCs w:val="24"/>
          <w:lang w:val="cs-CZ"/>
        </w:rPr>
        <w:t xml:space="preserve"> pod variabilním symbolem </w:t>
      </w:r>
      <w:r w:rsidR="009B658C" w:rsidRPr="00170A2C">
        <w:rPr>
          <w:rFonts w:cs="Times New Roman"/>
          <w:sz w:val="24"/>
          <w:szCs w:val="24"/>
          <w:highlight w:val="cyan"/>
          <w:lang w:val="cs-CZ"/>
        </w:rPr>
        <w:t>XXXXX</w:t>
      </w:r>
      <w:r w:rsidR="009B658C">
        <w:rPr>
          <w:rFonts w:cs="Times New Roman"/>
          <w:sz w:val="24"/>
          <w:szCs w:val="24"/>
          <w:lang w:val="cs-CZ"/>
        </w:rPr>
        <w:t xml:space="preserve">, </w:t>
      </w:r>
      <w:r w:rsidR="009F0DC9">
        <w:rPr>
          <w:rFonts w:cs="Times New Roman"/>
          <w:sz w:val="24"/>
          <w:szCs w:val="24"/>
          <w:lang w:val="cs-CZ"/>
        </w:rPr>
        <w:t xml:space="preserve">a to </w:t>
      </w:r>
      <w:r w:rsidRPr="005410FE">
        <w:rPr>
          <w:rFonts w:cs="Times New Roman"/>
          <w:sz w:val="24"/>
          <w:szCs w:val="24"/>
          <w:lang w:val="cs-CZ"/>
        </w:rPr>
        <w:t>do 1</w:t>
      </w:r>
      <w:r w:rsidR="00880A38">
        <w:rPr>
          <w:rFonts w:cs="Times New Roman"/>
          <w:sz w:val="24"/>
          <w:szCs w:val="24"/>
          <w:lang w:val="cs-CZ"/>
        </w:rPr>
        <w:t>5</w:t>
      </w:r>
      <w:r w:rsidR="00F22CC3">
        <w:rPr>
          <w:rFonts w:cs="Times New Roman"/>
          <w:sz w:val="24"/>
          <w:szCs w:val="24"/>
          <w:lang w:val="cs-CZ"/>
        </w:rPr>
        <w:t xml:space="preserve"> </w:t>
      </w:r>
      <w:r w:rsidRPr="005410FE">
        <w:rPr>
          <w:rFonts w:cs="Times New Roman"/>
          <w:sz w:val="24"/>
          <w:szCs w:val="24"/>
          <w:lang w:val="cs-CZ"/>
        </w:rPr>
        <w:t xml:space="preserve">dnů ode </w:t>
      </w:r>
      <w:r w:rsidR="004345B5">
        <w:rPr>
          <w:rFonts w:cs="Times New Roman"/>
          <w:sz w:val="24"/>
          <w:szCs w:val="24"/>
          <w:lang w:val="cs-CZ"/>
        </w:rPr>
        <w:t>dne vystavení daňového dokladu ze strany Prodávajícího</w:t>
      </w:r>
      <w:r w:rsidR="00A2237B">
        <w:rPr>
          <w:rFonts w:cs="Times New Roman"/>
          <w:sz w:val="24"/>
          <w:szCs w:val="24"/>
          <w:lang w:val="cs-CZ"/>
        </w:rPr>
        <w:t>.</w:t>
      </w:r>
      <w:r w:rsidR="004345B5">
        <w:rPr>
          <w:rFonts w:cs="Times New Roman"/>
          <w:sz w:val="24"/>
          <w:szCs w:val="24"/>
          <w:lang w:val="cs-CZ"/>
        </w:rPr>
        <w:t xml:space="preserve"> Prodávající je oprávněn daňový doklad vystavit bezodkladně po počátku účinnosti této Smlouvy</w:t>
      </w:r>
      <w:r w:rsidR="009B658C">
        <w:rPr>
          <w:rFonts w:cs="Times New Roman"/>
          <w:sz w:val="24"/>
          <w:szCs w:val="24"/>
          <w:lang w:val="cs-CZ"/>
        </w:rPr>
        <w:t>.</w:t>
      </w:r>
    </w:p>
    <w:p w14:paraId="31D2E385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026F2576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7CFCBF8F" w14:textId="4877F9FF" w:rsidR="005410FE" w:rsidRPr="005410FE" w:rsidRDefault="005410FE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lastRenderedPageBreak/>
        <w:t>IV.</w:t>
      </w:r>
    </w:p>
    <w:p w14:paraId="074DCACA" w14:textId="65ECF065" w:rsidR="005410FE" w:rsidRPr="005410FE" w:rsidRDefault="00F65B45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Další práva a povinnosti smluvních stran</w:t>
      </w:r>
    </w:p>
    <w:p w14:paraId="4E6958C3" w14:textId="77777777" w:rsidR="005410FE" w:rsidRPr="005410FE" w:rsidRDefault="005410FE" w:rsidP="005410FE">
      <w:pPr>
        <w:pStyle w:val="BodyA"/>
        <w:spacing w:line="312" w:lineRule="auto"/>
        <w:jc w:val="both"/>
        <w:rPr>
          <w:rFonts w:cs="Times New Roman"/>
          <w:b/>
          <w:bCs/>
          <w:sz w:val="24"/>
          <w:szCs w:val="24"/>
          <w:lang w:val="cs-CZ"/>
        </w:rPr>
      </w:pPr>
    </w:p>
    <w:p w14:paraId="3A7EFF37" w14:textId="722ACB3E" w:rsidR="005410FE" w:rsidRPr="005410FE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 xml:space="preserve">4.1. </w:t>
      </w:r>
      <w:r w:rsidR="009E5A70">
        <w:rPr>
          <w:rFonts w:cs="Times New Roman"/>
          <w:sz w:val="24"/>
          <w:szCs w:val="24"/>
          <w:lang w:val="cs-CZ"/>
        </w:rPr>
        <w:t>Kupující</w:t>
      </w:r>
      <w:r w:rsidRPr="005410FE">
        <w:rPr>
          <w:rFonts w:cs="Times New Roman"/>
          <w:sz w:val="24"/>
          <w:szCs w:val="24"/>
          <w:lang w:val="cs-CZ"/>
        </w:rPr>
        <w:t xml:space="preserve"> </w:t>
      </w:r>
      <w:r w:rsidR="00F65B45">
        <w:rPr>
          <w:rFonts w:cs="Times New Roman"/>
          <w:sz w:val="24"/>
          <w:szCs w:val="24"/>
          <w:lang w:val="cs-CZ"/>
        </w:rPr>
        <w:t>se zavazuje Předmět převodu užívat a provozovat výhradně v souladu s platnými právními předpisy,</w:t>
      </w:r>
      <w:r w:rsidRPr="005410FE">
        <w:rPr>
          <w:rFonts w:cs="Times New Roman"/>
          <w:sz w:val="24"/>
          <w:szCs w:val="24"/>
          <w:lang w:val="cs-CZ"/>
        </w:rPr>
        <w:t xml:space="preserve"> </w:t>
      </w:r>
      <w:r w:rsidR="00F65B45">
        <w:rPr>
          <w:rFonts w:cs="Times New Roman"/>
          <w:sz w:val="24"/>
          <w:szCs w:val="24"/>
          <w:lang w:val="cs-CZ"/>
        </w:rPr>
        <w:t xml:space="preserve">dle </w:t>
      </w:r>
      <w:r w:rsidRPr="005410FE">
        <w:rPr>
          <w:rFonts w:cs="Times New Roman"/>
          <w:sz w:val="24"/>
          <w:szCs w:val="24"/>
          <w:lang w:val="cs-CZ"/>
        </w:rPr>
        <w:t>technických parametrů a norem ve vztahu k </w:t>
      </w:r>
      <w:r w:rsidR="00F65B45">
        <w:rPr>
          <w:rFonts w:cs="Times New Roman"/>
          <w:sz w:val="24"/>
          <w:szCs w:val="24"/>
          <w:lang w:val="cs-CZ"/>
        </w:rPr>
        <w:t>P</w:t>
      </w:r>
      <w:r w:rsidRPr="005410FE">
        <w:rPr>
          <w:rFonts w:cs="Times New Roman"/>
          <w:sz w:val="24"/>
          <w:szCs w:val="24"/>
          <w:lang w:val="cs-CZ"/>
        </w:rPr>
        <w:t xml:space="preserve">ředmětu </w:t>
      </w:r>
      <w:r w:rsidR="00F65B45">
        <w:rPr>
          <w:rFonts w:cs="Times New Roman"/>
          <w:sz w:val="24"/>
          <w:szCs w:val="24"/>
          <w:lang w:val="cs-CZ"/>
        </w:rPr>
        <w:t>převodu</w:t>
      </w:r>
      <w:r w:rsidRPr="005410FE">
        <w:rPr>
          <w:rFonts w:cs="Times New Roman"/>
          <w:sz w:val="24"/>
          <w:szCs w:val="24"/>
          <w:lang w:val="cs-CZ"/>
        </w:rPr>
        <w:t xml:space="preserve">. </w:t>
      </w:r>
      <w:r w:rsidR="000B0B9C">
        <w:rPr>
          <w:rFonts w:cs="Times New Roman"/>
          <w:sz w:val="24"/>
          <w:szCs w:val="24"/>
          <w:lang w:val="cs-CZ"/>
        </w:rPr>
        <w:t>Kupující</w:t>
      </w:r>
      <w:r w:rsidRPr="005410FE">
        <w:rPr>
          <w:rFonts w:cs="Times New Roman"/>
          <w:sz w:val="24"/>
          <w:szCs w:val="24"/>
          <w:lang w:val="cs-CZ"/>
        </w:rPr>
        <w:t xml:space="preserve"> prohlašuje, že </w:t>
      </w:r>
      <w:r w:rsidR="000B0B9C">
        <w:rPr>
          <w:rFonts w:cs="Times New Roman"/>
          <w:sz w:val="24"/>
          <w:szCs w:val="24"/>
          <w:lang w:val="cs-CZ"/>
        </w:rPr>
        <w:t>je se všemi uvedenými předpisy, parametry a normami obeznámen a Předmět převodu přebírá s jejich znalostí.</w:t>
      </w:r>
    </w:p>
    <w:p w14:paraId="7BF6A367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color w:val="FF0000"/>
          <w:sz w:val="24"/>
          <w:szCs w:val="24"/>
          <w:lang w:val="cs-CZ"/>
        </w:rPr>
      </w:pPr>
    </w:p>
    <w:p w14:paraId="3FE79B9B" w14:textId="0EC9BEE0" w:rsidR="005410FE" w:rsidRDefault="005410FE" w:rsidP="005410FE">
      <w:pPr>
        <w:pStyle w:val="BodyA"/>
        <w:spacing w:line="312" w:lineRule="auto"/>
        <w:jc w:val="both"/>
        <w:rPr>
          <w:rFonts w:cs="Times New Roman"/>
          <w:color w:val="000000" w:themeColor="text1"/>
          <w:sz w:val="24"/>
          <w:szCs w:val="24"/>
          <w:lang w:val="cs-CZ"/>
        </w:rPr>
      </w:pPr>
      <w:r w:rsidRPr="005410FE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4.</w:t>
      </w:r>
      <w:r w:rsidR="00345DFC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2</w:t>
      </w:r>
      <w:r w:rsidRPr="005410FE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.</w:t>
      </w:r>
      <w:r w:rsidRPr="005410FE">
        <w:rPr>
          <w:rFonts w:cs="Times New Roman"/>
          <w:color w:val="000000" w:themeColor="text1"/>
          <w:sz w:val="24"/>
          <w:szCs w:val="24"/>
          <w:lang w:val="cs-CZ"/>
        </w:rPr>
        <w:t xml:space="preserve"> </w:t>
      </w:r>
      <w:r w:rsidR="00345DFC">
        <w:rPr>
          <w:rFonts w:cs="Times New Roman"/>
          <w:color w:val="000000" w:themeColor="text1"/>
          <w:sz w:val="24"/>
          <w:szCs w:val="24"/>
          <w:lang w:val="cs-CZ"/>
        </w:rPr>
        <w:t xml:space="preserve">Kupující prohlašuje, že </w:t>
      </w:r>
      <w:r w:rsidR="00EF78DC">
        <w:rPr>
          <w:rFonts w:cs="Times New Roman"/>
          <w:color w:val="000000" w:themeColor="text1"/>
          <w:sz w:val="24"/>
          <w:szCs w:val="24"/>
          <w:lang w:val="cs-CZ"/>
        </w:rPr>
        <w:t>proti němu není vedeno exekuční řízení ani neexistuje žádný právní titul k jeho zahájení, že není v úpadku, v insolvenci, v nucené správě ani v jiné obdobné situaci a že plněním dle této Smlouvy nemůže být zkrácen žádný z jeho věřitelů. V případě nepravdivosti kteréhokoliv prohlášení Kupujícího dle tohoto odstavce je Prodávající oprávněn od Smlouvy odstoupit, a to i po dovršení převodu.</w:t>
      </w:r>
    </w:p>
    <w:p w14:paraId="33496672" w14:textId="75E3F403" w:rsidR="005410FE" w:rsidRDefault="00C47393" w:rsidP="005410FE">
      <w:pPr>
        <w:pStyle w:val="BodyA"/>
        <w:spacing w:line="312" w:lineRule="auto"/>
        <w:jc w:val="both"/>
        <w:rPr>
          <w:rFonts w:cs="Times New Roman"/>
          <w:color w:val="000000" w:themeColor="text1"/>
          <w:sz w:val="24"/>
          <w:szCs w:val="24"/>
          <w:lang w:val="cs-CZ"/>
        </w:rPr>
      </w:pPr>
      <w:r>
        <w:rPr>
          <w:rFonts w:cs="Times New Roman"/>
          <w:color w:val="000000" w:themeColor="text1"/>
          <w:sz w:val="24"/>
          <w:szCs w:val="24"/>
          <w:lang w:val="cs-CZ"/>
        </w:rPr>
        <w:br/>
      </w:r>
      <w:r w:rsidRPr="00C47393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4.3.</w:t>
      </w:r>
      <w:r>
        <w:rPr>
          <w:rFonts w:cs="Times New Roman"/>
          <w:color w:val="000000" w:themeColor="text1"/>
          <w:sz w:val="24"/>
          <w:szCs w:val="24"/>
          <w:lang w:val="cs-CZ"/>
        </w:rPr>
        <w:t xml:space="preserve"> V případě, že Kupující neuhradí kupní cenu dle čl. III. ve lhůtě ujednané v odst. 3.2. této Smlouvy, má Prodávající právo požadovat po něm smluvní pokutu ve výši 0,05 % z kupní ceny či její </w:t>
      </w:r>
      <w:r w:rsidR="00A2237B">
        <w:rPr>
          <w:rFonts w:cs="Times New Roman"/>
          <w:color w:val="000000" w:themeColor="text1"/>
          <w:sz w:val="24"/>
          <w:szCs w:val="24"/>
          <w:lang w:val="cs-CZ"/>
        </w:rPr>
        <w:t xml:space="preserve">dosud </w:t>
      </w:r>
      <w:r>
        <w:rPr>
          <w:rFonts w:cs="Times New Roman"/>
          <w:color w:val="000000" w:themeColor="text1"/>
          <w:sz w:val="24"/>
          <w:szCs w:val="24"/>
          <w:lang w:val="cs-CZ"/>
        </w:rPr>
        <w:t>neuhrazené části za každý započatý den prodlení, případně je oprávněn dle své volby od této Smlouvy odstoupit.</w:t>
      </w:r>
    </w:p>
    <w:p w14:paraId="5741574E" w14:textId="77777777" w:rsidR="00C47393" w:rsidRPr="00F6490C" w:rsidRDefault="00C47393" w:rsidP="005410FE">
      <w:pPr>
        <w:pStyle w:val="BodyA"/>
        <w:spacing w:line="312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cs-CZ"/>
        </w:rPr>
      </w:pPr>
    </w:p>
    <w:p w14:paraId="44716DF0" w14:textId="22E03630" w:rsidR="00C47393" w:rsidRPr="005410FE" w:rsidRDefault="00C47393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F6490C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4.4.</w:t>
      </w:r>
      <w:r>
        <w:rPr>
          <w:rFonts w:cs="Times New Roman"/>
          <w:color w:val="000000" w:themeColor="text1"/>
          <w:sz w:val="24"/>
          <w:szCs w:val="24"/>
          <w:lang w:val="cs-CZ"/>
        </w:rPr>
        <w:t xml:space="preserve"> Tuto Smlouvu je možno ukončit </w:t>
      </w:r>
      <w:r w:rsidR="004D3E13">
        <w:rPr>
          <w:rFonts w:cs="Times New Roman"/>
          <w:color w:val="000000" w:themeColor="text1"/>
          <w:sz w:val="24"/>
          <w:szCs w:val="24"/>
          <w:lang w:val="cs-CZ"/>
        </w:rPr>
        <w:t>(s výjimkou jejího úplného splnění)</w:t>
      </w:r>
      <w:r>
        <w:rPr>
          <w:rFonts w:cs="Times New Roman"/>
          <w:color w:val="000000" w:themeColor="text1"/>
          <w:sz w:val="24"/>
          <w:szCs w:val="24"/>
          <w:lang w:val="cs-CZ"/>
        </w:rPr>
        <w:t xml:space="preserve"> pouze na základě odstoupení od smlouvy v případech kdy je tato Smlouva výslovně upravuje, a dále v případech dle ust. § 2002 občanského zákoníku. V případě odstoupení od Smlouvy si smluvní strany vrátí vše, co si plnily.</w:t>
      </w:r>
    </w:p>
    <w:p w14:paraId="6C1C23A9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60612633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0A034986" w14:textId="400E3542" w:rsidR="005410FE" w:rsidRP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V.</w:t>
      </w:r>
    </w:p>
    <w:p w14:paraId="3B2848BC" w14:textId="77777777" w:rsidR="005410FE" w:rsidRPr="005410FE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5410FE">
        <w:rPr>
          <w:rFonts w:cs="Times New Roman"/>
          <w:b/>
          <w:bCs/>
          <w:sz w:val="24"/>
          <w:szCs w:val="24"/>
          <w:lang w:val="cs-CZ"/>
        </w:rPr>
        <w:t>Závěrečná ujednání</w:t>
      </w:r>
    </w:p>
    <w:p w14:paraId="23F6376E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7BE6DBE5" w14:textId="1C0D1DB7" w:rsidR="002203D5" w:rsidRPr="002203D5" w:rsidRDefault="002203D5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 xml:space="preserve">5.1. </w:t>
      </w:r>
      <w:r>
        <w:rPr>
          <w:rFonts w:cs="Times New Roman"/>
          <w:sz w:val="24"/>
          <w:szCs w:val="24"/>
          <w:lang w:val="cs-CZ"/>
        </w:rPr>
        <w:t>Je-li na straně Kupujícího více osob, nabývají Předmět převodu do podílového spoluvlastnictví se stejně velkými podíly vzhledem k celku. Jednotlivé osoby na straně Kupující</w:t>
      </w:r>
      <w:r w:rsidR="00F55EF8">
        <w:rPr>
          <w:rFonts w:cs="Times New Roman"/>
          <w:sz w:val="24"/>
          <w:szCs w:val="24"/>
          <w:lang w:val="cs-CZ"/>
        </w:rPr>
        <w:t>ho</w:t>
      </w:r>
      <w:r>
        <w:rPr>
          <w:rFonts w:cs="Times New Roman"/>
          <w:sz w:val="24"/>
          <w:szCs w:val="24"/>
          <w:lang w:val="cs-CZ"/>
        </w:rPr>
        <w:t xml:space="preserve"> jsou s této Smlouvy </w:t>
      </w:r>
      <w:r w:rsidR="00F55EF8">
        <w:rPr>
          <w:rFonts w:cs="Times New Roman"/>
          <w:sz w:val="24"/>
          <w:szCs w:val="24"/>
          <w:lang w:val="cs-CZ"/>
        </w:rPr>
        <w:t xml:space="preserve">Prodávajícímu </w:t>
      </w:r>
      <w:r>
        <w:rPr>
          <w:rFonts w:cs="Times New Roman"/>
          <w:sz w:val="24"/>
          <w:szCs w:val="24"/>
          <w:lang w:val="cs-CZ"/>
        </w:rPr>
        <w:t>zavázány společně a nerozdílně a společně a nerozdílně odpovídají za její plnění. Všude, kde se v této Smlouvě mluví o Kupujícím, má se na mysli každá z osob na straně Kupující</w:t>
      </w:r>
      <w:r w:rsidR="00BF0622">
        <w:rPr>
          <w:rFonts w:cs="Times New Roman"/>
          <w:sz w:val="24"/>
          <w:szCs w:val="24"/>
          <w:lang w:val="cs-CZ"/>
        </w:rPr>
        <w:t>ho,</w:t>
      </w:r>
      <w:r>
        <w:rPr>
          <w:rFonts w:cs="Times New Roman"/>
          <w:sz w:val="24"/>
          <w:szCs w:val="24"/>
          <w:lang w:val="cs-CZ"/>
        </w:rPr>
        <w:t xml:space="preserve"> každá z nich činí za sebe příslušné prohlášení a bere na sebe příslušný závazek.</w:t>
      </w:r>
    </w:p>
    <w:p w14:paraId="1C6629E9" w14:textId="77777777" w:rsidR="002203D5" w:rsidRDefault="002203D5" w:rsidP="005410FE">
      <w:pPr>
        <w:pStyle w:val="BodyA"/>
        <w:spacing w:line="312" w:lineRule="auto"/>
        <w:jc w:val="both"/>
        <w:rPr>
          <w:rFonts w:cs="Times New Roman"/>
          <w:b/>
          <w:bCs/>
          <w:sz w:val="24"/>
          <w:szCs w:val="24"/>
          <w:lang w:val="cs-CZ"/>
        </w:rPr>
      </w:pPr>
    </w:p>
    <w:p w14:paraId="37B931EE" w14:textId="0C0D6403" w:rsidR="005410FE" w:rsidRPr="005410FE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.</w:t>
      </w:r>
      <w:r w:rsidR="002203D5">
        <w:rPr>
          <w:rFonts w:cs="Times New Roman"/>
          <w:b/>
          <w:bCs/>
          <w:sz w:val="24"/>
          <w:szCs w:val="24"/>
          <w:lang w:val="cs-CZ"/>
        </w:rPr>
        <w:t>2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 xml:space="preserve">. </w:t>
      </w:r>
      <w:r>
        <w:rPr>
          <w:rFonts w:cs="Times New Roman"/>
          <w:sz w:val="24"/>
          <w:szCs w:val="24"/>
          <w:lang w:val="cs-CZ"/>
        </w:rPr>
        <w:t>Ve všech záležitostech touto Smlouvou výslovně neupravených se pro práva a povinnosti smluvních stran užijí příslušná ustanovení občanského zákoníku, upravující koupi movité věci. Ve smluvním vztahu se neužijí dispozitivní ustanovení občanského zákoníku, jejichž úprava je odchylná od ujednání této Smlouvy.</w:t>
      </w:r>
      <w:r w:rsidR="005410FE" w:rsidRPr="005410FE">
        <w:rPr>
          <w:rFonts w:cs="Times New Roman"/>
          <w:sz w:val="24"/>
          <w:szCs w:val="24"/>
          <w:lang w:val="cs-CZ"/>
        </w:rPr>
        <w:t xml:space="preserve"> </w:t>
      </w:r>
      <w:r w:rsidRPr="005410FE">
        <w:rPr>
          <w:rFonts w:cs="Times New Roman"/>
          <w:sz w:val="24"/>
          <w:szCs w:val="24"/>
          <w:lang w:val="cs-CZ"/>
        </w:rPr>
        <w:t>Mezi smluvními stranami nebudou užity žádné obecné ani specifické zvyklosti ani ujednání z předchozích či paralelních smluvních vztahů.</w:t>
      </w:r>
    </w:p>
    <w:p w14:paraId="56BD4F6D" w14:textId="77777777" w:rsid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55A423CF" w14:textId="60C3C035" w:rsidR="00D62EFF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D62EFF">
        <w:rPr>
          <w:rFonts w:eastAsia="Verdana" w:cs="Times New Roman"/>
          <w:b/>
          <w:bCs/>
          <w:sz w:val="24"/>
          <w:szCs w:val="24"/>
          <w:lang w:val="cs-CZ"/>
        </w:rPr>
        <w:t>5.</w:t>
      </w:r>
      <w:r w:rsidR="002203D5">
        <w:rPr>
          <w:rFonts w:eastAsia="Verdana" w:cs="Times New Roman"/>
          <w:b/>
          <w:bCs/>
          <w:sz w:val="24"/>
          <w:szCs w:val="24"/>
          <w:lang w:val="cs-CZ"/>
        </w:rPr>
        <w:t>3</w:t>
      </w:r>
      <w:r w:rsidRPr="00D62EFF">
        <w:rPr>
          <w:rFonts w:eastAsia="Verdana" w:cs="Times New Roman"/>
          <w:b/>
          <w:bCs/>
          <w:sz w:val="24"/>
          <w:szCs w:val="24"/>
          <w:lang w:val="cs-CZ"/>
        </w:rPr>
        <w:t>.</w:t>
      </w:r>
      <w:r>
        <w:rPr>
          <w:rFonts w:eastAsia="Verdana" w:cs="Times New Roman"/>
          <w:sz w:val="24"/>
          <w:szCs w:val="24"/>
          <w:lang w:val="cs-CZ"/>
        </w:rPr>
        <w:t xml:space="preserve"> Smluvní strany shodně konstatují, že smluvní vztah dle této Smlouvy není vztahem spotřebitelským, ale převodem vlastnického práva mezi dvěma subjekty</w:t>
      </w:r>
      <w:r w:rsidR="00BF0622">
        <w:rPr>
          <w:rFonts w:eastAsia="Verdana" w:cs="Times New Roman"/>
          <w:sz w:val="24"/>
          <w:szCs w:val="24"/>
          <w:lang w:val="cs-CZ"/>
        </w:rPr>
        <w:t xml:space="preserve"> v rovném postavení</w:t>
      </w:r>
      <w:r>
        <w:rPr>
          <w:rFonts w:eastAsia="Verdana" w:cs="Times New Roman"/>
          <w:sz w:val="24"/>
          <w:szCs w:val="24"/>
          <w:lang w:val="cs-CZ"/>
        </w:rPr>
        <w:t>.</w:t>
      </w:r>
    </w:p>
    <w:p w14:paraId="60D1DA1B" w14:textId="77777777" w:rsidR="00001213" w:rsidRDefault="00001213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0E55A671" w14:textId="33F3BCAC" w:rsidR="00001213" w:rsidRDefault="00001213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187E9A">
        <w:rPr>
          <w:rFonts w:eastAsia="Verdana" w:cs="Times New Roman"/>
          <w:b/>
          <w:bCs/>
          <w:sz w:val="24"/>
          <w:szCs w:val="24"/>
          <w:lang w:val="cs-CZ"/>
        </w:rPr>
        <w:t>5.</w:t>
      </w:r>
      <w:r w:rsidR="002203D5">
        <w:rPr>
          <w:rFonts w:eastAsia="Verdana" w:cs="Times New Roman"/>
          <w:b/>
          <w:bCs/>
          <w:sz w:val="24"/>
          <w:szCs w:val="24"/>
          <w:lang w:val="cs-CZ"/>
        </w:rPr>
        <w:t>4</w:t>
      </w:r>
      <w:r w:rsidRPr="00187E9A">
        <w:rPr>
          <w:rFonts w:eastAsia="Verdana" w:cs="Times New Roman"/>
          <w:b/>
          <w:bCs/>
          <w:sz w:val="24"/>
          <w:szCs w:val="24"/>
          <w:lang w:val="cs-CZ"/>
        </w:rPr>
        <w:t>.</w:t>
      </w:r>
      <w:r>
        <w:rPr>
          <w:rFonts w:eastAsia="Verdana" w:cs="Times New Roman"/>
          <w:sz w:val="24"/>
          <w:szCs w:val="24"/>
          <w:lang w:val="cs-CZ"/>
        </w:rPr>
        <w:t xml:space="preserve"> Kupující prohlašuje, že si je vědom zákonné publicity obecních smluv, zejména toho, že Prodávající plný text této Smlouvy uveřejní v registru smluv dle zákona č.</w:t>
      </w:r>
      <w:r w:rsidR="00187E9A">
        <w:rPr>
          <w:rFonts w:eastAsia="Verdana" w:cs="Times New Roman"/>
          <w:sz w:val="24"/>
          <w:szCs w:val="24"/>
          <w:lang w:val="cs-CZ"/>
        </w:rPr>
        <w:t xml:space="preserve"> 340/2015, o registru smluv, v platném znění (dále jen „</w:t>
      </w:r>
      <w:r w:rsidR="00187E9A" w:rsidRPr="00187E9A">
        <w:rPr>
          <w:rFonts w:eastAsia="Verdana" w:cs="Times New Roman"/>
          <w:b/>
          <w:bCs/>
          <w:sz w:val="24"/>
          <w:szCs w:val="24"/>
          <w:lang w:val="cs-CZ"/>
        </w:rPr>
        <w:t>registr smluv</w:t>
      </w:r>
      <w:r w:rsidR="00187E9A">
        <w:rPr>
          <w:rFonts w:eastAsia="Verdana" w:cs="Times New Roman"/>
          <w:sz w:val="24"/>
          <w:szCs w:val="24"/>
          <w:lang w:val="cs-CZ"/>
        </w:rPr>
        <w:t>“), že může obsah této Smlouvy sdělovat žadatelům dle zákona č. 106/1999 Sb., o svobodném přístupu k informacím, v platném znění, a že informace o podstatných náležitostech této Smlouvy budou uveřejňovány jako výstupy z rozhodování Prodávajícího v příslušným grémiích. Kupující za tím účelem prohlašuje, že žádnou část této Smlouvy nepovažuje za důvěrnou, za obchodní ani jiné tajemství.</w:t>
      </w:r>
    </w:p>
    <w:p w14:paraId="12347011" w14:textId="77777777" w:rsidR="00D62EFF" w:rsidRPr="005410FE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379CEBE1" w14:textId="33CCC0AC" w:rsidR="005410FE" w:rsidRPr="005410FE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.</w:t>
      </w:r>
      <w:r w:rsidR="002203D5"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.</w:t>
      </w:r>
      <w:r w:rsidR="005410FE" w:rsidRPr="005410FE">
        <w:rPr>
          <w:rFonts w:cs="Times New Roman"/>
          <w:sz w:val="24"/>
          <w:szCs w:val="24"/>
          <w:lang w:val="cs-CZ"/>
        </w:rPr>
        <w:t xml:space="preserve"> Smlouva nabývá platnosti dnem jejího podpisu poslední smluvní stranou</w:t>
      </w:r>
      <w:r w:rsidR="00187E9A">
        <w:rPr>
          <w:rFonts w:cs="Times New Roman"/>
          <w:sz w:val="24"/>
          <w:szCs w:val="24"/>
          <w:lang w:val="cs-CZ"/>
        </w:rPr>
        <w:t xml:space="preserve"> a účinnosti dnem jejího uveřejnění v registru smluv, které se zavazuje zajistit v zákonné lhůtě Prodávající.</w:t>
      </w:r>
    </w:p>
    <w:p w14:paraId="7F04A155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6FAE3CA0" w14:textId="7808F1E6" w:rsidR="005410FE" w:rsidRPr="005410FE" w:rsidRDefault="00187E9A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.</w:t>
      </w:r>
      <w:r w:rsidR="002203D5">
        <w:rPr>
          <w:rFonts w:cs="Times New Roman"/>
          <w:b/>
          <w:bCs/>
          <w:sz w:val="24"/>
          <w:szCs w:val="24"/>
          <w:lang w:val="cs-CZ"/>
        </w:rPr>
        <w:t>6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.</w:t>
      </w:r>
      <w:r w:rsidR="005410FE" w:rsidRPr="005410FE">
        <w:rPr>
          <w:rFonts w:cs="Times New Roman"/>
          <w:sz w:val="24"/>
          <w:szCs w:val="24"/>
          <w:lang w:val="cs-CZ"/>
        </w:rPr>
        <w:t xml:space="preserve"> Tuto Smlouvu je možné měnit </w:t>
      </w:r>
      <w:r w:rsidR="00F92C41">
        <w:rPr>
          <w:rFonts w:cs="Times New Roman"/>
          <w:sz w:val="24"/>
          <w:szCs w:val="24"/>
          <w:lang w:val="cs-CZ"/>
        </w:rPr>
        <w:t xml:space="preserve">či doplňovat </w:t>
      </w:r>
      <w:r w:rsidR="005410FE" w:rsidRPr="005410FE">
        <w:rPr>
          <w:rFonts w:cs="Times New Roman"/>
          <w:sz w:val="24"/>
          <w:szCs w:val="24"/>
          <w:lang w:val="cs-CZ"/>
        </w:rPr>
        <w:t>pouze písemnými dodatky, podepsanými odpovědnými zástupci obou smluvních stran.</w:t>
      </w:r>
    </w:p>
    <w:p w14:paraId="0A58C4FB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0A899898" w14:textId="1BFE567F" w:rsidR="005410FE" w:rsidRPr="005410FE" w:rsidRDefault="002203D5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.7.</w:t>
      </w:r>
      <w:r w:rsidR="005410FE" w:rsidRPr="005410FE">
        <w:rPr>
          <w:rFonts w:cs="Times New Roman"/>
          <w:sz w:val="24"/>
          <w:szCs w:val="24"/>
          <w:lang w:val="cs-CZ"/>
        </w:rPr>
        <w:t xml:space="preserve"> Tato Smlouva je vyhotovena ve </w:t>
      </w:r>
      <w:r w:rsidR="005410FE" w:rsidRPr="005F71E8">
        <w:rPr>
          <w:rFonts w:cs="Times New Roman"/>
          <w:sz w:val="24"/>
          <w:szCs w:val="24"/>
          <w:highlight w:val="cyan"/>
          <w:lang w:val="cs-CZ"/>
        </w:rPr>
        <w:t>4</w:t>
      </w:r>
      <w:r w:rsidR="005410FE" w:rsidRPr="005410FE">
        <w:rPr>
          <w:rFonts w:cs="Times New Roman"/>
          <w:sz w:val="24"/>
          <w:szCs w:val="24"/>
          <w:lang w:val="cs-CZ"/>
        </w:rPr>
        <w:t xml:space="preserve"> stejnopisech s platností originálu, přičemž 3 obdrží</w:t>
      </w:r>
      <w:r w:rsidR="005F71E8">
        <w:rPr>
          <w:rFonts w:cs="Times New Roman"/>
          <w:sz w:val="24"/>
          <w:szCs w:val="24"/>
          <w:lang w:val="cs-CZ"/>
        </w:rPr>
        <w:t xml:space="preserve"> Prodávající</w:t>
      </w:r>
      <w:r w:rsidR="005410FE" w:rsidRPr="005410FE">
        <w:rPr>
          <w:rFonts w:cs="Times New Roman"/>
          <w:sz w:val="24"/>
          <w:szCs w:val="24"/>
          <w:lang w:val="cs-CZ"/>
        </w:rPr>
        <w:t xml:space="preserve"> a </w:t>
      </w:r>
      <w:r w:rsidR="005410FE" w:rsidRPr="005F71E8">
        <w:rPr>
          <w:rFonts w:cs="Times New Roman"/>
          <w:sz w:val="24"/>
          <w:szCs w:val="24"/>
          <w:highlight w:val="cyan"/>
          <w:lang w:val="cs-CZ"/>
        </w:rPr>
        <w:t>1</w:t>
      </w:r>
      <w:r w:rsidR="005410FE" w:rsidRPr="005410FE">
        <w:rPr>
          <w:rFonts w:cs="Times New Roman"/>
          <w:sz w:val="24"/>
          <w:szCs w:val="24"/>
          <w:lang w:val="cs-CZ"/>
        </w:rPr>
        <w:t xml:space="preserve"> </w:t>
      </w:r>
      <w:r w:rsidR="005F71E8">
        <w:rPr>
          <w:rFonts w:cs="Times New Roman"/>
          <w:sz w:val="24"/>
          <w:szCs w:val="24"/>
          <w:lang w:val="cs-CZ"/>
        </w:rPr>
        <w:t>Kupujíc</w:t>
      </w:r>
      <w:r w:rsidR="005410FE" w:rsidRPr="005410FE">
        <w:rPr>
          <w:rFonts w:cs="Times New Roman"/>
          <w:sz w:val="24"/>
          <w:szCs w:val="24"/>
          <w:lang w:val="cs-CZ"/>
        </w:rPr>
        <w:t xml:space="preserve">í. </w:t>
      </w:r>
    </w:p>
    <w:p w14:paraId="5BAFB6AA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7EFF817A" w14:textId="5263967B" w:rsidR="005410FE" w:rsidRPr="005410FE" w:rsidRDefault="00361E4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 xml:space="preserve">.8. </w:t>
      </w:r>
      <w:r w:rsidR="005410FE" w:rsidRPr="005410FE">
        <w:rPr>
          <w:rFonts w:cs="Times New Roman"/>
          <w:sz w:val="24"/>
          <w:szCs w:val="24"/>
          <w:lang w:val="cs-CZ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2B1730D7" w14:textId="77777777" w:rsidR="005410FE" w:rsidRPr="005410FE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698FE0B0" w14:textId="2CC31654" w:rsidR="00F06453" w:rsidRDefault="00C70904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5.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>9.</w:t>
      </w:r>
      <w:r w:rsidR="005410FE" w:rsidRPr="005410FE">
        <w:rPr>
          <w:rFonts w:cs="Times New Roman"/>
          <w:sz w:val="24"/>
          <w:szCs w:val="24"/>
          <w:lang w:val="cs-CZ"/>
        </w:rPr>
        <w:t xml:space="preserve"> Nedílnou součástí této Smlouvy j</w:t>
      </w:r>
      <w:r w:rsidR="00F06453">
        <w:rPr>
          <w:rFonts w:cs="Times New Roman"/>
          <w:sz w:val="24"/>
          <w:szCs w:val="24"/>
          <w:lang w:val="cs-CZ"/>
        </w:rPr>
        <w:t>e následující příloha č. 1:</w:t>
      </w:r>
    </w:p>
    <w:p w14:paraId="06A99ACA" w14:textId="22460D87" w:rsidR="005410FE" w:rsidRPr="005E1091" w:rsidRDefault="005E1091" w:rsidP="00F06453">
      <w:pPr>
        <w:pStyle w:val="BodyA"/>
        <w:numPr>
          <w:ilvl w:val="0"/>
          <w:numId w:val="4"/>
        </w:numPr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5E1091">
        <w:rPr>
          <w:sz w:val="24"/>
          <w:szCs w:val="24"/>
          <w:lang w:val="cs-CZ"/>
        </w:rPr>
        <w:t>N</w:t>
      </w:r>
      <w:r w:rsidRPr="005E1091">
        <w:rPr>
          <w:sz w:val="24"/>
          <w:szCs w:val="24"/>
        </w:rPr>
        <w:t xml:space="preserve">ájemní smlouva č. NAN/OSM/28/2008 ze dne 24.01.2008 ve znění dodatků č.1-4 </w:t>
      </w:r>
    </w:p>
    <w:p w14:paraId="33A3F92C" w14:textId="77777777" w:rsidR="005410FE" w:rsidRPr="005410FE" w:rsidRDefault="005410FE" w:rsidP="005410FE">
      <w:pPr>
        <w:pStyle w:val="BodyA"/>
        <w:spacing w:line="312" w:lineRule="auto"/>
        <w:rPr>
          <w:rFonts w:cs="Times New Roman"/>
          <w:sz w:val="24"/>
          <w:szCs w:val="24"/>
          <w:lang w:val="cs-CZ"/>
        </w:rPr>
      </w:pPr>
    </w:p>
    <w:p w14:paraId="349AD2E5" w14:textId="24B1CE0D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>V</w:t>
      </w:r>
      <w:r w:rsidR="00F06453">
        <w:rPr>
          <w:rFonts w:cs="Times New Roman"/>
          <w:sz w:val="24"/>
          <w:szCs w:val="24"/>
          <w:lang w:val="cs-CZ"/>
        </w:rPr>
        <w:t xml:space="preserve"> Praze </w:t>
      </w:r>
      <w:r w:rsidRPr="005410FE">
        <w:rPr>
          <w:rFonts w:cs="Times New Roman"/>
          <w:sz w:val="24"/>
          <w:szCs w:val="24"/>
          <w:lang w:val="cs-CZ"/>
        </w:rPr>
        <w:t>dne ……………….…</w:t>
      </w:r>
      <w:r w:rsidRPr="005410FE">
        <w:rPr>
          <w:rFonts w:cs="Times New Roman"/>
          <w:sz w:val="24"/>
          <w:szCs w:val="24"/>
          <w:lang w:val="cs-CZ"/>
        </w:rPr>
        <w:tab/>
      </w:r>
      <w:r w:rsidRPr="005410FE">
        <w:rPr>
          <w:rFonts w:cs="Times New Roman"/>
          <w:sz w:val="24"/>
          <w:szCs w:val="24"/>
          <w:lang w:val="cs-CZ"/>
        </w:rPr>
        <w:tab/>
      </w:r>
      <w:r w:rsidRPr="005410FE">
        <w:rPr>
          <w:rFonts w:cs="Times New Roman"/>
          <w:sz w:val="24"/>
          <w:szCs w:val="24"/>
          <w:lang w:val="cs-CZ"/>
        </w:rPr>
        <w:tab/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V ………….</w:t>
      </w:r>
      <w:r w:rsidRPr="005410FE">
        <w:rPr>
          <w:rFonts w:cs="Times New Roman"/>
          <w:sz w:val="24"/>
          <w:szCs w:val="24"/>
          <w:lang w:val="cs-CZ"/>
        </w:rPr>
        <w:t xml:space="preserve"> dne </w:t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</w:t>
      </w:r>
    </w:p>
    <w:p w14:paraId="329960BA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412088A0" w14:textId="77777777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18263FCA" w14:textId="3081FDAD" w:rsidR="005410FE" w:rsidRPr="005410FE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5410FE">
        <w:rPr>
          <w:rFonts w:cs="Times New Roman"/>
          <w:sz w:val="24"/>
          <w:szCs w:val="24"/>
          <w:lang w:val="cs-CZ"/>
        </w:rPr>
        <w:t>………………………………………..</w:t>
      </w:r>
      <w:r w:rsidRPr="005410FE">
        <w:rPr>
          <w:rFonts w:cs="Times New Roman"/>
          <w:sz w:val="24"/>
          <w:szCs w:val="24"/>
          <w:lang w:val="cs-CZ"/>
        </w:rPr>
        <w:tab/>
      </w:r>
      <w:r w:rsidR="00F06453">
        <w:rPr>
          <w:rFonts w:cs="Times New Roman"/>
          <w:sz w:val="24"/>
          <w:szCs w:val="24"/>
          <w:lang w:val="cs-CZ"/>
        </w:rPr>
        <w:tab/>
      </w:r>
      <w:r w:rsidRPr="005410FE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…………………………………………...…</w:t>
      </w:r>
    </w:p>
    <w:p w14:paraId="0E69DDCF" w14:textId="4327878A" w:rsidR="005410FE" w:rsidRPr="005410FE" w:rsidRDefault="00F06453" w:rsidP="005410FE">
      <w:pPr>
        <w:pStyle w:val="BodyA"/>
        <w:spacing w:line="312" w:lineRule="auto"/>
        <w:rPr>
          <w:rFonts w:cs="Times New Roman"/>
          <w:b/>
          <w:bCs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Prodávající</w:t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5410FE">
        <w:rPr>
          <w:rFonts w:cs="Times New Roman"/>
          <w:b/>
          <w:bCs/>
          <w:sz w:val="24"/>
          <w:szCs w:val="24"/>
          <w:lang w:val="cs-CZ"/>
        </w:rPr>
        <w:tab/>
      </w:r>
      <w:r>
        <w:rPr>
          <w:rFonts w:cs="Times New Roman"/>
          <w:b/>
          <w:bCs/>
          <w:sz w:val="24"/>
          <w:szCs w:val="24"/>
          <w:lang w:val="cs-CZ"/>
        </w:rPr>
        <w:tab/>
        <w:t>Kupující</w:t>
      </w:r>
    </w:p>
    <w:p w14:paraId="0E6F153C" w14:textId="7FB4DAC7" w:rsidR="005410FE" w:rsidRPr="005410FE" w:rsidRDefault="00F06453" w:rsidP="005410FE">
      <w:pPr>
        <w:pStyle w:val="BodyA"/>
        <w:spacing w:line="312" w:lineRule="auto"/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</w:pPr>
      <w:r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>Městská část Praha 9</w:t>
      </w:r>
      <w:r w:rsidR="005410FE" w:rsidRPr="005410FE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5410FE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5410FE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5410FE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5410FE">
        <w:rPr>
          <w:rFonts w:cs="Times New Roman"/>
          <w:b/>
          <w:bCs/>
          <w:sz w:val="24"/>
          <w:szCs w:val="24"/>
          <w:shd w:val="clear" w:color="auto" w:fill="FFFF00"/>
          <w:lang w:val="cs-CZ"/>
        </w:rPr>
        <w:t>……………………………………</w:t>
      </w:r>
    </w:p>
    <w:p w14:paraId="2E168C2C" w14:textId="764A9721" w:rsidR="005410FE" w:rsidRPr="004733A8" w:rsidRDefault="00F06453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</w:rPr>
      </w:pPr>
      <w:r>
        <w:rPr>
          <w:rFonts w:cs="Times New Roman"/>
          <w:color w:val="00000A"/>
          <w:sz w:val="24"/>
          <w:szCs w:val="24"/>
          <w:u w:color="00000A"/>
          <w:lang w:val="cs-CZ"/>
        </w:rPr>
        <w:t>Mgr. Tomáš Portlík, starosta</w:t>
      </w:r>
      <w:r w:rsidR="005410FE" w:rsidRPr="005410FE">
        <w:rPr>
          <w:rFonts w:cs="Times New Roman"/>
          <w:color w:val="00000A"/>
          <w:sz w:val="24"/>
          <w:szCs w:val="24"/>
          <w:u w:color="00000A"/>
        </w:rPr>
        <w:t xml:space="preserve"> </w:t>
      </w:r>
      <w:r>
        <w:rPr>
          <w:rFonts w:cs="Times New Roman"/>
          <w:color w:val="00000A"/>
          <w:sz w:val="24"/>
          <w:szCs w:val="24"/>
          <w:u w:color="00000A"/>
        </w:rPr>
        <w:tab/>
      </w:r>
      <w:r>
        <w:rPr>
          <w:rFonts w:cs="Times New Roman"/>
          <w:color w:val="00000A"/>
          <w:sz w:val="24"/>
          <w:szCs w:val="24"/>
          <w:u w:color="00000A"/>
        </w:rPr>
        <w:tab/>
      </w:r>
      <w:r w:rsidR="005410FE" w:rsidRPr="005410FE">
        <w:rPr>
          <w:rFonts w:cs="Times New Roman"/>
          <w:color w:val="00000A"/>
          <w:sz w:val="24"/>
          <w:szCs w:val="24"/>
          <w:u w:color="00000A"/>
        </w:rPr>
        <w:tab/>
      </w:r>
      <w:r>
        <w:rPr>
          <w:rFonts w:cs="Times New Roman"/>
          <w:color w:val="00000A"/>
          <w:sz w:val="24"/>
          <w:szCs w:val="24"/>
          <w:u w:color="00000A"/>
        </w:rPr>
        <w:tab/>
      </w:r>
      <w:r w:rsidR="005410FE" w:rsidRPr="005410FE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………………………………………….....</w:t>
      </w:r>
      <w:r w:rsidR="005410FE" w:rsidRPr="005410FE">
        <w:rPr>
          <w:rFonts w:cs="Times New Roman"/>
          <w:color w:val="00000A"/>
          <w:sz w:val="24"/>
          <w:szCs w:val="24"/>
          <w:u w:color="00000A"/>
          <w:lang w:val="cs-CZ"/>
        </w:rPr>
        <w:tab/>
      </w:r>
      <w:r w:rsidR="005410FE" w:rsidRPr="005410FE">
        <w:rPr>
          <w:rFonts w:cs="Times New Roman"/>
          <w:color w:val="00000A"/>
          <w:sz w:val="24"/>
          <w:szCs w:val="24"/>
          <w:u w:color="00000A"/>
          <w:lang w:val="cs-CZ"/>
        </w:rPr>
        <w:tab/>
      </w:r>
    </w:p>
    <w:p w14:paraId="320C30E7" w14:textId="77777777" w:rsidR="005410FE" w:rsidRPr="005410FE" w:rsidRDefault="005410FE" w:rsidP="005410FE"/>
    <w:p w14:paraId="43F528AC" w14:textId="77777777" w:rsidR="00C1454F" w:rsidRPr="005410FE" w:rsidRDefault="00C1454F"/>
    <w:sectPr w:rsidR="00C1454F" w:rsidRPr="005410FE">
      <w:footerReference w:type="default" r:id="rId7"/>
      <w:headerReference w:type="first" r:id="rId8"/>
      <w:footerReference w:type="first" r:id="rId9"/>
      <w:pgSz w:w="11900" w:h="16840"/>
      <w:pgMar w:top="1134" w:right="1134" w:bottom="992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D80D" w14:textId="77777777" w:rsidR="00F4277D" w:rsidRDefault="00F4277D" w:rsidP="005410FE">
      <w:r>
        <w:separator/>
      </w:r>
    </w:p>
  </w:endnote>
  <w:endnote w:type="continuationSeparator" w:id="0">
    <w:p w14:paraId="35F59C84" w14:textId="77777777" w:rsidR="00F4277D" w:rsidRDefault="00F4277D" w:rsidP="0054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A599" w14:textId="77777777" w:rsidR="00EC16DD" w:rsidRDefault="00EC16DD">
    <w:pPr>
      <w:pStyle w:val="BodyA"/>
      <w:jc w:val="center"/>
      <w:rPr>
        <w:sz w:val="24"/>
        <w:szCs w:val="24"/>
      </w:rPr>
    </w:pPr>
  </w:p>
  <w:p w14:paraId="18BCDB3F" w14:textId="5C653E66" w:rsidR="00456149" w:rsidRPr="00EC16DD" w:rsidRDefault="00000000">
    <w:pPr>
      <w:pStyle w:val="BodyA"/>
      <w:jc w:val="center"/>
      <w:rPr>
        <w:sz w:val="24"/>
        <w:szCs w:val="24"/>
      </w:rPr>
    </w:pPr>
    <w:r w:rsidRPr="00EC16DD">
      <w:rPr>
        <w:sz w:val="24"/>
        <w:szCs w:val="24"/>
      </w:rPr>
      <w:fldChar w:fldCharType="begin"/>
    </w:r>
    <w:r w:rsidRPr="00EC16DD">
      <w:rPr>
        <w:sz w:val="24"/>
        <w:szCs w:val="24"/>
      </w:rPr>
      <w:instrText xml:space="preserve"> PAGE </w:instrText>
    </w:r>
    <w:r w:rsidRPr="00EC16DD">
      <w:rPr>
        <w:sz w:val="24"/>
        <w:szCs w:val="24"/>
      </w:rPr>
      <w:fldChar w:fldCharType="separate"/>
    </w:r>
    <w:r w:rsidRPr="00EC16DD">
      <w:rPr>
        <w:noProof/>
        <w:sz w:val="24"/>
        <w:szCs w:val="24"/>
      </w:rPr>
      <w:t>2</w:t>
    </w:r>
    <w:r w:rsidRPr="00EC16DD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905E" w14:textId="77777777" w:rsidR="00456149" w:rsidRDefault="00456149">
    <w:pPr>
      <w:pStyle w:val="Footer"/>
      <w:jc w:val="center"/>
    </w:pPr>
  </w:p>
  <w:p w14:paraId="12DD2491" w14:textId="77777777" w:rsidR="00456149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3C39" w14:textId="77777777" w:rsidR="00F4277D" w:rsidRDefault="00F4277D" w:rsidP="005410FE">
      <w:r>
        <w:separator/>
      </w:r>
    </w:p>
  </w:footnote>
  <w:footnote w:type="continuationSeparator" w:id="0">
    <w:p w14:paraId="2FFA208B" w14:textId="77777777" w:rsidR="00F4277D" w:rsidRDefault="00F4277D" w:rsidP="0054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F45D" w14:textId="77777777" w:rsidR="005410FE" w:rsidRPr="005410FE" w:rsidRDefault="005410FE" w:rsidP="005410FE">
    <w:pPr>
      <w:spacing w:line="276" w:lineRule="auto"/>
      <w:jc w:val="right"/>
      <w:rPr>
        <w:rFonts w:ascii="Verdana" w:hAnsi="Verdana"/>
        <w:b/>
        <w:color w:val="808080" w:themeColor="background1" w:themeShade="80"/>
        <w:sz w:val="16"/>
        <w:szCs w:val="16"/>
      </w:rPr>
    </w:pPr>
    <w:r w:rsidRPr="005410FE">
      <w:rPr>
        <w:rFonts w:ascii="Verdana" w:hAnsi="Verdana"/>
        <w:b/>
        <w:color w:val="808080" w:themeColor="background1" w:themeShade="80"/>
        <w:sz w:val="16"/>
        <w:szCs w:val="16"/>
      </w:rPr>
      <w:t>„Odkup výměníkových stanic“</w:t>
    </w:r>
  </w:p>
  <w:p w14:paraId="1EC18EBF" w14:textId="79924CAB" w:rsidR="005410FE" w:rsidRPr="005410FE" w:rsidRDefault="005410FE" w:rsidP="005410FE">
    <w:pPr>
      <w:spacing w:line="276" w:lineRule="auto"/>
      <w:jc w:val="right"/>
      <w:rPr>
        <w:rFonts w:ascii="Verdana" w:hAnsi="Verdana"/>
        <w:color w:val="808080" w:themeColor="background1" w:themeShade="80"/>
        <w:sz w:val="16"/>
        <w:szCs w:val="16"/>
      </w:rPr>
    </w:pPr>
    <w:r w:rsidRPr="005410FE">
      <w:rPr>
        <w:rFonts w:ascii="Verdana" w:hAnsi="Verdana"/>
        <w:color w:val="808080" w:themeColor="background1" w:themeShade="80"/>
        <w:sz w:val="16"/>
        <w:szCs w:val="16"/>
      </w:rPr>
      <w:t xml:space="preserve"> výběrové řízení – příloha č. 2 otevřené výzvy k podání nabídek</w:t>
    </w:r>
  </w:p>
  <w:p w14:paraId="0B9A361B" w14:textId="77777777" w:rsidR="00456149" w:rsidRPr="005410FE" w:rsidRDefault="00456149" w:rsidP="00005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5C52"/>
    <w:multiLevelType w:val="multilevel"/>
    <w:tmpl w:val="172C5D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52C51BDA"/>
    <w:multiLevelType w:val="hybridMultilevel"/>
    <w:tmpl w:val="7B32917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E90A7B"/>
    <w:multiLevelType w:val="hybridMultilevel"/>
    <w:tmpl w:val="75C8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71E5"/>
    <w:multiLevelType w:val="hybridMultilevel"/>
    <w:tmpl w:val="4B14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5321">
    <w:abstractNumId w:val="0"/>
  </w:num>
  <w:num w:numId="2" w16cid:durableId="1723939041">
    <w:abstractNumId w:val="2"/>
  </w:num>
  <w:num w:numId="3" w16cid:durableId="1834643668">
    <w:abstractNumId w:val="1"/>
  </w:num>
  <w:num w:numId="4" w16cid:durableId="157033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FE"/>
    <w:rsid w:val="00001213"/>
    <w:rsid w:val="00046B24"/>
    <w:rsid w:val="00052E03"/>
    <w:rsid w:val="000A466A"/>
    <w:rsid w:val="000B0B9C"/>
    <w:rsid w:val="000C69B7"/>
    <w:rsid w:val="000E4B59"/>
    <w:rsid w:val="0011057F"/>
    <w:rsid w:val="001622A4"/>
    <w:rsid w:val="00170A2C"/>
    <w:rsid w:val="00187E9A"/>
    <w:rsid w:val="001913FA"/>
    <w:rsid w:val="002203D5"/>
    <w:rsid w:val="00222F54"/>
    <w:rsid w:val="002940A6"/>
    <w:rsid w:val="00331ADF"/>
    <w:rsid w:val="0033594C"/>
    <w:rsid w:val="00345DFC"/>
    <w:rsid w:val="00361E4F"/>
    <w:rsid w:val="00376762"/>
    <w:rsid w:val="003915C1"/>
    <w:rsid w:val="003A0E31"/>
    <w:rsid w:val="003C0CB2"/>
    <w:rsid w:val="003F52DB"/>
    <w:rsid w:val="004345B5"/>
    <w:rsid w:val="00444483"/>
    <w:rsid w:val="00456149"/>
    <w:rsid w:val="004660FD"/>
    <w:rsid w:val="004733A8"/>
    <w:rsid w:val="00487ED1"/>
    <w:rsid w:val="004D3E13"/>
    <w:rsid w:val="004E4FDC"/>
    <w:rsid w:val="00504E49"/>
    <w:rsid w:val="005063C0"/>
    <w:rsid w:val="005410FE"/>
    <w:rsid w:val="005D2E5B"/>
    <w:rsid w:val="005E1091"/>
    <w:rsid w:val="005E3173"/>
    <w:rsid w:val="005F71E8"/>
    <w:rsid w:val="0062741F"/>
    <w:rsid w:val="00635B1F"/>
    <w:rsid w:val="00662EFC"/>
    <w:rsid w:val="00695FAC"/>
    <w:rsid w:val="006B4CC4"/>
    <w:rsid w:val="006E0813"/>
    <w:rsid w:val="00776F9D"/>
    <w:rsid w:val="007A4D99"/>
    <w:rsid w:val="007D1382"/>
    <w:rsid w:val="007F3960"/>
    <w:rsid w:val="008024AA"/>
    <w:rsid w:val="00830D97"/>
    <w:rsid w:val="00880A38"/>
    <w:rsid w:val="008A2106"/>
    <w:rsid w:val="008A691D"/>
    <w:rsid w:val="00931086"/>
    <w:rsid w:val="00932DC9"/>
    <w:rsid w:val="00962EE5"/>
    <w:rsid w:val="00962F4A"/>
    <w:rsid w:val="009645EC"/>
    <w:rsid w:val="009A1E25"/>
    <w:rsid w:val="009B658C"/>
    <w:rsid w:val="009E5A70"/>
    <w:rsid w:val="009F0DC9"/>
    <w:rsid w:val="00A2237B"/>
    <w:rsid w:val="00A53113"/>
    <w:rsid w:val="00A67516"/>
    <w:rsid w:val="00A82DCB"/>
    <w:rsid w:val="00A913F3"/>
    <w:rsid w:val="00B011D4"/>
    <w:rsid w:val="00B079D0"/>
    <w:rsid w:val="00B93702"/>
    <w:rsid w:val="00BF0622"/>
    <w:rsid w:val="00C0349B"/>
    <w:rsid w:val="00C1454F"/>
    <w:rsid w:val="00C47393"/>
    <w:rsid w:val="00C67037"/>
    <w:rsid w:val="00C70904"/>
    <w:rsid w:val="00C715D1"/>
    <w:rsid w:val="00D00CE6"/>
    <w:rsid w:val="00D37099"/>
    <w:rsid w:val="00D62EFF"/>
    <w:rsid w:val="00DB708B"/>
    <w:rsid w:val="00DE4288"/>
    <w:rsid w:val="00DF1D1A"/>
    <w:rsid w:val="00E327A8"/>
    <w:rsid w:val="00EC16DD"/>
    <w:rsid w:val="00EC1DAB"/>
    <w:rsid w:val="00EF78DC"/>
    <w:rsid w:val="00F06453"/>
    <w:rsid w:val="00F22CC3"/>
    <w:rsid w:val="00F4277D"/>
    <w:rsid w:val="00F47674"/>
    <w:rsid w:val="00F55EF8"/>
    <w:rsid w:val="00F6490C"/>
    <w:rsid w:val="00F65B45"/>
    <w:rsid w:val="00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7090C"/>
  <w15:chartTrackingRefBased/>
  <w15:docId w15:val="{D07D1A9A-A320-1D4E-961C-B601BE7B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410F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link w:val="FooterChar"/>
    <w:rsid w:val="005410F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5410FE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  <w:style w:type="paragraph" w:styleId="ListParagraph">
    <w:name w:val="List Paragraph"/>
    <w:uiPriority w:val="34"/>
    <w:qFormat/>
    <w:rsid w:val="005410FE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paragraph" w:styleId="Header">
    <w:name w:val="header"/>
    <w:basedOn w:val="Normal"/>
    <w:link w:val="HeaderChar"/>
    <w:unhideWhenUsed/>
    <w:rsid w:val="00541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0F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Default">
    <w:name w:val="Default"/>
    <w:rsid w:val="005410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A21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Petr Suchomel</cp:lastModifiedBy>
  <cp:revision>81</cp:revision>
  <dcterms:created xsi:type="dcterms:W3CDTF">2023-11-03T10:37:00Z</dcterms:created>
  <dcterms:modified xsi:type="dcterms:W3CDTF">2023-11-08T13:20:00Z</dcterms:modified>
</cp:coreProperties>
</file>