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59149A">
        <w:rPr>
          <w:b/>
          <w:sz w:val="28"/>
          <w:szCs w:val="28"/>
        </w:rPr>
        <w:t xml:space="preserve">Dodávky </w:t>
      </w:r>
      <w:r w:rsidR="005E78CB">
        <w:rPr>
          <w:b/>
          <w:sz w:val="28"/>
          <w:szCs w:val="28"/>
        </w:rPr>
        <w:t>stavebních materiálů</w:t>
      </w:r>
      <w:r w:rsidR="000A6A98" w:rsidRPr="00AD12CA">
        <w:rPr>
          <w:b/>
          <w:sz w:val="28"/>
          <w:szCs w:val="28"/>
        </w:rPr>
        <w:t xml:space="preserve"> </w:t>
      </w:r>
      <w:r w:rsidR="0062696E" w:rsidRPr="00AD12CA">
        <w:rPr>
          <w:b/>
          <w:sz w:val="28"/>
          <w:szCs w:val="28"/>
        </w:rPr>
        <w:t>20</w:t>
      </w:r>
      <w:r w:rsidR="00CD6108">
        <w:rPr>
          <w:b/>
          <w:sz w:val="28"/>
          <w:szCs w:val="28"/>
        </w:rPr>
        <w:t>21</w:t>
      </w:r>
      <w:r w:rsidRPr="001168FF">
        <w:rPr>
          <w:b/>
          <w:sz w:val="28"/>
          <w:szCs w:val="28"/>
        </w:rPr>
        <w:t>“</w:t>
      </w:r>
    </w:p>
    <w:p w:rsidR="002B511D" w:rsidRDefault="002B511D" w:rsidP="002B511D">
      <w:pPr>
        <w:jc w:val="center"/>
        <w:rPr>
          <w:b/>
        </w:rPr>
      </w:pPr>
    </w:p>
    <w:p w:rsidR="00CD6108" w:rsidRPr="001168FF" w:rsidRDefault="00CD6108"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Default="002B511D" w:rsidP="002B511D"/>
    <w:p w:rsidR="00CD6108" w:rsidRPr="001168FF" w:rsidRDefault="00CD6108"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B4455E" w:rsidP="00B4455E">
      <w:r>
        <w:t>Petr Juliš</w:t>
      </w:r>
      <w:r w:rsidRPr="001168FF">
        <w:t xml:space="preserve">, vedoucí střediska </w:t>
      </w:r>
      <w:r>
        <w:t>(731 518 589</w:t>
      </w:r>
      <w:r w:rsidRPr="001168FF">
        <w:t xml:space="preserve">; </w:t>
      </w:r>
      <w:hyperlink r:id="rId8" w:history="1">
        <w:r w:rsidRPr="00D53998">
          <w:rPr>
            <w:rStyle w:val="Hypertextovodkaz"/>
          </w:rPr>
          <w:t>pjulis</w:t>
        </w:r>
        <w:r w:rsidRPr="00A07A4B">
          <w:rPr>
            <w:rStyle w:val="Hypertextovodkaz"/>
          </w:rPr>
          <w:t>@tshb.cz</w:t>
        </w:r>
      </w:hyperlink>
      <w:r w:rsidRPr="00A07A4B">
        <w:t>)</w:t>
      </w:r>
    </w:p>
    <w:p w:rsidR="002B511D" w:rsidRPr="001168FF" w:rsidRDefault="002B511D" w:rsidP="002B511D">
      <w:r w:rsidRPr="001168FF">
        <w:t>Petr Honsa, vedoucí provozního úseku (724 119 438</w:t>
      </w:r>
      <w:r w:rsidRPr="00C87777">
        <w:t xml:space="preserve">, </w:t>
      </w:r>
      <w:hyperlink r:id="rId9" w:history="1">
        <w:r w:rsidR="00C87777" w:rsidRPr="00C87777">
          <w:rPr>
            <w:rStyle w:val="Hypertextovodkaz"/>
            <w:color w:val="auto"/>
          </w:rPr>
          <w:t>phonsa@tshb.cz</w:t>
        </w:r>
      </w:hyperlink>
      <w:r>
        <w:t xml:space="preserve"> )</w:t>
      </w:r>
    </w:p>
    <w:p w:rsidR="002B511D" w:rsidRDefault="002B511D" w:rsidP="002B511D"/>
    <w:p w:rsidR="00CD6108" w:rsidRPr="001168FF" w:rsidRDefault="00CD6108"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D96D2D" w:rsidRPr="001168FF" w:rsidRDefault="00D96D2D" w:rsidP="00D96D2D">
      <w:r w:rsidRPr="001168FF">
        <w:t xml:space="preserve">Předmětem veřejné zakázky jsou  opakované </w:t>
      </w:r>
      <w:r w:rsidRPr="00181055">
        <w:t xml:space="preserve">dodávky </w:t>
      </w:r>
      <w:r w:rsidR="00181055" w:rsidRPr="00181055">
        <w:t xml:space="preserve">stavebních materiálů </w:t>
      </w:r>
      <w:r w:rsidRPr="00181055">
        <w:t>(</w:t>
      </w:r>
      <w:r w:rsidRPr="001168FF">
        <w:t xml:space="preserve">dále jen zboží). </w:t>
      </w:r>
      <w:r w:rsidRPr="001168FF">
        <w:rPr>
          <w:rFonts w:cs="Arial"/>
        </w:rPr>
        <w:t xml:space="preserve">Předpokládané celkové  množství a druhy  zboží jsou  </w:t>
      </w:r>
      <w:r>
        <w:rPr>
          <w:rFonts w:cs="Arial"/>
        </w:rPr>
        <w:t xml:space="preserve">uvedeny </w:t>
      </w:r>
      <w:r w:rsidRPr="001168FF">
        <w:rPr>
          <w:rFonts w:cs="Arial"/>
        </w:rPr>
        <w:t>v</w:t>
      </w:r>
      <w:r>
        <w:rPr>
          <w:rFonts w:cs="Arial"/>
        </w:rPr>
        <w:t> příloze č.1 zadávací dokumentace – soupis dodávek.</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273DF1"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Technickou specifikaci s výkazem dodávek (příloha č.1 soupis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Pr="00B4455E">
        <w:rPr>
          <w:snapToGrid w:val="0"/>
        </w:rPr>
        <w:t>20</w:t>
      </w:r>
      <w:r w:rsidR="00CD6108">
        <w:rPr>
          <w:snapToGrid w:val="0"/>
        </w:rPr>
        <w:t>21</w:t>
      </w:r>
      <w:r w:rsidRPr="00B4455E">
        <w:rPr>
          <w:snapToGrid w:val="0"/>
        </w:rPr>
        <w:t>,</w:t>
      </w:r>
      <w:r w:rsidR="00CD6108">
        <w:rPr>
          <w:snapToGrid w:val="0"/>
        </w:rPr>
        <w:t xml:space="preserve"> </w:t>
      </w:r>
      <w:r w:rsidRPr="00B4455E">
        <w:rPr>
          <w:snapToGrid w:val="0"/>
        </w:rPr>
        <w:t>20</w:t>
      </w:r>
      <w:r w:rsidR="00CD6108">
        <w:rPr>
          <w:snapToGrid w:val="0"/>
        </w:rPr>
        <w:t>22</w:t>
      </w:r>
      <w:r w:rsidRPr="00B4455E">
        <w:rPr>
          <w:snapToGrid w:val="0"/>
        </w:rPr>
        <w:t>, 20</w:t>
      </w:r>
      <w:r w:rsidR="00D96D2D">
        <w:rPr>
          <w:snapToGrid w:val="0"/>
        </w:rPr>
        <w:t>2</w:t>
      </w:r>
      <w:r w:rsidR="00CD6108">
        <w:rPr>
          <w:snapToGrid w:val="0"/>
        </w:rPr>
        <w:t>3</w:t>
      </w:r>
    </w:p>
    <w:p w:rsidR="00962CA3" w:rsidRPr="00962CA3" w:rsidRDefault="00962CA3" w:rsidP="00962CA3">
      <w:pPr>
        <w:widowControl w:val="0"/>
        <w:autoSpaceDE w:val="0"/>
        <w:autoSpaceDN w:val="0"/>
        <w:rPr>
          <w:snapToGrid w:val="0"/>
        </w:rPr>
      </w:pPr>
    </w:p>
    <w:p w:rsidR="00962CA3" w:rsidRPr="00962CA3" w:rsidRDefault="00B4455E" w:rsidP="00962CA3">
      <w:pPr>
        <w:rPr>
          <w:rFonts w:cs="Arial"/>
        </w:rPr>
      </w:pPr>
      <w:r>
        <w:rPr>
          <w:rFonts w:cs="Arial"/>
        </w:rPr>
        <w:t>m</w:t>
      </w:r>
      <w:r w:rsidR="00962CA3" w:rsidRPr="00962CA3">
        <w:rPr>
          <w:rFonts w:cs="Arial"/>
        </w:rPr>
        <w:t>ísto plnění:</w:t>
      </w:r>
      <w:r w:rsidR="00962CA3" w:rsidRPr="00962CA3">
        <w:rPr>
          <w:rFonts w:cs="Arial"/>
        </w:rPr>
        <w:tab/>
      </w:r>
      <w:r w:rsidR="0059149A" w:rsidRPr="001168FF">
        <w:rPr>
          <w:rFonts w:cs="Arial"/>
        </w:rPr>
        <w:t>areál Technických služeb, Reynkova 2886, Havlíčkův Brod</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Pr="009A4965">
        <w:rPr>
          <w:b/>
        </w:rPr>
        <w:t xml:space="preserve">do </w:t>
      </w:r>
      <w:r w:rsidR="00CD6108" w:rsidRPr="009A4965">
        <w:rPr>
          <w:b/>
        </w:rPr>
        <w:t>9</w:t>
      </w:r>
      <w:r w:rsidR="00F90C48" w:rsidRPr="009A4965">
        <w:rPr>
          <w:b/>
        </w:rPr>
        <w:t>.</w:t>
      </w:r>
      <w:r w:rsidR="003663BB" w:rsidRPr="009A4965">
        <w:rPr>
          <w:b/>
        </w:rPr>
        <w:t>1</w:t>
      </w:r>
      <w:r w:rsidR="00F90C48" w:rsidRPr="009A4965">
        <w:rPr>
          <w:b/>
        </w:rPr>
        <w:t>2.20</w:t>
      </w:r>
      <w:r w:rsidR="00CD6108" w:rsidRPr="009A4965">
        <w:rPr>
          <w:b/>
        </w:rPr>
        <w:t>20</w:t>
      </w:r>
      <w:r w:rsidRPr="009A4965">
        <w:rPr>
          <w:b/>
        </w:rPr>
        <w:t xml:space="preserve"> do </w:t>
      </w:r>
      <w:r w:rsidR="003663BB" w:rsidRPr="009A4965">
        <w:rPr>
          <w:b/>
        </w:rPr>
        <w:t>9:</w:t>
      </w:r>
      <w:r w:rsidR="009A4965" w:rsidRPr="009A4965">
        <w:rPr>
          <w:b/>
        </w:rPr>
        <w:t>00</w:t>
      </w:r>
      <w:r w:rsidRPr="009A4965">
        <w:rPr>
          <w:b/>
        </w:rP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A737A2" w:rsidRPr="001168FF">
        <w:rPr>
          <w:b/>
        </w:rPr>
        <w:t>Dodáv</w:t>
      </w:r>
      <w:r w:rsidR="00A737A2" w:rsidRPr="005E78CB">
        <w:rPr>
          <w:b/>
        </w:rPr>
        <w:t xml:space="preserve">ky </w:t>
      </w:r>
      <w:r w:rsidR="005E78CB" w:rsidRPr="005E78CB">
        <w:rPr>
          <w:b/>
        </w:rPr>
        <w:t xml:space="preserve">stavebních materiálů </w:t>
      </w:r>
      <w:r w:rsidR="00BF28AE" w:rsidRPr="005E78CB">
        <w:rPr>
          <w:b/>
        </w:rPr>
        <w:t>20</w:t>
      </w:r>
      <w:r w:rsidR="00CD6108">
        <w:rPr>
          <w:b/>
        </w:rPr>
        <w:t>2</w:t>
      </w:r>
      <w:r w:rsidR="009A4965">
        <w:rPr>
          <w:b/>
        </w:rPr>
        <w:t>1</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0A6A98" w:rsidRDefault="000A6A98" w:rsidP="0090072D"/>
    <w:p w:rsidR="00CD6108" w:rsidRDefault="00CD6108" w:rsidP="0090072D"/>
    <w:p w:rsidR="00CD6108" w:rsidRDefault="00CD6108" w:rsidP="0090072D"/>
    <w:p w:rsidR="00CD6108" w:rsidRDefault="00CD6108" w:rsidP="0090072D"/>
    <w:p w:rsidR="00D14E4F" w:rsidRPr="00D14E4F" w:rsidRDefault="00D14E4F" w:rsidP="00D14E4F">
      <w:pPr>
        <w:widowControl w:val="0"/>
        <w:rPr>
          <w:rFonts w:cs="Arial"/>
          <w:b/>
          <w:snapToGrid w:val="0"/>
          <w:u w:val="single"/>
        </w:rPr>
      </w:pPr>
      <w:r w:rsidRPr="00D14E4F">
        <w:rPr>
          <w:rFonts w:cs="Arial"/>
          <w:b/>
          <w:snapToGrid w:val="0"/>
          <w:u w:val="single"/>
        </w:rPr>
        <w:lastRenderedPageBreak/>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913EDF" w:rsidRDefault="00913EDF" w:rsidP="00913EDF">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rsidR="00913EDF" w:rsidRPr="00D5606C" w:rsidRDefault="00913EDF" w:rsidP="00913EDF"/>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181055">
        <w:rPr>
          <w:rFonts w:cs="Arial"/>
          <w:b/>
          <w:snapToGrid w:val="0"/>
          <w:szCs w:val="22"/>
        </w:rPr>
        <w:t>bez daně</w:t>
      </w:r>
      <w:r w:rsidRPr="00D5606C">
        <w:rPr>
          <w:rFonts w:cs="Arial"/>
          <w:b/>
          <w:snapToGrid w:val="0"/>
          <w:szCs w:val="22"/>
        </w:rPr>
        <w:t xml:space="preserve"> z přidané hodnoty.</w:t>
      </w:r>
    </w:p>
    <w:p w:rsidR="00F90C48" w:rsidRDefault="00F90C48" w:rsidP="00423427">
      <w:pPr>
        <w:widowControl w:val="0"/>
        <w:rPr>
          <w:rFonts w:cs="Arial"/>
          <w:b/>
          <w:snapToGrid w:val="0"/>
          <w:szCs w:val="22"/>
        </w:rPr>
      </w:pPr>
    </w:p>
    <w:p w:rsidR="00B81454" w:rsidRDefault="00B81454" w:rsidP="00423427">
      <w:pPr>
        <w:rPr>
          <w:szCs w:val="22"/>
        </w:rPr>
      </w:pPr>
      <w:r>
        <w:rPr>
          <w:b/>
        </w:rPr>
        <w:t xml:space="preserve">Hodnocena bude nabídková cena za všechny </w:t>
      </w:r>
      <w:r>
        <w:rPr>
          <w:b/>
        </w:rPr>
        <w:t xml:space="preserve">předpokládané </w:t>
      </w:r>
      <w:r>
        <w:rPr>
          <w:b/>
        </w:rPr>
        <w:t>dodávky zboží/ rok včetně dopravy</w:t>
      </w:r>
      <w:r>
        <w:t xml:space="preserve"> do místa plnění - areál TS Havlíčkův Brod, Reynkova 2886 vozidlem zadavatele. </w:t>
      </w:r>
      <w:r w:rsidRPr="00B81454">
        <w:t xml:space="preserve">Zadavatel předpokládá, že bude odebírat zboží postupně </w:t>
      </w:r>
      <w:r>
        <w:t xml:space="preserve"> </w:t>
      </w:r>
      <w:r w:rsidR="0015051D">
        <w:t>7</w:t>
      </w:r>
      <w:r w:rsidRPr="00B81454">
        <w:t>0 dodávkami.</w:t>
      </w:r>
      <w:r>
        <w:t xml:space="preserve"> </w:t>
      </w:r>
      <w:r>
        <w:t>Cena dopravy počítá s náklady na dopra</w:t>
      </w:r>
      <w:r>
        <w:t>vu vozidlem zadavatele ve výši 32</w:t>
      </w:r>
      <w:r>
        <w:t>,00 Kč / km bez DPH z distribučního místa do místa plnění tj. areál TS Havlíčkův Brod, Reynkova 2886. Pro určení vzdálenosti mezi místem plnění a distribučním místem bude použito internetového nástroje "mapy.cz" nebo "mapy google".</w:t>
      </w:r>
    </w:p>
    <w:p w:rsidR="00B81454" w:rsidRDefault="00B81454" w:rsidP="00423427">
      <w:pPr>
        <w:rPr>
          <w:szCs w:val="22"/>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w:t>
      </w:r>
      <w:r w:rsidR="009873A5">
        <w:rPr>
          <w:szCs w:val="22"/>
        </w:rPr>
        <w:t xml:space="preserve"> dle ustanovení 3.4 této směrnice</w:t>
      </w:r>
      <w:r w:rsidR="00F90C48">
        <w:rPr>
          <w:szCs w:val="22"/>
        </w:rPr>
        <w:t>.</w:t>
      </w:r>
    </w:p>
    <w:p w:rsidR="00962CA3" w:rsidRDefault="00962CA3" w:rsidP="00423427">
      <w:pPr>
        <w:rPr>
          <w:szCs w:val="22"/>
        </w:rPr>
      </w:pPr>
      <w:bookmarkStart w:id="0" w:name="_GoBack"/>
      <w:bookmarkEnd w:id="0"/>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lastRenderedPageBreak/>
        <w:t>Oznámení o vyloučení účastníka zadávacího řízení</w:t>
      </w:r>
      <w:r w:rsidR="009A4965">
        <w:rPr>
          <w:szCs w:val="22"/>
        </w:rPr>
        <w:t>, oznámení o zrušení zadávacího řízení</w:t>
      </w:r>
      <w:r w:rsidRPr="00B04156">
        <w:rPr>
          <w:szCs w:val="22"/>
        </w:rPr>
        <w:t xml:space="preserve"> nebo oznámení o výběru nejvhodnější dodavatele</w:t>
      </w:r>
      <w:r w:rsidR="009A4965">
        <w:rPr>
          <w:szCs w:val="22"/>
        </w:rPr>
        <w:t>,</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1A4C08"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C67140" w:rsidRPr="00D5606C">
        <w:rPr>
          <w:sz w:val="16"/>
          <w:szCs w:val="16"/>
        </w:rPr>
        <w:t xml:space="preserve">Petr Juliš </w:t>
      </w:r>
      <w:r w:rsidRPr="00D5606C">
        <w:rPr>
          <w:sz w:val="16"/>
          <w:szCs w:val="16"/>
        </w:rPr>
        <w:t xml:space="preserve">- ved. střediska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F1" w:rsidRDefault="00273DF1" w:rsidP="00516332">
      <w:r>
        <w:separator/>
      </w:r>
    </w:p>
  </w:endnote>
  <w:endnote w:type="continuationSeparator" w:id="0">
    <w:p w:rsidR="00273DF1" w:rsidRDefault="00273DF1"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273DF1"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F1" w:rsidRDefault="00273DF1" w:rsidP="00516332">
      <w:r>
        <w:separator/>
      </w:r>
    </w:p>
  </w:footnote>
  <w:footnote w:type="continuationSeparator" w:id="0">
    <w:p w:rsidR="00273DF1" w:rsidRDefault="00273DF1"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273DF1"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54E1B"/>
    <w:rsid w:val="00067C66"/>
    <w:rsid w:val="00085B02"/>
    <w:rsid w:val="00094907"/>
    <w:rsid w:val="000A60D4"/>
    <w:rsid w:val="000A6A98"/>
    <w:rsid w:val="000E3873"/>
    <w:rsid w:val="000F00DD"/>
    <w:rsid w:val="0011136E"/>
    <w:rsid w:val="0015051D"/>
    <w:rsid w:val="00155911"/>
    <w:rsid w:val="001631AB"/>
    <w:rsid w:val="001703EC"/>
    <w:rsid w:val="00174949"/>
    <w:rsid w:val="00181055"/>
    <w:rsid w:val="001A05CA"/>
    <w:rsid w:val="001A4C08"/>
    <w:rsid w:val="001D4E83"/>
    <w:rsid w:val="001E0E5C"/>
    <w:rsid w:val="001E14B7"/>
    <w:rsid w:val="00223D8F"/>
    <w:rsid w:val="002371FE"/>
    <w:rsid w:val="00243D27"/>
    <w:rsid w:val="00250A5A"/>
    <w:rsid w:val="0025572C"/>
    <w:rsid w:val="00273DF1"/>
    <w:rsid w:val="00274744"/>
    <w:rsid w:val="00290197"/>
    <w:rsid w:val="00296274"/>
    <w:rsid w:val="002A0A4A"/>
    <w:rsid w:val="002B1820"/>
    <w:rsid w:val="002B28BF"/>
    <w:rsid w:val="002B511D"/>
    <w:rsid w:val="002C7BA7"/>
    <w:rsid w:val="0030123A"/>
    <w:rsid w:val="00303AC9"/>
    <w:rsid w:val="00305236"/>
    <w:rsid w:val="00310959"/>
    <w:rsid w:val="00347E20"/>
    <w:rsid w:val="003663BB"/>
    <w:rsid w:val="003735B4"/>
    <w:rsid w:val="00373DF9"/>
    <w:rsid w:val="00384D87"/>
    <w:rsid w:val="00394213"/>
    <w:rsid w:val="003B5243"/>
    <w:rsid w:val="003C27D3"/>
    <w:rsid w:val="003C36BC"/>
    <w:rsid w:val="003D5BB3"/>
    <w:rsid w:val="003F1C3C"/>
    <w:rsid w:val="004003B5"/>
    <w:rsid w:val="00407698"/>
    <w:rsid w:val="00416EB0"/>
    <w:rsid w:val="00423427"/>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84251"/>
    <w:rsid w:val="0059149A"/>
    <w:rsid w:val="00594DAC"/>
    <w:rsid w:val="005B12D7"/>
    <w:rsid w:val="005B7DDD"/>
    <w:rsid w:val="005E4B00"/>
    <w:rsid w:val="005E78CB"/>
    <w:rsid w:val="006159F5"/>
    <w:rsid w:val="0062696E"/>
    <w:rsid w:val="00630DB2"/>
    <w:rsid w:val="00676117"/>
    <w:rsid w:val="006853F3"/>
    <w:rsid w:val="00693E8B"/>
    <w:rsid w:val="006D3620"/>
    <w:rsid w:val="006D5059"/>
    <w:rsid w:val="006E333E"/>
    <w:rsid w:val="007231D6"/>
    <w:rsid w:val="007471FC"/>
    <w:rsid w:val="00750F2D"/>
    <w:rsid w:val="007538AA"/>
    <w:rsid w:val="00793F55"/>
    <w:rsid w:val="007952C4"/>
    <w:rsid w:val="007B464E"/>
    <w:rsid w:val="007C3565"/>
    <w:rsid w:val="007D1FA1"/>
    <w:rsid w:val="007E0B6E"/>
    <w:rsid w:val="007E4454"/>
    <w:rsid w:val="007E78D7"/>
    <w:rsid w:val="008407A8"/>
    <w:rsid w:val="00864C1E"/>
    <w:rsid w:val="00895EAE"/>
    <w:rsid w:val="008B59C6"/>
    <w:rsid w:val="008C0504"/>
    <w:rsid w:val="008E532B"/>
    <w:rsid w:val="008E66FE"/>
    <w:rsid w:val="0090072D"/>
    <w:rsid w:val="00912A48"/>
    <w:rsid w:val="00913EDF"/>
    <w:rsid w:val="00916589"/>
    <w:rsid w:val="009339D4"/>
    <w:rsid w:val="00934B09"/>
    <w:rsid w:val="00945BC1"/>
    <w:rsid w:val="009549F8"/>
    <w:rsid w:val="00962CA3"/>
    <w:rsid w:val="00964AAD"/>
    <w:rsid w:val="009805AF"/>
    <w:rsid w:val="00982C9E"/>
    <w:rsid w:val="009873A5"/>
    <w:rsid w:val="009A4965"/>
    <w:rsid w:val="009A5FC5"/>
    <w:rsid w:val="009A6E7A"/>
    <w:rsid w:val="009C2531"/>
    <w:rsid w:val="00A175AD"/>
    <w:rsid w:val="00A3179B"/>
    <w:rsid w:val="00A6379A"/>
    <w:rsid w:val="00A667C8"/>
    <w:rsid w:val="00A66E95"/>
    <w:rsid w:val="00A737A2"/>
    <w:rsid w:val="00A803CD"/>
    <w:rsid w:val="00A901FB"/>
    <w:rsid w:val="00AB3E23"/>
    <w:rsid w:val="00AB49B4"/>
    <w:rsid w:val="00AF1F8D"/>
    <w:rsid w:val="00B0045F"/>
    <w:rsid w:val="00B11E36"/>
    <w:rsid w:val="00B4455E"/>
    <w:rsid w:val="00B555DC"/>
    <w:rsid w:val="00B60671"/>
    <w:rsid w:val="00B81454"/>
    <w:rsid w:val="00B976B2"/>
    <w:rsid w:val="00BA6698"/>
    <w:rsid w:val="00BE19EE"/>
    <w:rsid w:val="00BF28AE"/>
    <w:rsid w:val="00BF44F2"/>
    <w:rsid w:val="00C2022F"/>
    <w:rsid w:val="00C41317"/>
    <w:rsid w:val="00C67140"/>
    <w:rsid w:val="00C70D45"/>
    <w:rsid w:val="00C7681B"/>
    <w:rsid w:val="00C87777"/>
    <w:rsid w:val="00CC5D6D"/>
    <w:rsid w:val="00CD6108"/>
    <w:rsid w:val="00D14E4F"/>
    <w:rsid w:val="00D35934"/>
    <w:rsid w:val="00D36A17"/>
    <w:rsid w:val="00D36BD5"/>
    <w:rsid w:val="00D55A9B"/>
    <w:rsid w:val="00D5606C"/>
    <w:rsid w:val="00D93431"/>
    <w:rsid w:val="00D96D2D"/>
    <w:rsid w:val="00DB02B5"/>
    <w:rsid w:val="00DB27DD"/>
    <w:rsid w:val="00DC37C8"/>
    <w:rsid w:val="00DD7D13"/>
    <w:rsid w:val="00DE7A28"/>
    <w:rsid w:val="00E00D02"/>
    <w:rsid w:val="00E06FBD"/>
    <w:rsid w:val="00E10762"/>
    <w:rsid w:val="00E24553"/>
    <w:rsid w:val="00E659AE"/>
    <w:rsid w:val="00E724CA"/>
    <w:rsid w:val="00E76138"/>
    <w:rsid w:val="00F00069"/>
    <w:rsid w:val="00F26EC1"/>
    <w:rsid w:val="00F63310"/>
    <w:rsid w:val="00F65BFC"/>
    <w:rsid w:val="00F741DA"/>
    <w:rsid w:val="00F90C48"/>
    <w:rsid w:val="00FA02DA"/>
    <w:rsid w:val="00FA4978"/>
    <w:rsid w:val="00FC468B"/>
    <w:rsid w:val="00FC7E55"/>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008EE2"/>
  <w15:docId w15:val="{A06167E1-D2A6-4D8F-B40F-579EF292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lis@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86776-1A60-4522-AF33-ABD5E897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1297</TotalTime>
  <Pages>3</Pages>
  <Words>1165</Words>
  <Characters>6877</Characters>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2020-11-23T07:37:00Z</dcterms:modified>
</cp:coreProperties>
</file>