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DISTRIBUČNÍ SMLOUVA O OBCHODNÍ SPOLUPRÁCI </w:t>
      </w:r>
    </w:p>
    <w:p w:rsidR="00000000" w:rsidDel="00000000" w:rsidP="00000000" w:rsidRDefault="00000000" w:rsidRPr="00000000" w14:paraId="00000002">
      <w:pPr>
        <w:spacing w:after="480" w:line="36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 O POSKYTNUTÍ LICENCE </w:t>
      </w:r>
    </w:p>
    <w:p w:rsidR="00000000" w:rsidDel="00000000" w:rsidP="00000000" w:rsidRDefault="00000000" w:rsidRPr="00000000" w14:paraId="00000003">
      <w:pPr>
        <w:spacing w:after="240" w:line="360" w:lineRule="auto"/>
        <w:jc w:val="both"/>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Tuto Distribuční smlouvu o obchodní spolupráci a o poskytnutí licence</w:t>
      </w:r>
      <w:r w:rsidDel="00000000" w:rsidR="00000000" w:rsidRPr="00000000">
        <w:rPr>
          <w:rFonts w:ascii="Calibri" w:cs="Calibri" w:eastAsia="Calibri" w:hAnsi="Calibri"/>
          <w:sz w:val="23"/>
          <w:szCs w:val="23"/>
          <w:rtl w:val="0"/>
        </w:rPr>
        <w:t xml:space="preserve"> („</w:t>
      </w:r>
      <w:r w:rsidDel="00000000" w:rsidR="00000000" w:rsidRPr="00000000">
        <w:rPr>
          <w:rFonts w:ascii="Calibri" w:cs="Calibri" w:eastAsia="Calibri" w:hAnsi="Calibri"/>
          <w:b w:val="1"/>
          <w:bCs w:val="1"/>
          <w:sz w:val="23"/>
          <w:szCs w:val="23"/>
          <w:rtl w:val="0"/>
        </w:rPr>
        <w:t xml:space="preserve">Smlouva</w:t>
      </w:r>
      <w:r w:rsidDel="00000000" w:rsidR="00000000" w:rsidRPr="00000000">
        <w:rPr>
          <w:rFonts w:ascii="Calibri" w:cs="Calibri" w:eastAsia="Calibri" w:hAnsi="Calibri"/>
          <w:sz w:val="23"/>
          <w:szCs w:val="23"/>
          <w:rtl w:val="0"/>
        </w:rPr>
        <w:t xml:space="preserve">“) uzavírají v souladu s ustanovením § 1746 odst. 2., ve spojení s ustanovením § 2389a a násl., zákona č. 89/2012 Sb., občanského zákoníku, ve znění pozdějších předpisů, („</w:t>
      </w:r>
      <w:r w:rsidDel="00000000" w:rsidR="00000000" w:rsidRPr="00000000">
        <w:rPr>
          <w:rFonts w:ascii="Calibri" w:cs="Calibri" w:eastAsia="Calibri" w:hAnsi="Calibri"/>
          <w:b w:val="1"/>
          <w:bCs w:val="1"/>
          <w:sz w:val="23"/>
          <w:szCs w:val="23"/>
          <w:rtl w:val="0"/>
        </w:rPr>
        <w:t xml:space="preserve">Občanský zákoník</w:t>
      </w:r>
      <w:r w:rsidDel="00000000" w:rsidR="00000000" w:rsidRPr="00000000">
        <w:rPr>
          <w:rFonts w:ascii="Calibri" w:cs="Calibri" w:eastAsia="Calibri" w:hAnsi="Calibri"/>
          <w:sz w:val="23"/>
          <w:szCs w:val="23"/>
          <w:rtl w:val="0"/>
        </w:rPr>
        <w:t xml:space="preserve">“), a dále podle zákona č. 121/2000 Sb., o právu autorském, o právech souvisejících s právem autorským a o změně některých zákonů, ve znění pozdějších předpisů („</w:t>
      </w:r>
      <w:r w:rsidDel="00000000" w:rsidR="00000000" w:rsidRPr="00000000">
        <w:rPr>
          <w:rFonts w:ascii="Calibri" w:cs="Calibri" w:eastAsia="Calibri" w:hAnsi="Calibri"/>
          <w:b w:val="1"/>
          <w:bCs w:val="1"/>
          <w:sz w:val="23"/>
          <w:szCs w:val="23"/>
          <w:rtl w:val="0"/>
        </w:rPr>
        <w:t xml:space="preserve">Autorský zákon</w:t>
      </w:r>
      <w:r w:rsidDel="00000000" w:rsidR="00000000" w:rsidRPr="00000000">
        <w:rPr>
          <w:rFonts w:ascii="Calibri" w:cs="Calibri" w:eastAsia="Calibri" w:hAnsi="Calibri"/>
          <w:sz w:val="23"/>
          <w:szCs w:val="23"/>
          <w:rtl w:val="0"/>
        </w:rPr>
        <w:t xml:space="preserve">“), níže uvedeného dne, měsíce a roku, tyto</w:t>
      </w:r>
    </w:p>
    <w:p w:rsidR="00000000" w:rsidDel="00000000" w:rsidP="00000000" w:rsidRDefault="00000000" w:rsidRPr="00000000" w14:paraId="00000004">
      <w:pPr>
        <w:spacing w:after="240" w:line="360" w:lineRule="auto"/>
        <w:jc w:val="both"/>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SMLUVNÍ STRANY</w:t>
      </w:r>
      <w:r w:rsidDel="00000000" w:rsidR="00000000" w:rsidRPr="00000000">
        <w:rPr>
          <w:rtl w:val="0"/>
        </w:rPr>
      </w:r>
    </w:p>
    <w:p w:rsidR="00000000" w:rsidDel="00000000" w:rsidP="00000000" w:rsidRDefault="00000000" w:rsidRPr="00000000" w14:paraId="00000005">
      <w:pPr>
        <w:spacing w:line="360" w:lineRule="auto"/>
        <w:jc w:val="both"/>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CITYA mobility s.r.o.</w:t>
      </w:r>
      <w:r w:rsidDel="00000000" w:rsidR="00000000" w:rsidRPr="00000000">
        <w:rPr>
          <w:rtl w:val="0"/>
        </w:rPr>
      </w:r>
    </w:p>
    <w:p w:rsidR="00000000" w:rsidDel="00000000" w:rsidP="00000000" w:rsidRDefault="00000000" w:rsidRPr="00000000" w14:paraId="00000006">
      <w:pPr>
        <w:spacing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IČ: 13975471, DIČ: CZ13975471</w:t>
      </w:r>
    </w:p>
    <w:p w:rsidR="00000000" w:rsidDel="00000000" w:rsidP="00000000" w:rsidRDefault="00000000" w:rsidRPr="00000000" w14:paraId="00000007">
      <w:pPr>
        <w:spacing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se sídlem Zaoralova 3045/1e, Líšeň, 628 00 Brno</w:t>
      </w:r>
    </w:p>
    <w:p w:rsidR="00000000" w:rsidDel="00000000" w:rsidP="00000000" w:rsidRDefault="00000000" w:rsidRPr="00000000" w14:paraId="00000008">
      <w:pPr>
        <w:spacing w:after="6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zapsaná v obchodním rejstříku vedeném Krajským soudem v Brně, oddíl C, vložka 125886 </w:t>
      </w:r>
    </w:p>
    <w:p w:rsidR="00000000" w:rsidDel="00000000" w:rsidP="00000000" w:rsidRDefault="00000000" w:rsidRPr="00000000" w14:paraId="00000009">
      <w:pPr>
        <w:spacing w:after="12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(dále také jen „</w:t>
      </w:r>
      <w:r w:rsidDel="00000000" w:rsidR="00000000" w:rsidRPr="00000000">
        <w:rPr>
          <w:rFonts w:ascii="Calibri" w:cs="Calibri" w:eastAsia="Calibri" w:hAnsi="Calibri"/>
          <w:b w:val="1"/>
          <w:bCs w:val="1"/>
          <w:sz w:val="23"/>
          <w:szCs w:val="23"/>
          <w:rtl w:val="0"/>
        </w:rPr>
        <w:t xml:space="preserve">CITYA</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0A">
      <w:pPr>
        <w:spacing w:after="24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Kontaktní osoba: Dominik Janík, email: dominik@citya.io, tel. +420730544097 (dále také jen „</w:t>
      </w:r>
      <w:r w:rsidDel="00000000" w:rsidR="00000000" w:rsidRPr="00000000">
        <w:rPr>
          <w:rFonts w:ascii="Calibri" w:cs="Calibri" w:eastAsia="Calibri" w:hAnsi="Calibri"/>
          <w:b w:val="1"/>
          <w:bCs w:val="1"/>
          <w:sz w:val="23"/>
          <w:szCs w:val="23"/>
          <w:rtl w:val="0"/>
        </w:rPr>
        <w:t xml:space="preserve">Kontaktní osoba společnosti CITYA</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0B">
      <w:pPr>
        <w:spacing w:after="24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w:t>
      </w:r>
    </w:p>
    <w:p w:rsidR="00000000" w:rsidDel="00000000" w:rsidP="00000000" w:rsidRDefault="00000000" w:rsidRPr="00000000" w14:paraId="0000000C">
      <w:pPr>
        <w:spacing w:line="360" w:lineRule="auto"/>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highlight w:val="yellow"/>
          <w:rtl w:val="0"/>
        </w:rPr>
        <w:t xml:space="preserve">[Bude doplněn název</w:t>
      </w:r>
      <w:r w:rsidDel="00000000" w:rsidR="00000000" w:rsidRPr="00000000">
        <w:rPr>
          <w:rFonts w:ascii="Calibri" w:cs="Calibri" w:eastAsia="Calibri" w:hAnsi="Calibri"/>
          <w:b w:val="1"/>
          <w:bCs w:val="1"/>
          <w:sz w:val="23"/>
          <w:szCs w:val="23"/>
          <w:rtl w:val="0"/>
        </w:rPr>
        <w:t xml:space="preserve">]</w:t>
      </w:r>
    </w:p>
    <w:p w:rsidR="00000000" w:rsidDel="00000000" w:rsidP="00000000" w:rsidRDefault="00000000" w:rsidRPr="00000000" w14:paraId="0000000D">
      <w:pPr>
        <w:spacing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IČ: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DIČ: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0E">
      <w:pPr>
        <w:spacing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se sídlem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0F">
      <w:pPr>
        <w:spacing w:after="6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zapsaná v obchodním rejstříku vedeném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soudem v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oddíl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vložka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10">
      <w:pPr>
        <w:spacing w:after="12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(dále také jen „</w:t>
      </w:r>
      <w:r w:rsidDel="00000000" w:rsidR="00000000" w:rsidRPr="00000000">
        <w:rPr>
          <w:rFonts w:ascii="Calibri" w:cs="Calibri" w:eastAsia="Calibri" w:hAnsi="Calibri"/>
          <w:b w:val="1"/>
          <w:bCs w:val="1"/>
          <w:sz w:val="23"/>
          <w:szCs w:val="23"/>
          <w:rtl w:val="0"/>
        </w:rPr>
        <w:t xml:space="preserve">Dopravce</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11">
      <w:pPr>
        <w:spacing w:after="24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Kontaktní osoba: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email: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tel. +420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(dále také jen „</w:t>
      </w:r>
      <w:r w:rsidDel="00000000" w:rsidR="00000000" w:rsidRPr="00000000">
        <w:rPr>
          <w:rFonts w:ascii="Calibri" w:cs="Calibri" w:eastAsia="Calibri" w:hAnsi="Calibri"/>
          <w:b w:val="1"/>
          <w:bCs w:val="1"/>
          <w:sz w:val="23"/>
          <w:szCs w:val="23"/>
          <w:rtl w:val="0"/>
        </w:rPr>
        <w:t xml:space="preserve">Kontaktní osoba Dopravce</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12">
      <w:pPr>
        <w:spacing w:after="360" w:line="360"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(CITYA a Dopravce dále společně jako „</w:t>
      </w:r>
      <w:r w:rsidDel="00000000" w:rsidR="00000000" w:rsidRPr="00000000">
        <w:rPr>
          <w:rFonts w:ascii="Calibri" w:cs="Calibri" w:eastAsia="Calibri" w:hAnsi="Calibri"/>
          <w:b w:val="1"/>
          <w:bCs w:val="1"/>
          <w:sz w:val="23"/>
          <w:szCs w:val="23"/>
          <w:rtl w:val="0"/>
        </w:rPr>
        <w:t xml:space="preserve">Smluvní strany</w:t>
      </w:r>
      <w:r w:rsidDel="00000000" w:rsidR="00000000" w:rsidRPr="00000000">
        <w:rPr>
          <w:rFonts w:ascii="Calibri" w:cs="Calibri" w:eastAsia="Calibri" w:hAnsi="Calibri"/>
          <w:sz w:val="23"/>
          <w:szCs w:val="23"/>
          <w:rtl w:val="0"/>
        </w:rPr>
        <w:t xml:space="preserve">“ a jednotlivě jako „</w:t>
      </w:r>
      <w:r w:rsidDel="00000000" w:rsidR="00000000" w:rsidRPr="00000000">
        <w:rPr>
          <w:rFonts w:ascii="Calibri" w:cs="Calibri" w:eastAsia="Calibri" w:hAnsi="Calibri"/>
          <w:b w:val="1"/>
          <w:bCs w:val="1"/>
          <w:sz w:val="23"/>
          <w:szCs w:val="23"/>
          <w:rtl w:val="0"/>
        </w:rPr>
        <w:t xml:space="preserve">Smluvní strana</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13">
      <w:pPr>
        <w:spacing w:after="360" w:line="360" w:lineRule="auto"/>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4">
      <w:pPr>
        <w:spacing w:after="240" w:line="360" w:lineRule="auto"/>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VZHLEDEM K TOMU, ŽE:</w:t>
      </w:r>
    </w:p>
    <w:p w:rsidR="00000000" w:rsidDel="00000000" w:rsidP="00000000" w:rsidRDefault="00000000" w:rsidRPr="00000000" w14:paraId="00000015">
      <w:pPr>
        <w:widowControl w:val="1"/>
        <w:numPr>
          <w:ilvl w:val="0"/>
          <w:numId w:val="12"/>
        </w:numPr>
        <w:pBdr>
          <w:top w:space="0" w:sz="0" w:val="nil"/>
          <w:left w:space="0" w:sz="0" w:val="nil"/>
          <w:bottom w:space="0" w:sz="0" w:val="nil"/>
          <w:right w:space="0" w:sz="0" w:val="nil"/>
          <w:between w:space="0" w:sz="0" w:val="nil"/>
        </w:pBdr>
        <w:spacing w:after="120" w:line="360"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je vlastníkem a provozovatelem platformy s názvem „CITYA“, zahrnující unikátní alokační technologie on-line webových a datových aplikací, algoritmů a simulačních nástrojů, a sloužící k poskytování služeb individuální mobility („</w:t>
      </w:r>
      <w:r w:rsidDel="00000000" w:rsidR="00000000" w:rsidRPr="00000000">
        <w:rPr>
          <w:rFonts w:ascii="Calibri" w:cs="Calibri" w:eastAsia="Calibri" w:hAnsi="Calibri"/>
          <w:b w:val="1"/>
          <w:bCs w:val="1"/>
          <w:sz w:val="23"/>
          <w:szCs w:val="23"/>
          <w:rtl w:val="0"/>
        </w:rPr>
        <w:t xml:space="preserve">Platforma</w:t>
      </w:r>
      <w:r w:rsidDel="00000000" w:rsidR="00000000" w:rsidRPr="00000000">
        <w:rPr>
          <w:rFonts w:ascii="Calibri" w:cs="Calibri" w:eastAsia="Calibri" w:hAnsi="Calibri"/>
          <w:sz w:val="23"/>
          <w:szCs w:val="23"/>
          <w:rtl w:val="0"/>
        </w:rPr>
        <w:t xml:space="preserve">“), tj. přepravních služeb ve vymezeném území, při kterém cestující vystupují a nastupují na jízdním řádem určených virtuálních zastávkách nebo jiných místech a trasa linky se tvoří na základě objednávek cestujících, a provozovaných formou vnitrostátní osobní (sdílené) veřejné linkové dopravy („</w:t>
      </w:r>
      <w:r w:rsidDel="00000000" w:rsidR="00000000" w:rsidRPr="00000000">
        <w:rPr>
          <w:rFonts w:ascii="Calibri" w:cs="Calibri" w:eastAsia="Calibri" w:hAnsi="Calibri"/>
          <w:b w:val="1"/>
          <w:bCs w:val="1"/>
          <w:sz w:val="23"/>
          <w:szCs w:val="23"/>
          <w:rtl w:val="0"/>
        </w:rPr>
        <w:t xml:space="preserve">Poptávková doprava</w:t>
      </w:r>
      <w:r w:rsidDel="00000000" w:rsidR="00000000" w:rsidRPr="00000000">
        <w:rPr>
          <w:rFonts w:ascii="Calibri" w:cs="Calibri" w:eastAsia="Calibri" w:hAnsi="Calibri"/>
          <w:sz w:val="23"/>
          <w:szCs w:val="23"/>
          <w:rtl w:val="0"/>
        </w:rPr>
        <w:t xml:space="preserve">“), přičemž bližší specifikace rozsahu a funkcionalit Platformy pro účely této Smlouvy je uvedena v Příloze č. 1 této Smlouvy, a současně bližší specifikace parametrů k zajištění předvídatelnosti a měřitelnosti funkcionalit Platformy pro účely této Smlouvy ve formě SLA je uvedena v Příloze č. 2 této Smlouvy;</w:t>
      </w:r>
    </w:p>
    <w:p w:rsidR="00000000" w:rsidDel="00000000" w:rsidP="00000000" w:rsidRDefault="00000000" w:rsidRPr="00000000" w14:paraId="00000016">
      <w:pPr>
        <w:widowControl w:val="1"/>
        <w:numPr>
          <w:ilvl w:val="0"/>
          <w:numId w:val="12"/>
        </w:numPr>
        <w:pBdr>
          <w:top w:space="0" w:sz="0" w:val="nil"/>
          <w:left w:space="0" w:sz="0" w:val="nil"/>
          <w:bottom w:space="0" w:sz="0" w:val="nil"/>
          <w:right w:space="0" w:sz="0" w:val="nil"/>
          <w:between w:space="0" w:sz="0" w:val="nil"/>
        </w:pBdr>
        <w:spacing w:after="120" w:line="360"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t>
      </w:r>
      <w:r w:rsidDel="00000000" w:rsidR="00000000" w:rsidRPr="00000000">
        <w:rPr>
          <w:rFonts w:ascii="Calibri" w:cs="Calibri" w:eastAsia="Calibri" w:hAnsi="Calibri"/>
          <w:sz w:val="23"/>
          <w:szCs w:val="23"/>
          <w:highlight w:val="yellow"/>
          <w:rtl w:val="0"/>
        </w:rPr>
        <w:t xml:space="preserve">bude doplněn název obce/města/kraje</w:t>
      </w:r>
      <w:r w:rsidDel="00000000" w:rsidR="00000000" w:rsidRPr="00000000">
        <w:rPr>
          <w:rFonts w:ascii="Calibri" w:cs="Calibri" w:eastAsia="Calibri" w:hAnsi="Calibri"/>
          <w:sz w:val="23"/>
          <w:szCs w:val="23"/>
          <w:rtl w:val="0"/>
        </w:rPr>
        <w:t xml:space="preserve">], IČ: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se sídlem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w:t>
      </w:r>
      <w:r w:rsidDel="00000000" w:rsidR="00000000" w:rsidRPr="00000000">
        <w:rPr>
          <w:rFonts w:ascii="Calibri" w:cs="Calibri" w:eastAsia="Calibri" w:hAnsi="Calibri"/>
          <w:b w:val="1"/>
          <w:bCs w:val="1"/>
          <w:sz w:val="23"/>
          <w:szCs w:val="23"/>
          <w:rtl w:val="0"/>
        </w:rPr>
        <w:t xml:space="preserve">Objednatel</w:t>
      </w:r>
      <w:r w:rsidDel="00000000" w:rsidR="00000000" w:rsidRPr="00000000">
        <w:rPr>
          <w:rFonts w:ascii="Calibri" w:cs="Calibri" w:eastAsia="Calibri" w:hAnsi="Calibri"/>
          <w:sz w:val="23"/>
          <w:szCs w:val="23"/>
          <w:rtl w:val="0"/>
        </w:rPr>
        <w:t xml:space="preserve">“), má při zajišťování veřejné služby v přepravě cestujících zájem na zvyšování dopravní obslužnosti a snížení hustoty dopravního provozu v části územního obvodu Objednatele, jehož konkrétní oblast je graficky specifikovaná v Příloze č. 3 této Smlouvy („</w:t>
      </w:r>
      <w:r w:rsidDel="00000000" w:rsidR="00000000" w:rsidRPr="00000000">
        <w:rPr>
          <w:rFonts w:ascii="Calibri" w:cs="Calibri" w:eastAsia="Calibri" w:hAnsi="Calibri"/>
          <w:b w:val="1"/>
          <w:bCs w:val="1"/>
          <w:sz w:val="23"/>
          <w:szCs w:val="23"/>
          <w:rtl w:val="0"/>
        </w:rPr>
        <w:t xml:space="preserve">Oblast</w:t>
      </w:r>
      <w:r w:rsidDel="00000000" w:rsidR="00000000" w:rsidRPr="00000000">
        <w:rPr>
          <w:rFonts w:ascii="Calibri" w:cs="Calibri" w:eastAsia="Calibri" w:hAnsi="Calibri"/>
          <w:sz w:val="23"/>
          <w:szCs w:val="23"/>
          <w:rtl w:val="0"/>
        </w:rPr>
        <w:t xml:space="preserve">“), kdy za tímto účelem uzavřel s Dopravcem smlouvu o veřejných službách v přepravě cestujících k zajištění obslužnosti mj. i v Oblasti, a to i ve formě poskytování služeb Poptávkové dopravy („</w:t>
      </w:r>
      <w:r w:rsidDel="00000000" w:rsidR="00000000" w:rsidRPr="00000000">
        <w:rPr>
          <w:rFonts w:ascii="Calibri" w:cs="Calibri" w:eastAsia="Calibri" w:hAnsi="Calibri"/>
          <w:b w:val="1"/>
          <w:bCs w:val="1"/>
          <w:sz w:val="23"/>
          <w:szCs w:val="23"/>
          <w:rtl w:val="0"/>
        </w:rPr>
        <w:t xml:space="preserve">Smlouva o poskytování přepravních služeb</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17">
      <w:pPr>
        <w:widowControl w:val="1"/>
        <w:numPr>
          <w:ilvl w:val="0"/>
          <w:numId w:val="12"/>
        </w:numPr>
        <w:pBdr>
          <w:top w:space="0" w:sz="0" w:val="nil"/>
          <w:left w:space="0" w:sz="0" w:val="nil"/>
          <w:bottom w:space="0" w:sz="0" w:val="nil"/>
          <w:right w:space="0" w:sz="0" w:val="nil"/>
          <w:between w:space="0" w:sz="0" w:val="nil"/>
        </w:pBdr>
        <w:spacing w:after="120" w:line="360"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Dopravce v postavení poskytovatele veřejných služeb v přepravě cestujícím a současně provozovatele Poptávkové dopravy v Oblasti plynoucím ze Smlouvy o poskytování přepravních služeb má za účelem jejího plnění zájem poskytovat služby Poptávkové dopravy v Oblasti s využitím Platformy (plnění Smlouvy o poskytování přepravních služeb s využitím Platformy dále jen „</w:t>
      </w:r>
      <w:r w:rsidDel="00000000" w:rsidR="00000000" w:rsidRPr="00000000">
        <w:rPr>
          <w:rFonts w:ascii="Calibri" w:cs="Calibri" w:eastAsia="Calibri" w:hAnsi="Calibri"/>
          <w:b w:val="1"/>
          <w:bCs w:val="1"/>
          <w:sz w:val="23"/>
          <w:szCs w:val="23"/>
          <w:rtl w:val="0"/>
        </w:rPr>
        <w:t xml:space="preserve">Účel</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18">
      <w:pPr>
        <w:widowControl w:val="1"/>
        <w:numPr>
          <w:ilvl w:val="0"/>
          <w:numId w:val="12"/>
        </w:numPr>
        <w:pBdr>
          <w:top w:space="0" w:sz="0" w:val="nil"/>
          <w:left w:space="0" w:sz="0" w:val="nil"/>
          <w:bottom w:space="0" w:sz="0" w:val="nil"/>
          <w:right w:space="0" w:sz="0" w:val="nil"/>
          <w:between w:space="0" w:sz="0" w:val="nil"/>
        </w:pBdr>
        <w:spacing w:after="120" w:line="360"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Nedílnou součástí Platformy je mobilní pasažérská aplikace sloužící k vytváření objednávek jízd sdílené Poptávkové dopravy ve vymezeném území („</w:t>
      </w:r>
      <w:r w:rsidDel="00000000" w:rsidR="00000000" w:rsidRPr="00000000">
        <w:rPr>
          <w:rFonts w:ascii="Calibri" w:cs="Calibri" w:eastAsia="Calibri" w:hAnsi="Calibri"/>
          <w:b w:val="1"/>
          <w:bCs w:val="1"/>
          <w:sz w:val="23"/>
          <w:szCs w:val="23"/>
          <w:rtl w:val="0"/>
        </w:rPr>
        <w:t xml:space="preserve">Aplikace</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19">
      <w:pPr>
        <w:widowControl w:val="1"/>
        <w:numPr>
          <w:ilvl w:val="0"/>
          <w:numId w:val="12"/>
        </w:numPr>
        <w:pBdr>
          <w:top w:space="0" w:sz="0" w:val="nil"/>
          <w:left w:space="0" w:sz="0" w:val="nil"/>
          <w:bottom w:space="0" w:sz="0" w:val="nil"/>
          <w:right w:space="0" w:sz="0" w:val="nil"/>
          <w:between w:space="0" w:sz="0" w:val="nil"/>
        </w:pBdr>
        <w:spacing w:after="120" w:line="360"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v souladu s trendy vývoje tržního prostředí Poptávkové dopravy směřujícími k posilování digitalizace a dlouhodobé udržitelnosti, jakož i s přihlédnutím k individuálním i obecným požadavkům a potřebám jednotlivých Objednatelů, Organizátorů a dopravců, vyvinula a implementovala systém umožňující vytvoření univerzálního rozhraní („</w:t>
      </w:r>
      <w:r w:rsidDel="00000000" w:rsidR="00000000" w:rsidRPr="00000000">
        <w:rPr>
          <w:rFonts w:ascii="Calibri" w:cs="Calibri" w:eastAsia="Calibri" w:hAnsi="Calibri"/>
          <w:b w:val="1"/>
          <w:bCs w:val="1"/>
          <w:sz w:val="23"/>
          <w:szCs w:val="23"/>
          <w:rtl w:val="0"/>
        </w:rPr>
        <w:t xml:space="preserve">API</w:t>
      </w:r>
      <w:r w:rsidDel="00000000" w:rsidR="00000000" w:rsidRPr="00000000">
        <w:rPr>
          <w:rFonts w:ascii="Calibri" w:cs="Calibri" w:eastAsia="Calibri" w:hAnsi="Calibri"/>
          <w:sz w:val="23"/>
          <w:szCs w:val="23"/>
          <w:rtl w:val="0"/>
        </w:rPr>
        <w:t xml:space="preserve">“) pro využívání služeb Poptávkové dopravy k zajištění propojení Platformy se systémy elektronického odbavení cestujících užívaných jednotlivými objednateli a/nebo organizátory a/nebo dopravci, a v této souvislosti rovněž vyvinula a na úrovni samostatné modulární funkcionality Aplikace implementovala </w:t>
      </w:r>
      <w:r w:rsidDel="00000000" w:rsidR="00000000" w:rsidRPr="00000000">
        <w:rPr>
          <w:rFonts w:ascii="Calibri" w:cs="Calibri" w:eastAsia="Calibri" w:hAnsi="Calibri"/>
          <w:b w:val="1"/>
          <w:bCs w:val="1"/>
          <w:sz w:val="23"/>
          <w:szCs w:val="23"/>
          <w:u w:val="single"/>
          <w:rtl w:val="0"/>
        </w:rPr>
        <w:t xml:space="preserve">inovativní adaptabilní digitální distribuční kanál</w:t>
      </w:r>
      <w:r w:rsidDel="00000000" w:rsidR="00000000" w:rsidRPr="00000000">
        <w:rPr>
          <w:rFonts w:ascii="Calibri" w:cs="Calibri" w:eastAsia="Calibri" w:hAnsi="Calibri"/>
          <w:sz w:val="23"/>
          <w:szCs w:val="23"/>
          <w:rtl w:val="0"/>
        </w:rPr>
        <w:t xml:space="preserve"> pro prodej a nákup elektronických jízdních dokladů sloužících k úhradě ceny za poskytnutí Poptávkové dopravy (cena za poskytnutí Poptávkové dopravy včetně DPH dále také jen „</w:t>
      </w:r>
      <w:r w:rsidDel="00000000" w:rsidR="00000000" w:rsidRPr="00000000">
        <w:rPr>
          <w:rFonts w:ascii="Calibri" w:cs="Calibri" w:eastAsia="Calibri" w:hAnsi="Calibri"/>
          <w:b w:val="1"/>
          <w:bCs w:val="1"/>
          <w:sz w:val="23"/>
          <w:szCs w:val="23"/>
          <w:rtl w:val="0"/>
        </w:rPr>
        <w:t xml:space="preserve">Jízdné</w:t>
      </w:r>
      <w:r w:rsidDel="00000000" w:rsidR="00000000" w:rsidRPr="00000000">
        <w:rPr>
          <w:rFonts w:ascii="Calibri" w:cs="Calibri" w:eastAsia="Calibri" w:hAnsi="Calibri"/>
          <w:sz w:val="23"/>
          <w:szCs w:val="23"/>
          <w:rtl w:val="0"/>
        </w:rPr>
        <w:t xml:space="preserve">“), který současně </w:t>
      </w:r>
      <w:r w:rsidDel="00000000" w:rsidR="00000000" w:rsidRPr="00000000">
        <w:rPr>
          <w:rFonts w:ascii="Calibri" w:cs="Calibri" w:eastAsia="Calibri" w:hAnsi="Calibri"/>
          <w:b w:val="1"/>
          <w:bCs w:val="1"/>
          <w:sz w:val="23"/>
          <w:szCs w:val="23"/>
          <w:u w:val="single"/>
          <w:rtl w:val="0"/>
        </w:rPr>
        <w:t xml:space="preserve">umožňuje uživatelům Aplikace hradit dopravcům Jízdné prostřednictvím platebních karet</w:t>
      </w:r>
      <w:r w:rsidDel="00000000" w:rsidR="00000000" w:rsidRPr="00000000">
        <w:rPr>
          <w:rFonts w:ascii="Calibri" w:cs="Calibri" w:eastAsia="Calibri" w:hAnsi="Calibri"/>
          <w:sz w:val="23"/>
          <w:szCs w:val="23"/>
          <w:rtl w:val="0"/>
        </w:rPr>
        <w:t xml:space="preserve"> s využitím Platební brány (jak je tento pojem definován dále), (Aplikace s aktivním výše specifikovaným modulem dále také jen „</w:t>
      </w:r>
      <w:r w:rsidDel="00000000" w:rsidR="00000000" w:rsidRPr="00000000">
        <w:rPr>
          <w:rFonts w:ascii="Calibri" w:cs="Calibri" w:eastAsia="Calibri" w:hAnsi="Calibri"/>
          <w:b w:val="1"/>
          <w:bCs w:val="1"/>
          <w:sz w:val="23"/>
          <w:szCs w:val="23"/>
          <w:rtl w:val="0"/>
        </w:rPr>
        <w:t xml:space="preserve">Distribuční kanál</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1A">
      <w:pPr>
        <w:widowControl w:val="1"/>
        <w:numPr>
          <w:ilvl w:val="0"/>
          <w:numId w:val="12"/>
        </w:numPr>
        <w:pBdr>
          <w:top w:space="0" w:sz="0" w:val="nil"/>
          <w:left w:space="0" w:sz="0" w:val="nil"/>
          <w:bottom w:space="0" w:sz="0" w:val="nil"/>
          <w:right w:space="0" w:sz="0" w:val="nil"/>
          <w:between w:space="0" w:sz="0" w:val="nil"/>
        </w:pBdr>
        <w:spacing w:after="240" w:line="360" w:lineRule="auto"/>
        <w:ind w:left="567" w:hanging="567"/>
        <w:jc w:val="both"/>
        <w:rPr>
          <w:rFonts w:ascii="Calibri" w:cs="Calibri" w:eastAsia="Calibri" w:hAnsi="Calibri"/>
          <w:sz w:val="23"/>
          <w:szCs w:val="23"/>
        </w:rPr>
      </w:pPr>
      <w:bookmarkStart w:colFirst="0" w:colLast="0" w:name="_heading=h.pshvnvvntlrp" w:id="0"/>
      <w:bookmarkEnd w:id="0"/>
      <w:r w:rsidDel="00000000" w:rsidR="00000000" w:rsidRPr="00000000">
        <w:rPr>
          <w:rFonts w:ascii="Calibri" w:cs="Calibri" w:eastAsia="Calibri" w:hAnsi="Calibri"/>
          <w:sz w:val="23"/>
          <w:szCs w:val="23"/>
          <w:rtl w:val="0"/>
        </w:rPr>
        <w:t xml:space="preserve">Smluvní strany si přejí touto Smlouvou upravit podmínky udělení Licence (jak je tento pojem definován dále), využití Distribučního kanálu, a poskytování Provozních služeb (jak je tento pojem definován dále), a za tímto účelem podrobněji stanovit základní pravidla vztahů mezi Smluvními stranami při vzájemné spolupráci;</w:t>
      </w:r>
    </w:p>
    <w:p w:rsidR="00000000" w:rsidDel="00000000" w:rsidP="00000000" w:rsidRDefault="00000000" w:rsidRPr="00000000" w14:paraId="0000001B">
      <w:pPr>
        <w:spacing w:after="360" w:line="276" w:lineRule="auto"/>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DOHODLY SE SMLUVNÍ STRANY NA NÁSLEDUJÍCÍM:</w:t>
      </w:r>
    </w:p>
    <w:p w:rsidR="00000000" w:rsidDel="00000000" w:rsidP="00000000" w:rsidRDefault="00000000" w:rsidRPr="00000000" w14:paraId="0000001C">
      <w:pPr>
        <w:numPr>
          <w:ilvl w:val="0"/>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PŘEDMĚT SMLOUVY</w:t>
      </w:r>
      <w:r w:rsidDel="00000000" w:rsidR="00000000" w:rsidRPr="00000000">
        <w:rPr>
          <w:rtl w:val="0"/>
        </w:rPr>
      </w:r>
    </w:p>
    <w:p w:rsidR="00000000" w:rsidDel="00000000" w:rsidP="00000000" w:rsidRDefault="00000000" w:rsidRPr="00000000" w14:paraId="0000001D">
      <w:pPr>
        <w:numPr>
          <w:ilvl w:val="1"/>
          <w:numId w:val="13"/>
        </w:numPr>
        <w:tabs>
          <w:tab w:val="left" w:leader="none" w:pos="-1440"/>
        </w:tabs>
        <w:spacing w:after="120" w:line="276" w:lineRule="auto"/>
        <w:ind w:left="567" w:hanging="567"/>
        <w:jc w:val="both"/>
        <w:rPr>
          <w:rFonts w:ascii="Calibri" w:cs="Calibri" w:eastAsia="Calibri" w:hAnsi="Calibri"/>
          <w:sz w:val="23"/>
          <w:szCs w:val="23"/>
        </w:rPr>
      </w:pPr>
      <w:bookmarkStart w:colFirst="0" w:colLast="0" w:name="_heading=h.gjdgxs" w:id="1"/>
      <w:bookmarkEnd w:id="1"/>
      <w:r w:rsidDel="00000000" w:rsidR="00000000" w:rsidRPr="00000000">
        <w:rPr>
          <w:rFonts w:ascii="Calibri" w:cs="Calibri" w:eastAsia="Calibri" w:hAnsi="Calibri"/>
          <w:sz w:val="23"/>
          <w:szCs w:val="23"/>
          <w:rtl w:val="0"/>
        </w:rPr>
        <w:t xml:space="preserve">Společnost CITYA se zavazuje poskytnout Dopravci Licenci k Platformě včetně Distribučního kanálu, případně i další úhrady plynoucí z této Smlouvy, to vše po dobu trvání této Smlouvy a za podmínek dále sjednaných.</w:t>
      </w:r>
    </w:p>
    <w:p w:rsidR="00000000" w:rsidDel="00000000" w:rsidP="00000000" w:rsidRDefault="00000000" w:rsidRPr="00000000" w14:paraId="0000001E">
      <w:pPr>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Dopravce se zavazuje hradit za poskytování Licence k Platformě společnosti CITYA Odměnu (jak je tento pojem definován dále) a současně hradit náhradu Provozních nákladů (jak je tento pojem definován dále) za poskytování Provozních služeb, případně i další úhrady plynoucí z této Smlouvy, to vše po dobu trvání této Smlouvy, ve výši, a za podmínek dále sjednaných. </w:t>
      </w:r>
    </w:p>
    <w:p w:rsidR="00000000" w:rsidDel="00000000" w:rsidP="00000000" w:rsidRDefault="00000000" w:rsidRPr="00000000" w14:paraId="0000001F">
      <w:pPr>
        <w:numPr>
          <w:ilvl w:val="0"/>
          <w:numId w:val="13"/>
        </w:numPr>
        <w:tabs>
          <w:tab w:val="left" w:leader="none" w:pos="-1440"/>
        </w:tabs>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POSKYTNUTÍ NEVÝHRADNÍ LICENCE</w:t>
      </w:r>
    </w:p>
    <w:p w:rsidR="00000000" w:rsidDel="00000000" w:rsidP="00000000" w:rsidRDefault="00000000" w:rsidRPr="00000000" w14:paraId="00000020">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prohlašuje, že vykonává veškerá oprávnění k Platformě jako celku i k jejím jednotlivým částem a/nebo nezávislým modulům, svým jménem a na svůj účet bez jakéhokoli omezení, a to v takovém rozsahu, aby mohla Dopravci udělit k Platformě veškerá oprávnění v rozsahu dle tohoto článku 2. této Smlouvy. Smluvní strany tímto sjednávají tuto Smlouvu rovněž jako </w:t>
      </w:r>
      <w:r w:rsidDel="00000000" w:rsidR="00000000" w:rsidRPr="00000000">
        <w:rPr>
          <w:rFonts w:ascii="Calibri" w:cs="Calibri" w:eastAsia="Calibri" w:hAnsi="Calibri"/>
          <w:sz w:val="23"/>
          <w:szCs w:val="23"/>
          <w:u w:val="single"/>
          <w:rtl w:val="0"/>
        </w:rPr>
        <w:t xml:space="preserve">nevýhradní licenční smlouvu</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21">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Udělení licence</w:t>
      </w:r>
      <w:r w:rsidDel="00000000" w:rsidR="00000000" w:rsidRPr="00000000">
        <w:rPr>
          <w:rFonts w:ascii="Calibri" w:cs="Calibri" w:eastAsia="Calibri" w:hAnsi="Calibri"/>
          <w:sz w:val="23"/>
          <w:szCs w:val="23"/>
          <w:rtl w:val="0"/>
        </w:rPr>
        <w:t xml:space="preserve">. Společnost CITYA poskytuje touto licenční smlouvou Dopravci nevýhradní oprávnění k výkonu práva užít Platformu, a to způsoby a v rozsahu níže uvedeném („</w:t>
      </w:r>
      <w:r w:rsidDel="00000000" w:rsidR="00000000" w:rsidRPr="00000000">
        <w:rPr>
          <w:rFonts w:ascii="Calibri" w:cs="Calibri" w:eastAsia="Calibri" w:hAnsi="Calibri"/>
          <w:b w:val="1"/>
          <w:bCs w:val="1"/>
          <w:sz w:val="23"/>
          <w:szCs w:val="23"/>
          <w:rtl w:val="0"/>
        </w:rPr>
        <w:t xml:space="preserve">Licence</w:t>
      </w:r>
      <w:r w:rsidDel="00000000" w:rsidR="00000000" w:rsidRPr="00000000">
        <w:rPr>
          <w:rFonts w:ascii="Calibri" w:cs="Calibri" w:eastAsia="Calibri" w:hAnsi="Calibri"/>
          <w:sz w:val="23"/>
          <w:szCs w:val="23"/>
          <w:rtl w:val="0"/>
        </w:rPr>
        <w:t xml:space="preserve">“), a Dopravce tuto Licenci od společnosti CITYA přijímá. Společnost CITYA se zavazuje zajistit, že Dopravce bude oprávněn užívat Platformu v rozsahu a za podmínek dle této Smlouvy, a to po celou dobu trvání Licence.</w:t>
      </w:r>
    </w:p>
    <w:p w:rsidR="00000000" w:rsidDel="00000000" w:rsidP="00000000" w:rsidRDefault="00000000" w:rsidRPr="00000000" w14:paraId="00000022">
      <w:pPr>
        <w:numPr>
          <w:ilvl w:val="1"/>
          <w:numId w:val="13"/>
        </w:numPr>
        <w:tabs>
          <w:tab w:val="left" w:leader="none" w:pos="-1440"/>
        </w:tabs>
        <w:spacing w:after="120" w:line="276" w:lineRule="auto"/>
        <w:ind w:left="567" w:hanging="567"/>
        <w:jc w:val="both"/>
        <w:rPr>
          <w:rFonts w:ascii="Calibri" w:cs="Calibri" w:eastAsia="Calibri" w:hAnsi="Calibri"/>
          <w:sz w:val="23"/>
          <w:szCs w:val="23"/>
        </w:rPr>
      </w:pPr>
      <w:bookmarkStart w:colFirst="0" w:colLast="0" w:name="_heading=h.vjf74q6duq7e" w:id="2"/>
      <w:bookmarkEnd w:id="2"/>
      <w:r w:rsidDel="00000000" w:rsidR="00000000" w:rsidRPr="00000000">
        <w:rPr>
          <w:rFonts w:ascii="Calibri" w:cs="Calibri" w:eastAsia="Calibri" w:hAnsi="Calibri"/>
          <w:sz w:val="23"/>
          <w:szCs w:val="23"/>
          <w:u w:val="single"/>
          <w:rtl w:val="0"/>
        </w:rPr>
        <w:t xml:space="preserve">Rozsah a doba trvání</w:t>
      </w:r>
      <w:r w:rsidDel="00000000" w:rsidR="00000000" w:rsidRPr="00000000">
        <w:rPr>
          <w:rFonts w:ascii="Calibri" w:cs="Calibri" w:eastAsia="Calibri" w:hAnsi="Calibri"/>
          <w:sz w:val="23"/>
          <w:szCs w:val="23"/>
          <w:rtl w:val="0"/>
        </w:rPr>
        <w:t xml:space="preserve">. Licence se uděluje formou software-as-a-service, a to v omezeném rozsahu, konkrétně (i) s územním omezením výlučně pro Oblast, (ii) s časovým omezením na dobu trvání této Smlouvy, (iii) s omezením množstevního rozsahu užití Platformy specifikovaného v příloze č. 1 této Smlouvy, a (iv) s omezením užívání výlučně k naplnění Účelu této Smlouvy; pro vyloučení pochybností platí, že součástí Licence není oprávnění Dopravce na rozmnožování, pronájem a podlicencování (s výjimkou udělení podlicence Oprávněným osobám blíže specifikovaného v odst. 2.4. níže), Platformy či jakékoli její části. Dopravce není oprávněn měnit či upravit název Platformy a ani označení společnosti CITYA jako autora Platformy. Dopravce není oprávněn měnit či jinak zasahovat do Platformy či jakékoli její části.</w:t>
      </w:r>
    </w:p>
    <w:p w:rsidR="00000000" w:rsidDel="00000000" w:rsidP="00000000" w:rsidRDefault="00000000" w:rsidRPr="00000000" w14:paraId="00000023">
      <w:pPr>
        <w:numPr>
          <w:ilvl w:val="1"/>
          <w:numId w:val="13"/>
        </w:numPr>
        <w:tabs>
          <w:tab w:val="left" w:leader="none" w:pos="-1440"/>
        </w:tabs>
        <w:spacing w:after="120" w:line="276" w:lineRule="auto"/>
        <w:ind w:left="567" w:hanging="567"/>
        <w:jc w:val="both"/>
        <w:rPr>
          <w:rFonts w:ascii="Calibri" w:cs="Calibri" w:eastAsia="Calibri" w:hAnsi="Calibri"/>
          <w:sz w:val="23"/>
          <w:szCs w:val="23"/>
        </w:rPr>
      </w:pPr>
      <w:bookmarkStart w:colFirst="0" w:colLast="0" w:name="_heading=h.97ppmbcc57da" w:id="3"/>
      <w:bookmarkEnd w:id="3"/>
      <w:r w:rsidDel="00000000" w:rsidR="00000000" w:rsidRPr="00000000">
        <w:rPr>
          <w:rFonts w:ascii="Calibri" w:cs="Calibri" w:eastAsia="Calibri" w:hAnsi="Calibri"/>
          <w:sz w:val="23"/>
          <w:szCs w:val="23"/>
          <w:u w:val="single"/>
          <w:rtl w:val="0"/>
        </w:rPr>
        <w:t xml:space="preserve">Podlicence</w:t>
      </w:r>
      <w:r w:rsidDel="00000000" w:rsidR="00000000" w:rsidRPr="00000000">
        <w:rPr>
          <w:rFonts w:ascii="Calibri" w:cs="Calibri" w:eastAsia="Calibri" w:hAnsi="Calibri"/>
          <w:sz w:val="23"/>
          <w:szCs w:val="23"/>
          <w:rtl w:val="0"/>
        </w:rPr>
        <w:t xml:space="preserve">. Dopravce jakožto nabyvatel Licence může dále určenou část oprávnění tvořícího součást Licence poskytnout výlučně Objednateli a/nebo krajům a/nebo obcím podílejícím se na organizaci integrovaných veřejných služeb v přepravě cestujících spolu s Objednatelem, a to v rozsahu omezeném výhradně na přístupová práva k Datovým a statistickým záznamům (jak je tento pojem definován dále) v režimu pasivního náhledu (dále jen „</w:t>
      </w:r>
      <w:r w:rsidDel="00000000" w:rsidR="00000000" w:rsidRPr="00000000">
        <w:rPr>
          <w:rFonts w:ascii="Calibri" w:cs="Calibri" w:eastAsia="Calibri" w:hAnsi="Calibri"/>
          <w:b w:val="1"/>
          <w:bCs w:val="1"/>
          <w:sz w:val="23"/>
          <w:szCs w:val="23"/>
          <w:rtl w:val="0"/>
        </w:rPr>
        <w:t xml:space="preserve">Podlicence</w:t>
      </w:r>
      <w:r w:rsidDel="00000000" w:rsidR="00000000" w:rsidRPr="00000000">
        <w:rPr>
          <w:rFonts w:ascii="Calibri" w:cs="Calibri" w:eastAsia="Calibri" w:hAnsi="Calibri"/>
          <w:sz w:val="23"/>
          <w:szCs w:val="23"/>
          <w:rtl w:val="0"/>
        </w:rPr>
        <w:t xml:space="preserve">“); využití práva poskytnout Podlicenci je sjednáno jako úplatné. Smluvní strany se výslovně dohodly, že za každé jednotlivé využití Podlicence ze strany Dopravce, tj. vytvoření přístupových práv k Datovým záznamům o jízdách v režimu pasivního náhledu pro konkrétní subjekt/osobu, je Dopravce povinen uhradit společnosti CITYA jednorázovou fixní odměnu ve výši a za podmínek dále sjednaných v této Smlouvě („</w:t>
      </w:r>
      <w:r w:rsidDel="00000000" w:rsidR="00000000" w:rsidRPr="00000000">
        <w:rPr>
          <w:rFonts w:ascii="Calibri" w:cs="Calibri" w:eastAsia="Calibri" w:hAnsi="Calibri"/>
          <w:b w:val="1"/>
          <w:bCs w:val="1"/>
          <w:sz w:val="23"/>
          <w:szCs w:val="23"/>
          <w:rtl w:val="0"/>
        </w:rPr>
        <w:t xml:space="preserve">Podlicenční odměna</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24">
      <w:pPr>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Využití</w:t>
      </w:r>
      <w:r w:rsidDel="00000000" w:rsidR="00000000" w:rsidRPr="00000000">
        <w:rPr>
          <w:rFonts w:ascii="Calibri" w:cs="Calibri" w:eastAsia="Calibri" w:hAnsi="Calibri"/>
          <w:sz w:val="23"/>
          <w:szCs w:val="23"/>
          <w:rtl w:val="0"/>
        </w:rPr>
        <w:t xml:space="preserve">. Dopravce není povinen Licenci využít.</w:t>
      </w:r>
    </w:p>
    <w:p w:rsidR="00000000" w:rsidDel="00000000" w:rsidP="00000000" w:rsidRDefault="00000000" w:rsidRPr="00000000" w14:paraId="00000025">
      <w:pPr>
        <w:numPr>
          <w:ilvl w:val="0"/>
          <w:numId w:val="13"/>
        </w:numPr>
        <w:tabs>
          <w:tab w:val="left" w:leader="none" w:pos="-1440"/>
        </w:tabs>
        <w:spacing w:after="120" w:line="276" w:lineRule="auto"/>
        <w:ind w:left="567" w:hanging="567"/>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ZÁKLADNÍ PRINCIPY VYUŽITÍ DISTRIBUČNÍHO KANÁLU</w:t>
      </w:r>
    </w:p>
    <w:p w:rsidR="00000000" w:rsidDel="00000000" w:rsidP="00000000" w:rsidRDefault="00000000" w:rsidRPr="00000000" w14:paraId="00000026">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v zájmu právní jistoty souhlasně stvrzují, že společnost CITYA se při plnění závazků z této Smlouvy žádným způsobem neúčastní přepravní smlouvy vznikající mezi cestujícími a Dopravcem, a tedy nepřebírá žádné povinnosti ani žádná práva Dopravce ve vztahu k jednotlivým cestujícím. </w:t>
      </w:r>
    </w:p>
    <w:p w:rsidR="00000000" w:rsidDel="00000000" w:rsidP="00000000" w:rsidRDefault="00000000" w:rsidRPr="00000000" w14:paraId="00000027">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souhlasně prohlašují, že nezbytné technické a provozní propojení elektronických systémů odbavení cestujících provozovaných a/nebo užívaných Dopravcem v souvislosti s poskytováním Poptávkové dopravy v Oblasti (to vše dále společně také jen „</w:t>
      </w:r>
      <w:r w:rsidDel="00000000" w:rsidR="00000000" w:rsidRPr="00000000">
        <w:rPr>
          <w:rFonts w:ascii="Calibri" w:cs="Calibri" w:eastAsia="Calibri" w:hAnsi="Calibri"/>
          <w:b w:val="1"/>
          <w:bCs w:val="1"/>
          <w:sz w:val="23"/>
          <w:szCs w:val="23"/>
          <w:rtl w:val="0"/>
        </w:rPr>
        <w:t xml:space="preserve">Elektronický systém Dopravce</w:t>
      </w:r>
      <w:r w:rsidDel="00000000" w:rsidR="00000000" w:rsidRPr="00000000">
        <w:rPr>
          <w:rFonts w:ascii="Calibri" w:cs="Calibri" w:eastAsia="Calibri" w:hAnsi="Calibri"/>
          <w:sz w:val="23"/>
          <w:szCs w:val="23"/>
          <w:rtl w:val="0"/>
        </w:rPr>
        <w:t xml:space="preserve">“) s Platformou přes jednotné rozhraní (API) zajistila společnost CITYA již před uzavřením této Smlouvy.  </w:t>
      </w:r>
    </w:p>
    <w:p w:rsidR="00000000" w:rsidDel="00000000" w:rsidP="00000000" w:rsidRDefault="00000000" w:rsidRPr="00000000" w14:paraId="00000028">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Dopravce upozorňuje společnost CITYA a společnost CITYA bere na vědomí, že na základě Smlouvy o poskytování přepravních služeb je Dopravce určeným příjemcem plateb na úhradu Jízdného od zákazníků (cestujících), přičemž bližší specifikace tarifních sazeb Jízdného, tj. ceny za poskytnutí Poptávkové dopravy stanovených v souladu se Smlouvou o poskytování přepravních služeb je uvedena v Příloze č. 4 této Smlouvy. Smluvní strany se výslovně dohodly, že dojde-li na základě Smlouvy o poskytování přepravních služeb ke změně tarifní sazby Jízdného, mění se automaticky a bez nutnosti dalších právních jednání Smluvních stran tato Smlouva v rozsahu Přílohy č. 4, a to vždy ve vztahu k nově stanovené tarifní sazbě Jízdného, která bude společnosti CITYA oznámena a zpřístupněna Dopravcem v Elektronickém systému Dopravce propojeným s Platformou přes API. Nebude-li mezi Smluvními stranami výslovně stanoveno jinak, pak platí, že tarifní sazba Jízdného zpřístupněná a oznámená společnosti CIYTA Dopravcem v Elektronickém systému Dopravce je vždy včetně DPH.</w:t>
      </w:r>
    </w:p>
    <w:p w:rsidR="00000000" w:rsidDel="00000000" w:rsidP="00000000" w:rsidRDefault="00000000" w:rsidRPr="00000000" w14:paraId="00000029">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upozorňuje Dopravce a Dopravce bere na vědomí, že k úhradě Jízdného prostřednictvím Distribučního kanálu je využívána platební brána společnosti CITYA (dále jen „</w:t>
      </w:r>
      <w:r w:rsidDel="00000000" w:rsidR="00000000" w:rsidRPr="00000000">
        <w:rPr>
          <w:rFonts w:ascii="Calibri" w:cs="Calibri" w:eastAsia="Calibri" w:hAnsi="Calibri"/>
          <w:b w:val="1"/>
          <w:bCs w:val="1"/>
          <w:sz w:val="23"/>
          <w:szCs w:val="23"/>
          <w:rtl w:val="0"/>
        </w:rPr>
        <w:t xml:space="preserve">Platební brána</w:t>
      </w:r>
      <w:r w:rsidDel="00000000" w:rsidR="00000000" w:rsidRPr="00000000">
        <w:rPr>
          <w:rFonts w:ascii="Calibri" w:cs="Calibri" w:eastAsia="Calibri" w:hAnsi="Calibri"/>
          <w:sz w:val="23"/>
          <w:szCs w:val="23"/>
          <w:rtl w:val="0"/>
        </w:rPr>
        <w:t xml:space="preserve">“), přičemž jako platební a vypořádací místo Jízdného uhrazeného přes Platební bránu je určen bankovní účet společnosti CITYA (dále jen „</w:t>
      </w:r>
      <w:r w:rsidDel="00000000" w:rsidR="00000000" w:rsidRPr="00000000">
        <w:rPr>
          <w:rFonts w:ascii="Calibri" w:cs="Calibri" w:eastAsia="Calibri" w:hAnsi="Calibri"/>
          <w:b w:val="1"/>
          <w:bCs w:val="1"/>
          <w:sz w:val="23"/>
          <w:szCs w:val="23"/>
          <w:rtl w:val="0"/>
        </w:rPr>
        <w:t xml:space="preserve">Platební místo</w:t>
      </w:r>
      <w:r w:rsidDel="00000000" w:rsidR="00000000" w:rsidRPr="00000000">
        <w:rPr>
          <w:rFonts w:ascii="Calibri" w:cs="Calibri" w:eastAsia="Calibri" w:hAnsi="Calibri"/>
          <w:sz w:val="23"/>
          <w:szCs w:val="23"/>
          <w:rtl w:val="0"/>
        </w:rPr>
        <w:t xml:space="preserve">“). Zvolí-li uživatel Aplikace (cestující) k úhradě Jízdného Distribuční kanál, provede při vytvoření poptávky na poskytnutí Poptávkové dopravy, tedy před nástupem do vozidla, prostřednictvím Distribučního kanálu v Platební bráně použitím své platební karty předautorizaci úhrady Jízdného, přičemž v okamžiku validace nástupu cestujícího do vozidla dochází k realizaci a vypořádání úhrady Jízdného. Společnost CITYA dále upozorňuje Dopravce a Dopravce bere na vědomí, že Distribuční kanál umožňuje, aby uživatel Aplikace vytvořil poptávku na poskytnutí Poptávkové dopravy pro jinou fyzickou osobu (cestující) a uhradil za ni Jízdné. </w:t>
      </w:r>
    </w:p>
    <w:p w:rsidR="00000000" w:rsidDel="00000000" w:rsidP="00000000" w:rsidRDefault="00000000" w:rsidRPr="00000000" w14:paraId="0000002A">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 ohledem na výše v bodech 3.3. a 3.4. uvedené tímto Dopravce výslovně zmocňuje a pověřuje společnost CITYA, aby na svůj bankovní účet jakožto Platební místo přijímala jménem Dopravce a na jeho účet peněžní prostředky určené k úhradě Jízdného od uživatelů Aplikace (cestujících), kteří k úhradě Jízdného využijí Distribuční kanál, tj. uhradí Dopravci Jízdné platební kartou prostřednictvím Platební brány, a současně aby jménem Dopravce a na jeho účet vystavovala a prostřednictvím Platformy, resp. Aplikace, a poskytovala uživatelům Aplikace (cestujícím) jízdní a daňový doklad k příslušné částce Jízdného uhrazené prostřednictvím Distribučního kanálu.</w:t>
      </w:r>
    </w:p>
    <w:p w:rsidR="00000000" w:rsidDel="00000000" w:rsidP="00000000" w:rsidRDefault="00000000" w:rsidRPr="00000000" w14:paraId="0000002B">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dále upozorňuje Dopravce a Dopravce bere na vědomí, že peněžní prostředky z Jízdného uhrazeného prostřednictvím Distribučního kanálu jsou poskytovatelem Platební brány poukazovány na Platební místo již ponížené o poplatky za využití Platební brány k vybírání Jízdného jménem a na účet Dopravce ve výši stanovené provozovatelem Platební brány (takové poplatky dále jen „</w:t>
      </w:r>
      <w:r w:rsidDel="00000000" w:rsidR="00000000" w:rsidRPr="00000000">
        <w:rPr>
          <w:rFonts w:ascii="Calibri" w:cs="Calibri" w:eastAsia="Calibri" w:hAnsi="Calibri"/>
          <w:b w:val="1"/>
          <w:bCs w:val="1"/>
          <w:sz w:val="23"/>
          <w:szCs w:val="23"/>
          <w:rtl w:val="0"/>
        </w:rPr>
        <w:t xml:space="preserve">Poplatky</w:t>
      </w:r>
      <w:r w:rsidDel="00000000" w:rsidR="00000000" w:rsidRPr="00000000">
        <w:rPr>
          <w:rFonts w:ascii="Calibri" w:cs="Calibri" w:eastAsia="Calibri" w:hAnsi="Calibri"/>
          <w:sz w:val="23"/>
          <w:szCs w:val="23"/>
          <w:rtl w:val="0"/>
        </w:rPr>
        <w:t xml:space="preserve">“, a současně příslušná částka Jízdného ponížená o Poplatky a připsaná na Platební místo dále jen „</w:t>
      </w:r>
      <w:r w:rsidDel="00000000" w:rsidR="00000000" w:rsidRPr="00000000">
        <w:rPr>
          <w:rFonts w:ascii="Calibri" w:cs="Calibri" w:eastAsia="Calibri" w:hAnsi="Calibri"/>
          <w:b w:val="1"/>
          <w:bCs w:val="1"/>
          <w:sz w:val="23"/>
          <w:szCs w:val="23"/>
          <w:rtl w:val="0"/>
        </w:rPr>
        <w:t xml:space="preserve">Jízdné netto</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2C">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dále upozorňuje Dopravce a Dopravce bere na vědomí, že celková výše Poplatků ke dni uzavření této Smlouvy činí zpravidla 1,5 % z hodnoty Jízdného, obecně však nepřekračuje 10 % z hodnoty Jízdného, to vše s výhradou práva provozovatele Platební brány na jednostrannou změnu struktury a výše Poplatků s okamžitou účinností. Smluvní strany se proto výslovně dohodly, a společnost CITYA se zavazuje, že neprodleně oznámí Dopravci jakoukoli, změnu, byť i jen z části, ve struktuře a/nebo ve výši Poplatků, to vše bez povinnosti Smluvních stran uzavřít dodatek k této Smlouvě.</w:t>
      </w:r>
    </w:p>
    <w:p w:rsidR="00000000" w:rsidDel="00000000" w:rsidP="00000000" w:rsidRDefault="00000000" w:rsidRPr="00000000" w14:paraId="0000002D">
      <w:pPr>
        <w:widowControl w:val="1"/>
        <w:numPr>
          <w:ilvl w:val="1"/>
          <w:numId w:val="13"/>
        </w:numPr>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výslovně dohodly a podpisem této Smlouvy stvrzují, že výlučným vlastníkem veškerého Jízdného uhrazeného prostřednictvím Distribučního kanálu se v okamžiku jeho připsání v částce odpovídající Jízdnému netto na Platební místo stává výhradně Dopravce.</w:t>
      </w:r>
    </w:p>
    <w:p w:rsidR="00000000" w:rsidDel="00000000" w:rsidP="00000000" w:rsidRDefault="00000000" w:rsidRPr="00000000" w14:paraId="0000002E">
      <w:pPr>
        <w:widowControl w:val="1"/>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 vyloučení pochybností platí, že společnost CITYA nemůže nijak ovlivnit, zda uživatel Aplikace (cestující) z dostupných prostředků dopravního odbavování cestujících zajišťovaných Dopravcem, které budou zahrnovat i Distribuční kanál, zvolí a využije k úhradě Jízdného s konečnou platností Distribuční kanál.</w:t>
      </w:r>
    </w:p>
    <w:p w:rsidR="00000000" w:rsidDel="00000000" w:rsidP="00000000" w:rsidRDefault="00000000" w:rsidRPr="00000000" w14:paraId="0000002F">
      <w:pPr>
        <w:widowControl w:val="1"/>
        <w:tabs>
          <w:tab w:val="left" w:leader="none" w:pos="-1440"/>
        </w:tabs>
        <w:spacing w:after="240" w:line="276" w:lineRule="auto"/>
        <w:ind w:left="567" w:firstLine="0"/>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30">
      <w:pPr>
        <w:numPr>
          <w:ilvl w:val="0"/>
          <w:numId w:val="13"/>
        </w:numPr>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POVINNOSTI PROVOZOVATELE DISTRIBUČNÍHO KANÁLU</w:t>
      </w:r>
    </w:p>
    <w:p w:rsidR="00000000" w:rsidDel="00000000" w:rsidP="00000000" w:rsidRDefault="00000000" w:rsidRPr="00000000" w14:paraId="00000031">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se zavazuje poskytovat Dopravci služby provozní a servisní podpory a rozvoje softwarových řešení Platformy, které jsou blíže specifikované v Příloze č. 2 této Smlouvy formou SLA, zahrnující rovněž službu zajišťování provozu Distribučního kanálu pro Dopravce, (to vše dále také jen </w:t>
      </w:r>
      <w:r w:rsidDel="00000000" w:rsidR="00000000" w:rsidRPr="00000000">
        <w:rPr>
          <w:rFonts w:ascii="Calibri" w:cs="Calibri" w:eastAsia="Calibri" w:hAnsi="Calibri"/>
          <w:b w:val="1"/>
          <w:bCs w:val="1"/>
          <w:sz w:val="23"/>
          <w:szCs w:val="23"/>
          <w:rtl w:val="0"/>
        </w:rPr>
        <w:t xml:space="preserve">„Provozní služby</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32">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jakožto poskytovatel a provozovatel Distribučního kanálu se zavazuje:</w:t>
      </w:r>
    </w:p>
    <w:p w:rsidR="00000000" w:rsidDel="00000000" w:rsidP="00000000" w:rsidRDefault="00000000" w:rsidRPr="00000000" w14:paraId="00000033">
      <w:pPr>
        <w:widowControl w:val="1"/>
        <w:numPr>
          <w:ilvl w:val="2"/>
          <w:numId w:val="13"/>
        </w:numPr>
        <w:tabs>
          <w:tab w:val="left" w:leader="none" w:pos="-1440"/>
        </w:tabs>
        <w:spacing w:after="120" w:line="276" w:lineRule="auto"/>
        <w:ind w:left="1224" w:hanging="65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vést v Platformě průběžně úplné a pravdivé záznamy o Jízdném včetně DPH uhrazeném uživateli Aplikace (cestujícími) na účet Dopravce prostřednictvím Platební brány, jakož i o Poplatcích a o Jízdném netto;</w:t>
      </w:r>
    </w:p>
    <w:p w:rsidR="00000000" w:rsidDel="00000000" w:rsidP="00000000" w:rsidRDefault="00000000" w:rsidRPr="00000000" w14:paraId="00000034">
      <w:pPr>
        <w:widowControl w:val="1"/>
        <w:numPr>
          <w:ilvl w:val="2"/>
          <w:numId w:val="13"/>
        </w:numPr>
        <w:tabs>
          <w:tab w:val="left" w:leader="none" w:pos="-1440"/>
        </w:tabs>
        <w:spacing w:after="120" w:line="276" w:lineRule="auto"/>
        <w:ind w:left="1224" w:hanging="65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zajistit, aby měl Dopravce k dispozici data a statistiky o uhrazeném Jízdném v rozsahu dle bodu 4.2.1. výše, a to zásadně okamžitě, nejpozději s periodicitou aktualizace 1x denně (dále jen „</w:t>
      </w:r>
      <w:r w:rsidDel="00000000" w:rsidR="00000000" w:rsidRPr="00000000">
        <w:rPr>
          <w:rFonts w:ascii="Calibri" w:cs="Calibri" w:eastAsia="Calibri" w:hAnsi="Calibri"/>
          <w:b w:val="1"/>
          <w:bCs w:val="1"/>
          <w:sz w:val="23"/>
          <w:szCs w:val="23"/>
          <w:rtl w:val="0"/>
        </w:rPr>
        <w:t xml:space="preserve">Datové a statistické záznamy</w:t>
      </w:r>
      <w:r w:rsidDel="00000000" w:rsidR="00000000" w:rsidRPr="00000000">
        <w:rPr>
          <w:rFonts w:ascii="Calibri" w:cs="Calibri" w:eastAsia="Calibri" w:hAnsi="Calibri"/>
          <w:sz w:val="23"/>
          <w:szCs w:val="23"/>
          <w:rtl w:val="0"/>
        </w:rPr>
        <w:t xml:space="preserve">“), a za tímto účelem zajistit pro Dopravce trvalý přístup, bez možnosti zásahů, do provozního prostředí Platformy prostřednictvím API, ve kterém bude mít Dopravce k dispozici Datové a statistické záznamy;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5">
      <w:pPr>
        <w:widowControl w:val="1"/>
        <w:numPr>
          <w:ilvl w:val="2"/>
          <w:numId w:val="13"/>
        </w:numPr>
        <w:tabs>
          <w:tab w:val="left" w:leader="none" w:pos="-1440"/>
        </w:tabs>
        <w:spacing w:after="120" w:line="276" w:lineRule="auto"/>
        <w:ind w:left="1224" w:hanging="65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jménem a na účet Dopravce zajistit vydávání a archivaci daňových dokladů o uhrazeném Jízdném pro uživatele Aplikace (cestující);</w:t>
      </w:r>
    </w:p>
    <w:p w:rsidR="00000000" w:rsidDel="00000000" w:rsidP="00000000" w:rsidRDefault="00000000" w:rsidRPr="00000000" w14:paraId="00000036">
      <w:pPr>
        <w:widowControl w:val="1"/>
        <w:numPr>
          <w:ilvl w:val="2"/>
          <w:numId w:val="13"/>
        </w:numPr>
        <w:tabs>
          <w:tab w:val="left" w:leader="none" w:pos="-1440"/>
        </w:tabs>
        <w:spacing w:after="120" w:line="276" w:lineRule="auto"/>
        <w:ind w:left="1224" w:hanging="65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Poskytovat Dopravci informace o uhrazeném Jízdném v rozsahu dle bodu 4.2.1. výše, jakož i daňové doklady na uhrazené Jízdné vystavené jménem a na účet Dopravce, ve formátu vhodném pro import do Elektronického systému Dopravce, a to prostřednictvím API. Předávání dat mezi Elektronickým systémem Dopravce a Platformou bude probíhat online, tj. okamžitě;</w:t>
      </w:r>
    </w:p>
    <w:p w:rsidR="00000000" w:rsidDel="00000000" w:rsidP="00000000" w:rsidRDefault="00000000" w:rsidRPr="00000000" w14:paraId="00000037">
      <w:pPr>
        <w:widowControl w:val="1"/>
        <w:numPr>
          <w:ilvl w:val="2"/>
          <w:numId w:val="13"/>
        </w:numPr>
        <w:tabs>
          <w:tab w:val="left" w:leader="none" w:pos="-1440"/>
        </w:tabs>
        <w:spacing w:after="120" w:line="276" w:lineRule="auto"/>
        <w:ind w:left="1224" w:hanging="65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implementovat mechanismy pro předcházení vzniku chyb a pro jejich kontrolu.</w:t>
      </w:r>
    </w:p>
    <w:p w:rsidR="00000000" w:rsidDel="00000000" w:rsidP="00000000" w:rsidRDefault="00000000" w:rsidRPr="00000000" w14:paraId="00000038">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se zavazuje nejpozději do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každého kalendářního měsíce předat Dopravci v elektronické podobě na email Kontaktní osoby Dopravce souhrnný přehled o Jízdném včetně DPH uhrazeném uživateli Aplikace (cestujícími) na účet Dopravce prostřednictvím Platební brány, jakož i o Poplatcích a o Jízdném netto, za předcházející kalendářní měsíc (dále jen „</w:t>
      </w:r>
      <w:r w:rsidDel="00000000" w:rsidR="00000000" w:rsidRPr="00000000">
        <w:rPr>
          <w:rFonts w:ascii="Calibri" w:cs="Calibri" w:eastAsia="Calibri" w:hAnsi="Calibri"/>
          <w:b w:val="1"/>
          <w:bCs w:val="1"/>
          <w:sz w:val="23"/>
          <w:szCs w:val="23"/>
          <w:rtl w:val="0"/>
        </w:rPr>
        <w:t xml:space="preserve">Vyúčtování</w:t>
      </w:r>
      <w:r w:rsidDel="00000000" w:rsidR="00000000" w:rsidRPr="00000000">
        <w:rPr>
          <w:rFonts w:ascii="Calibri" w:cs="Calibri" w:eastAsia="Calibri" w:hAnsi="Calibri"/>
          <w:sz w:val="23"/>
          <w:szCs w:val="23"/>
          <w:rtl w:val="0"/>
        </w:rPr>
        <w:t xml:space="preserve">“).</w:t>
      </w:r>
    </w:p>
    <w:p w:rsidR="00000000" w:rsidDel="00000000" w:rsidP="00000000" w:rsidRDefault="00000000" w:rsidRPr="00000000" w14:paraId="00000039">
      <w:pPr>
        <w:widowControl w:val="1"/>
        <w:numPr>
          <w:ilvl w:val="1"/>
          <w:numId w:val="13"/>
        </w:numPr>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 vyloučení pochybností platí, že Poplatky na základě Vyúčtování jsou výlučně finančním nákladem Dopravce. Společnost CITYA se pro vyloučení všech pochybností výslovně zavazuje, že po celou dobu trvání této Smlouvy nebude Poplatky účetně evidovat jako svůj finanční náklad. Společnost CITYA se v zájmu právní jistoty dále zavazuje, že Dopravci na jeho žádost poskytne vyúčtování Poplatků, vyhotovené poskytovatelem Platební brány za rozhodné období, tj. za kalendářní měsíc (zpravidla do 15. dne následujícího měsíce), a to nejpozději do posledního dne následujícího kalendářního měsíce.</w:t>
      </w:r>
    </w:p>
    <w:p w:rsidR="00000000" w:rsidDel="00000000" w:rsidP="00000000" w:rsidRDefault="00000000" w:rsidRPr="00000000" w14:paraId="0000003A">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se zavazuje nejpozději do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každého kalendářního měsíce poukázat Dopravci na jeho bankovní účet částku v souhrnu 100 % všech transakcí odpovídajících Jízdnému netto ve výši připsané na Platební místo, tj. ve výši odpovídající Jízdnému včetně DPH uhrazenému uživateli Aplikace (cestujícími) na účet Dopravce prostřednictvím Platební brány v předcházejícím kalendářním měsíci, poníženému o Poplatky, a v součtu odpovídajícím částkám Jízdného netto připsaným na Platební místo v rozhodném období (dále jen „</w:t>
      </w:r>
      <w:r w:rsidDel="00000000" w:rsidR="00000000" w:rsidRPr="00000000">
        <w:rPr>
          <w:rFonts w:ascii="Calibri" w:cs="Calibri" w:eastAsia="Calibri" w:hAnsi="Calibri"/>
          <w:b w:val="1"/>
          <w:bCs w:val="1"/>
          <w:sz w:val="23"/>
          <w:szCs w:val="23"/>
          <w:rtl w:val="0"/>
        </w:rPr>
        <w:t xml:space="preserve">Měsíční jízdné netto</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3B">
      <w:pPr>
        <w:widowControl w:val="1"/>
        <w:numPr>
          <w:ilvl w:val="1"/>
          <w:numId w:val="13"/>
        </w:numPr>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v zájmu právní jistoty výslovně dohodly a podpisem této Smlouvy stvrzují, že společnost CITYA vydá Dopravci Měsíční jízdné netto ve lhůtě a způsobem sjednaných v odst. 4.6. tohoto článku automaticky bez dalšího, a to z titulu vlastnického práva Dopravce k Měsíčnímu jízdnému netto ve smyslu odst. 3.8. článku 3. této Smlouvy. </w:t>
      </w:r>
    </w:p>
    <w:p w:rsidR="00000000" w:rsidDel="00000000" w:rsidP="00000000" w:rsidRDefault="00000000" w:rsidRPr="00000000" w14:paraId="0000003C">
      <w:pPr>
        <w:widowControl w:val="1"/>
        <w:numPr>
          <w:ilvl w:val="1"/>
          <w:numId w:val="13"/>
        </w:numPr>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 vyloučení pochybností platí, že v průběhu lhůty k vydání Měsíčního jízdného za rozhodné období dle odst. 4.3. tohoto článku není společnost CITYA v prodlení s plněním (tj. s vydáním Měsíčního jízdného netto jeho vlastníkovi).</w:t>
      </w:r>
    </w:p>
    <w:p w:rsidR="00000000" w:rsidDel="00000000" w:rsidP="00000000" w:rsidRDefault="00000000" w:rsidRPr="00000000" w14:paraId="0000003D">
      <w:pPr>
        <w:numPr>
          <w:ilvl w:val="0"/>
          <w:numId w:val="13"/>
        </w:numPr>
        <w:tabs>
          <w:tab w:val="left" w:leader="none" w:pos="-1440"/>
        </w:tabs>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ODMĚNA A DALŠÍ PLNĚNÍ, PLATEBNÍ PODMÍNKY</w:t>
      </w:r>
    </w:p>
    <w:p w:rsidR="00000000" w:rsidDel="00000000" w:rsidP="00000000" w:rsidRDefault="00000000" w:rsidRPr="00000000" w14:paraId="0000003E">
      <w:pPr>
        <w:numPr>
          <w:ilvl w:val="1"/>
          <w:numId w:val="13"/>
        </w:numPr>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Za Licenci poskytovanou na základě této Smlouvy náleží společnosti CITYA fixní odměna, která je Smluvními stranami sjednána ve výši </w:t>
      </w:r>
      <w:r w:rsidDel="00000000" w:rsidR="00000000" w:rsidRPr="00000000">
        <w:rPr>
          <w:rFonts w:ascii="Calibri" w:cs="Calibri" w:eastAsia="Calibri" w:hAnsi="Calibri"/>
          <w:b w:val="1"/>
          <w:bCs w:val="1"/>
          <w:sz w:val="23"/>
          <w:szCs w:val="23"/>
          <w:highlight w:val="yellow"/>
          <w:rtl w:val="0"/>
        </w:rPr>
        <w:t xml:space="preserve">[bude doplněno</w:t>
      </w:r>
      <w:r w:rsidDel="00000000" w:rsidR="00000000" w:rsidRPr="00000000">
        <w:rPr>
          <w:rFonts w:ascii="Calibri" w:cs="Calibri" w:eastAsia="Calibri" w:hAnsi="Calibri"/>
          <w:b w:val="1"/>
          <w:bCs w:val="1"/>
          <w:sz w:val="23"/>
          <w:szCs w:val="23"/>
          <w:rtl w:val="0"/>
        </w:rPr>
        <w:t xml:space="preserve">], - Kč měsíčně </w:t>
      </w:r>
      <w:r w:rsidDel="00000000" w:rsidR="00000000" w:rsidRPr="00000000">
        <w:rPr>
          <w:rFonts w:ascii="Calibri" w:cs="Calibri" w:eastAsia="Calibri" w:hAnsi="Calibri"/>
          <w:sz w:val="23"/>
          <w:szCs w:val="23"/>
          <w:rtl w:val="0"/>
        </w:rPr>
        <w:t xml:space="preserve">bez DPH („</w:t>
      </w:r>
      <w:r w:rsidDel="00000000" w:rsidR="00000000" w:rsidRPr="00000000">
        <w:rPr>
          <w:rFonts w:ascii="Calibri" w:cs="Calibri" w:eastAsia="Calibri" w:hAnsi="Calibri"/>
          <w:b w:val="1"/>
          <w:bCs w:val="1"/>
          <w:sz w:val="23"/>
          <w:szCs w:val="23"/>
          <w:rtl w:val="0"/>
        </w:rPr>
        <w:t xml:space="preserve">Odměna</w:t>
      </w:r>
      <w:r w:rsidDel="00000000" w:rsidR="00000000" w:rsidRPr="00000000">
        <w:rPr>
          <w:rFonts w:ascii="Calibri" w:cs="Calibri" w:eastAsia="Calibri" w:hAnsi="Calibri"/>
          <w:sz w:val="23"/>
          <w:szCs w:val="23"/>
          <w:rtl w:val="0"/>
        </w:rPr>
        <w:t xml:space="preserve">“). K Odměně bude připočtena DPH ve výši dle platných právních předpisů.</w:t>
      </w:r>
    </w:p>
    <w:p w:rsidR="00000000" w:rsidDel="00000000" w:rsidP="00000000" w:rsidRDefault="00000000" w:rsidRPr="00000000" w14:paraId="0000003F">
      <w:pPr>
        <w:numPr>
          <w:ilvl w:val="1"/>
          <w:numId w:val="13"/>
        </w:numPr>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výslovně dohodly, že součástí Odměny není jednorázová Podlicenční odměna, která je Smluvními stranami sjednána ve výši </w:t>
      </w:r>
      <w:r w:rsidDel="00000000" w:rsidR="00000000" w:rsidRPr="00000000">
        <w:rPr>
          <w:rFonts w:ascii="Calibri" w:cs="Calibri" w:eastAsia="Calibri" w:hAnsi="Calibri"/>
          <w:b w:val="1"/>
          <w:bCs w:val="1"/>
          <w:sz w:val="23"/>
          <w:szCs w:val="23"/>
          <w:rtl w:val="0"/>
        </w:rPr>
        <w:t xml:space="preserve">1, - Kč </w:t>
      </w:r>
      <w:r w:rsidDel="00000000" w:rsidR="00000000" w:rsidRPr="00000000">
        <w:rPr>
          <w:rFonts w:ascii="Calibri" w:cs="Calibri" w:eastAsia="Calibri" w:hAnsi="Calibri"/>
          <w:sz w:val="23"/>
          <w:szCs w:val="23"/>
          <w:rtl w:val="0"/>
        </w:rPr>
        <w:t xml:space="preserve">bez DPH. K Podlicenční odměně bude připočtena DPH ve výši dle platných právních předpisů. Společnost CITYA je povinna vystavit daňový doklad (fakturu) do 15 dnů ode dne každého využití Podlicence; ustanovení odst. 5.5. a 5.6. tohoto článku se pro účely stanovení platebních podmínek Podlicenční odměny použijí obdobně.</w:t>
      </w:r>
    </w:p>
    <w:p w:rsidR="00000000" w:rsidDel="00000000" w:rsidP="00000000" w:rsidRDefault="00000000" w:rsidRPr="00000000" w14:paraId="00000040">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Odměna je konečná a zahrnuje veškeré náklady společnosti CITYA spojené s poskytováním Licence či jinými činnostmi vykonávanými na základě anebo v souvislosti s touto Smlouvou, to vše s výjimkou výslovně sjednanou v odst. 5.2. tohoto článku výše; k této skutečnosti Smluvní strany přihlédly při sjednávání výše Odměny. </w:t>
      </w:r>
    </w:p>
    <w:p w:rsidR="00000000" w:rsidDel="00000000" w:rsidP="00000000" w:rsidRDefault="00000000" w:rsidRPr="00000000" w14:paraId="00000041">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 případě, že tato Smlouva vstoupí v účinnost či k ukončení této Smlouvy dojde v průběhu kalendářního měsíce, nárok společnosti CITYA na Odměnu se alikvotně snižuje, a vypočte se jako součin počtu pracovních dnů trvání této Smlouvy v daném kalendářním měsíci a hodnoty podílu celkové výše měsíční Odměny a počtu pracovních dnů v daném měsíci.</w:t>
      </w:r>
    </w:p>
    <w:p w:rsidR="00000000" w:rsidDel="00000000" w:rsidP="00000000" w:rsidRDefault="00000000" w:rsidRPr="00000000" w14:paraId="00000042">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dále výslovně dohodly, že Odměna společnosti CITYA, na niž společnosti CITYA vznikne nárok za příslušný kalendářní měsíc, je splatná na základě daňového dokladu vystaveného společností CITYA v souladu s českými právními předpisy. Společnost CITYA je povinna vystavit daňový doklad (fakturu) do 15 dnů ode dne, kdy vznikla povinnost přiznat daň, nebo přiznat uskutečnění plnění, přičemž splatnost Odměny v daňovém dokladu nebude kratší než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dnů ode dne jejího doručení Dopravci. Takto vystavený daňový doklad doručí společnost CITYA bez zbytečného odkladu Dopravci v elektronické podobě na email:</w:t>
      </w:r>
      <w:r w:rsidDel="00000000" w:rsidR="00000000" w:rsidRPr="00000000">
        <w:rPr>
          <w:rFonts w:ascii="Calibri" w:cs="Calibri" w:eastAsia="Calibri" w:hAnsi="Calibri"/>
          <w:sz w:val="23"/>
          <w:szCs w:val="23"/>
          <w:highlight w:val="yellow"/>
          <w:rtl w:val="0"/>
        </w:rPr>
        <w:t xml:space="preserve"> [bude doplněno]</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43">
      <w:pPr>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 případě, že daňový doklad vystavený společností CITYA nebude mít náležitosti stanovené českými právními předpisy účinnými ke dni jejího vystavení, vrátí Dopravce daňový doklad společnosti CITYA v odpovědi na e-mail, ze kterého byl tento Dopravci doručen, s upozorněním na zjištěné nedostatky; po dobu odstraňování nedostatků daňového dokladu společností CITYA neběží doba splatnosti příslušné Odměny, neboť se má za to, že daňový doklad společnosti CITYA nebyl Dopravci doručen. </w:t>
      </w:r>
    </w:p>
    <w:p w:rsidR="00000000" w:rsidDel="00000000" w:rsidP="00000000" w:rsidRDefault="00000000" w:rsidRPr="00000000" w14:paraId="00000044">
      <w:pPr>
        <w:numPr>
          <w:ilvl w:val="0"/>
          <w:numId w:val="13"/>
        </w:numPr>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PRÁVA A POVINNOSTI SMLUVNÍCH STRAN</w:t>
      </w:r>
    </w:p>
    <w:p w:rsidR="00000000" w:rsidDel="00000000" w:rsidP="00000000" w:rsidRDefault="00000000" w:rsidRPr="00000000" w14:paraId="00000045">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jsou povinny poskytovat si navzájem veškeré informace potřebné pro řádné plnění této Smlouvy, zejména oznamovat všechny okolnosti či skutečnosti, které mohou mít vliv na změnu předmětu či Účelu této Smlouvy.</w:t>
      </w:r>
    </w:p>
    <w:p w:rsidR="00000000" w:rsidDel="00000000" w:rsidP="00000000" w:rsidRDefault="00000000" w:rsidRPr="00000000" w14:paraId="00000046">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Dopravce je povinen poskytovat společnosti CITYA veškerou potřebnou součinnost, zejména se zavazuje předávat včas společnosti CITYA veškeré nezbytné a účelné informace a podklady, které společnost CITYA potřebuje nebo může potřebovat k plnění svých závazků z této Smlouvy. Případné prodlení Dopravce s poskytnutím součinnosti a podkladů vylučuje vznik prodlení společnosti CITYA s plněním jejích závazků z této Smlouvy. </w:t>
      </w:r>
    </w:p>
    <w:p w:rsidR="00000000" w:rsidDel="00000000" w:rsidP="00000000" w:rsidRDefault="00000000" w:rsidRPr="00000000" w14:paraId="00000047">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vzájemně zavazují spolupracovat při naplňování Účelu této Smlouvy, a v této souvislosti zejména vyvíjet aktivitu směřující k odstranění případných komplikací způsobených vnějšími či vnitřními vlivy (změna legislativních požadavků či tržního prostředí).</w:t>
      </w:r>
    </w:p>
    <w:p w:rsidR="00000000" w:rsidDel="00000000" w:rsidP="00000000" w:rsidRDefault="00000000" w:rsidRPr="00000000" w14:paraId="00000048">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Bude-li k naplnění Účelu této Smlouvy potřeba, aby si Smluvní strany poskytovaly produkty či služby za úplatu, zejména, nikoli však výlučně v oblasti propagace, servisních služeb, či např. požadavků Dopravce na hlubší integraci Platformy s Elektronickými systémy dopravce, kdy Smluvní strany výslovně předpokládají předchozí provedení SWAT analýzy, uzavřou vždy samostatné smlouvy o poskytování takových produktů či služeb. </w:t>
      </w:r>
    </w:p>
    <w:p w:rsidR="00000000" w:rsidDel="00000000" w:rsidP="00000000" w:rsidRDefault="00000000" w:rsidRPr="00000000" w14:paraId="00000049">
      <w:pPr>
        <w:widowControl w:val="1"/>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dohodly, že každá ze Smluvních stran může dle vlastního uvážení předkládat návrhy na nové funkce a služby poskytované v Platformě. Smluvní strany se zavazují takový návrh společně posoudit a v případě, že se shodnou na jeho implementaci, vyjednají také dle povahy nových funkcí, zda a jak se budou podílet na implementačních nákladech.</w:t>
      </w:r>
    </w:p>
    <w:p w:rsidR="00000000" w:rsidDel="00000000" w:rsidP="00000000" w:rsidRDefault="00000000" w:rsidRPr="00000000" w14:paraId="0000004A">
      <w:pPr>
        <w:numPr>
          <w:ilvl w:val="0"/>
          <w:numId w:val="13"/>
        </w:numPr>
        <w:tabs>
          <w:tab w:val="left" w:leader="none" w:pos="-1440"/>
        </w:tabs>
        <w:spacing w:after="120" w:before="240" w:line="276" w:lineRule="auto"/>
        <w:ind w:left="567" w:hanging="567"/>
        <w:jc w:val="both"/>
        <w:rPr>
          <w:rFonts w:ascii="Calibri" w:cs="Calibri" w:eastAsia="Calibri" w:hAnsi="Calibri"/>
          <w:b w:val="1"/>
          <w:bCs w:val="1"/>
          <w:smallCaps w:val="1"/>
          <w:sz w:val="23"/>
          <w:szCs w:val="23"/>
        </w:rPr>
      </w:pPr>
      <w:r w:rsidDel="00000000" w:rsidR="00000000" w:rsidRPr="00000000">
        <w:rPr>
          <w:rFonts w:ascii="Calibri" w:cs="Calibri" w:eastAsia="Calibri" w:hAnsi="Calibri"/>
          <w:b w:val="1"/>
          <w:bCs w:val="1"/>
          <w:smallCaps w:val="1"/>
          <w:sz w:val="23"/>
          <w:szCs w:val="23"/>
          <w:rtl w:val="0"/>
        </w:rPr>
        <w:t xml:space="preserve">PROHLÁŠENÍ SMLUVNÍCH STRAN</w:t>
      </w:r>
    </w:p>
    <w:p w:rsidR="00000000" w:rsidDel="00000000" w:rsidP="00000000" w:rsidRDefault="00000000" w:rsidRPr="00000000" w14:paraId="0000004B">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prohlašují, že jsou oprávněny v souladu s právními předpisy České republiky Smlouvu uzavřít a plnit své závazky z ní vyplývající, a současně že uzavřením Smlouvy a plněním závazků z ní vyplývajících nedojde k porušení povinností stanovených účinnými právními předpisy, rozhodnutím soudu, rozhodčího orgánu či státního orgánu, vnitřními předpisy Smluvních stran či jakýmkoliv právním jednáním, kterým je Smluvní strana vázána.</w:t>
      </w:r>
    </w:p>
    <w:p w:rsidR="00000000" w:rsidDel="00000000" w:rsidP="00000000" w:rsidRDefault="00000000" w:rsidRPr="00000000" w14:paraId="0000004C">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zavazují, že učiní všechna opatření k tomu, aby se nedopustily ony a ani nikdo z jejich zaměstnanců či zástupců jakékoliv formy korupčního jednání, zejména jednání, které by mohlo být vnímáno jako přijetí úplatku, podplácení nebo nepřímé úplatkářství či jiný trestný čin spojený s korupcí dle zákona č. 40/2009 Sb., trestní zákoník, ve znění pozdějších předpisů.</w:t>
      </w:r>
    </w:p>
    <w:p w:rsidR="00000000" w:rsidDel="00000000" w:rsidP="00000000" w:rsidRDefault="00000000" w:rsidRPr="00000000" w14:paraId="0000004D">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 souvislosti s podnikáním svým nebo jiného. Úplatkem se přitom rozumí neoprávněná výhoda spočívající v přímém majetkovém obohacení nebo jiném zvýhodnění, které se dostává nebo má dostat uplácené osobě nebo s jejím souhlasem jiné osobě, a na kterou není nárok.</w:t>
      </w:r>
    </w:p>
    <w:p w:rsidR="00000000" w:rsidDel="00000000" w:rsidP="00000000" w:rsidRDefault="00000000" w:rsidRPr="00000000" w14:paraId="0000004E">
      <w:pPr>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nebudou ani u svých obchodních partnerů tolerovat jakoukoliv formu korupce či uplácení.</w:t>
      </w:r>
    </w:p>
    <w:p w:rsidR="00000000" w:rsidDel="00000000" w:rsidP="00000000" w:rsidRDefault="00000000" w:rsidRPr="00000000" w14:paraId="0000004F">
      <w:pPr>
        <w:numPr>
          <w:ilvl w:val="0"/>
          <w:numId w:val="13"/>
        </w:numPr>
        <w:tabs>
          <w:tab w:val="left" w:leader="none" w:pos="-1440"/>
        </w:tabs>
        <w:spacing w:after="120" w:before="240" w:line="276" w:lineRule="auto"/>
        <w:ind w:left="567" w:hanging="567"/>
        <w:jc w:val="both"/>
        <w:rPr>
          <w:rFonts w:ascii="Calibri" w:cs="Calibri" w:eastAsia="Calibri" w:hAnsi="Calibri"/>
          <w:b w:val="1"/>
          <w:bCs w:val="1"/>
          <w:smallCaps w:val="1"/>
          <w:sz w:val="23"/>
          <w:szCs w:val="23"/>
        </w:rPr>
      </w:pPr>
      <w:r w:rsidDel="00000000" w:rsidR="00000000" w:rsidRPr="00000000">
        <w:rPr>
          <w:rFonts w:ascii="Calibri" w:cs="Calibri" w:eastAsia="Calibri" w:hAnsi="Calibri"/>
          <w:b w:val="1"/>
          <w:bCs w:val="1"/>
          <w:sz w:val="23"/>
          <w:szCs w:val="23"/>
          <w:rtl w:val="0"/>
        </w:rPr>
        <w:t xml:space="preserve">ZACHOVÁNÍ DŮVĚRNÉHO CHARAKTERU INFORMACÍ</w:t>
      </w:r>
      <w:r w:rsidDel="00000000" w:rsidR="00000000" w:rsidRPr="00000000">
        <w:rPr>
          <w:rtl w:val="0"/>
        </w:rPr>
      </w:r>
    </w:p>
    <w:p w:rsidR="00000000" w:rsidDel="00000000" w:rsidP="00000000" w:rsidRDefault="00000000" w:rsidRPr="00000000" w14:paraId="00000050">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Informace důvěrného charakteru, které jedna Smluvní strana získá a/nebo se jakkoli jinak dozví v souvislosti anebo na základě této Smlouvy, či označí-li je druhá Smluvní strana později výslovně za důvěrné, tvoří zejména, nikoli však výlučně, obchodní tajemství Smluvních stran a jejich obchodních partnerů, know-how, jakož i další informace, které jsou v tomto článku 8. této Smlouvy dále podrobně definovány (dále jen „</w:t>
      </w:r>
      <w:r w:rsidDel="00000000" w:rsidR="00000000" w:rsidRPr="00000000">
        <w:rPr>
          <w:rFonts w:ascii="Calibri" w:cs="Calibri" w:eastAsia="Calibri" w:hAnsi="Calibri"/>
          <w:b w:val="1"/>
          <w:bCs w:val="1"/>
          <w:sz w:val="23"/>
          <w:szCs w:val="23"/>
          <w:rtl w:val="0"/>
        </w:rPr>
        <w:t xml:space="preserve">Důvěrné informace</w:t>
      </w:r>
      <w:r w:rsidDel="00000000" w:rsidR="00000000" w:rsidRPr="00000000">
        <w:rPr>
          <w:rFonts w:ascii="Calibri" w:cs="Calibri" w:eastAsia="Calibri" w:hAnsi="Calibri"/>
          <w:sz w:val="23"/>
          <w:szCs w:val="23"/>
          <w:rtl w:val="0"/>
        </w:rPr>
        <w:t xml:space="preserve">”). Smluvní strany potvrzují a respektují skutečnost, že takto odhalované Důvěrné informace představují pro druhou Smluvní stranu veškeré skutečnosti obchodní či technické povahy nebo jiné znalosti týkající se druhé Smluvní strany, související s předmětem její činnosti, které mají skutečnou nebo alespoň potenciální materiální či nemateriální hodnotu, přičemž jde o Důvěrné informace, které byly, jsou a budou uvolněny jednou Smluvní stranou bez dalšího k aplikaci druhé Smluvní straně, která se o ně nijak nezasloužila. </w:t>
      </w:r>
    </w:p>
    <w:p w:rsidR="00000000" w:rsidDel="00000000" w:rsidP="00000000" w:rsidRDefault="00000000" w:rsidRPr="00000000" w14:paraId="00000051">
      <w:pPr>
        <w:tabs>
          <w:tab w:val="left" w:leader="none" w:pos="-1440"/>
        </w:tabs>
        <w:spacing w:after="120" w:line="276" w:lineRule="auto"/>
        <w:ind w:left="567" w:firstLine="0"/>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Součástí Důvěrných informací je know-how („vědět-jak“), tzn. návod popisující informační předpoklady a znalosti pro určitou činnost – nejčastěji funkcionality Platformy a plán obchodní strategie definující postup budování, udržování a rozšiřování vztahů s obchodními partnery. Know-how v sobě zahrnuje Platformu a systém vytváření a udržování kontaktů s obchodními partnery i dalšími zapojenými osobami, znalosti a dlouhodobé zkušenosti s těmito určitými procesy, a dále poznatky a zkušenosti z oblasti řízení, podnikání, obchodu, marketingu atp. Součástí know-how je prakticky vše, co není nebo nemůže být předmětem průmyslových nebo autorských práv, avšak pro firmu má tržní hodnotu a cenu a může se tak stát předmětem hospodářské a obchodní činnosti. Know-how vždy představuje ekonomickou hodnotu, která náleží tomu, kdo je vyvinul nebo oprávněně získal. Know-how je chráněno jeho důsledným utajováním, dále v rámci postihu nekalé soutěže nebo pro porušení obchodního tajemství, a to jak v rovině majetkoprávní, tak i trestněprávní. Součástí Důvěrných informací jsou taktéž informace a skutečnosti, např. organizační, obchodní, finanční nebo jiné povahy, které mohou být důvěrnými informacemi jedné Smluvní strany nebo mohou tvořit její obchodní tajemství nebo mohou jinak ovlivnit konkurenceschopnost nebo hospodaření jedné Smluvní strany, a které nejsou veřejně známé a dostupné bez omezení. Všechny takové informace jsou pro účely této Smlouvy zahrnuty pod společný pojem Důvěrné informace. </w:t>
      </w:r>
    </w:p>
    <w:p w:rsidR="00000000" w:rsidDel="00000000" w:rsidP="00000000" w:rsidRDefault="00000000" w:rsidRPr="00000000" w14:paraId="00000052">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Důvěrnými informacemi pro účely této Smlouvy nejsou nebo přestávají být (i) informace, které byly v době, kdy byly druhé Smluvní straně poskytnuty, veřejně známé nebo veřejně dostupné; (ii) informace, které se stanou veřejně známými nebo veřejně dostupnými poté, co byly druhé Smluvní straně poskytnuty, s výjimkou případů, kdy se tyto informace stanou veřejně známými nebo veřejně dostupnými v důsledku porušení závazků druhé Smluvní strany podle této Smlouvy; (iii) informace, které byly druhé Smluvní straně prokazatelně známé před jejich poskytnutím, a nebyly součástí jakýchkoli dohod o zachování důvěrnosti informací; (iv) informace, získané od nezávislé třetí osoby, která tyto informace získala v souladu se zákonem a není vázána žádnou povinností uchovat tyto informace v tajnosti či  je oprávněna k jejich poskytování.</w:t>
      </w:r>
    </w:p>
    <w:p w:rsidR="00000000" w:rsidDel="00000000" w:rsidP="00000000" w:rsidRDefault="00000000" w:rsidRPr="00000000" w14:paraId="00000053">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Každá ze Smluvních stran samostatně se zavazuje, že (i) bude uchovávat Důvěrné Informace v důvěrnosti a neposkytne Důvěrné informace či jakoukoli jejich část jakékoliv další osobě, pokud nebude mít k poskytnutí Důvěrné informace předchozí písemný souhlas druhé Smluvní strany; (ii) učiní veškerá opatření nezbytná k tomu, aby nedošlo k vyzrazení Důvěrných informací, jakož i k možnosti neoprávněného přístupu k jakýmkoliv Důvěrným informacím nebo k jejich použití další osobou; (iii) neučiní vůči dalším osobám žádné prohlášení týkající se obsahu správnosti nebo jiných aspektů Důvěrných informací; (iv) nepoužije Důvěrné informace k vlastním jakýmkoli jiným účelům, pouze v souvislosti se Službami/Podnikatelskou činností, zejména tyto Důvěrné informace nepoužije ke své vlastní podnikatelské, investiční nebo jiné činnosti. Pokud se Smluvní strana dozví o jakékoli skutečnosti, jež představuje nebo je způsobilá představovat porušení jakýchkoli jejích závazků vyplývajících z této Smlouvy, zejména že došlo nebo mohlo dojít k prozrazení Důvěrných informací, oznámí to písemně bezodkladně druhé Smluvní straně, a aniž by tím byla dotčena jakákoliv práva nebo prostředky právní ochrany dotčené Smluvní strany, učiní taková opatření, která jsou nezbytná k odstranění nebo zmírnění následků takového skutečného nebo hrozícího porušení.</w:t>
      </w:r>
    </w:p>
    <w:p w:rsidR="00000000" w:rsidDel="00000000" w:rsidP="00000000" w:rsidRDefault="00000000" w:rsidRPr="00000000" w14:paraId="00000054">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Poskytnutí Důvěrných informací oprávněným osobám na základě obecně závazných právních předpisů, soudního rozhodnutí či správního orgánu či regulátora není porušením této Smlouvy. Bude-li však Smluvní strana povinna poskytnout Důvěrné informace z toho důvodu, je povinna tuto skutečnost, včetně uvedení všech relevantních informací o povaze a adresátovi takového poskytnutí, bezodkladně písemně oznámit druhé Smluvní straně. </w:t>
      </w:r>
    </w:p>
    <w:p w:rsidR="00000000" w:rsidDel="00000000" w:rsidP="00000000" w:rsidRDefault="00000000" w:rsidRPr="00000000" w14:paraId="00000055">
      <w:pPr>
        <w:numPr>
          <w:ilvl w:val="1"/>
          <w:numId w:val="13"/>
        </w:numPr>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Dopravce bere na vědomí, že jakékoli porušení jakýchkoli povinností vyplývajících pro něj z tohoto článku 8. této Smlouvy může společnosti CITYA způsobit nenapravitelnou újmu a/nebo způsobit vznik škody. Odpovědnost za škodu se řídí Občanským zákoníkem.</w:t>
      </w:r>
    </w:p>
    <w:p w:rsidR="00000000" w:rsidDel="00000000" w:rsidP="00000000" w:rsidRDefault="00000000" w:rsidRPr="00000000" w14:paraId="00000056">
      <w:pPr>
        <w:numPr>
          <w:ilvl w:val="0"/>
          <w:numId w:val="13"/>
        </w:numPr>
        <w:tabs>
          <w:tab w:val="left" w:leader="none" w:pos="-1440"/>
        </w:tabs>
        <w:spacing w:after="120" w:before="240" w:line="276" w:lineRule="auto"/>
        <w:ind w:left="567" w:hanging="567"/>
        <w:jc w:val="both"/>
        <w:rPr>
          <w:rFonts w:ascii="Calibri" w:cs="Calibri" w:eastAsia="Calibri" w:hAnsi="Calibri"/>
          <w:b w:val="1"/>
          <w:bCs w:val="1"/>
          <w:smallCaps w:val="1"/>
          <w:sz w:val="23"/>
          <w:szCs w:val="23"/>
        </w:rPr>
      </w:pPr>
      <w:r w:rsidDel="00000000" w:rsidR="00000000" w:rsidRPr="00000000">
        <w:rPr>
          <w:rFonts w:ascii="Calibri" w:cs="Calibri" w:eastAsia="Calibri" w:hAnsi="Calibri"/>
          <w:b w:val="1"/>
          <w:bCs w:val="1"/>
          <w:smallCaps w:val="1"/>
          <w:sz w:val="23"/>
          <w:szCs w:val="23"/>
          <w:rtl w:val="0"/>
        </w:rPr>
        <w:t xml:space="preserve">OCHRANA OSOBNÍCH ÚDAJŮ</w:t>
      </w:r>
    </w:p>
    <w:p w:rsidR="00000000" w:rsidDel="00000000" w:rsidP="00000000" w:rsidRDefault="00000000" w:rsidRPr="00000000" w14:paraId="00000057">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se jakožto zpracovatel osobních údajů zákazníků, obchodních partnerů a spolupracovníků Dopravce, které jí budou na základě této Smlouvy ze strany Dopravce poskytnuty, zavazuje, že bude tyto osobní údaje zpracovávat v souladu s právními předpisy, především s Nařízením Evropského parlamentu a Rady (EU) 2016/679 ze dne 27. dubna 2016 o ochraně fyzických osob v souvislosti se zpracováním osobních údajů.</w:t>
      </w:r>
    </w:p>
    <w:p w:rsidR="00000000" w:rsidDel="00000000" w:rsidP="00000000" w:rsidRDefault="00000000" w:rsidRPr="00000000" w14:paraId="00000058">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Osobní údaje zákazníků, obchodních partnerů a spolupracovníků Dopravce společnost CITYA zpracovává z právního důvodu, kterým je plnění uzavřené smlouvy, tedy poskytování Licence. Poskytnuté informace jsou předpokladem nezbytným pro uzavření a plnění této Smlouvy; důsledkem případného neposkytnutí osobních údajů je nemožnost poskytování Licence.</w:t>
      </w:r>
    </w:p>
    <w:p w:rsidR="00000000" w:rsidDel="00000000" w:rsidP="00000000" w:rsidRDefault="00000000" w:rsidRPr="00000000" w14:paraId="00000059">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se zavazuje dodržovat všechny povinnosti, které pro ni vyplývají z právních předpisů o ochraně osobních údajů, jakož i z interních předpisů či rozhodnutí nebo doporučení vydaných příslušným orgánem státní správy, a to včetně budoucích. Společnost CITYA se dále zavazuje nezpracovávat osobní údaje získané za účelem plnění Smlouvy pro své vlastní účely. Smluvní strany se zavazují poskytnout si součinnost v případě uplatnění práv subjektů osobních údajů, a to zejména s právem na přístup, výmaz, opravu, omezení, přenositelnost nebo vznést námitku.</w:t>
      </w:r>
    </w:p>
    <w:p w:rsidR="00000000" w:rsidDel="00000000" w:rsidP="00000000" w:rsidRDefault="00000000" w:rsidRPr="00000000" w14:paraId="0000005A">
      <w:pPr>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Společnost CITYA se zavazuje přijmout a udržovat potřebná technická a organizační opatření tak, aby nemohlo dojít k neoprávněnému nebo nahodilému přístupu k osobním údajům, k jejich změně, zničení či ztrátě, neoprávněným přenosům, k jejich neoprávněnému zpracování, jakož i k jinému zneužití osobních údajů. Ke zpracovávaným osobním údajům budou mít přístup pouze oprávněné osoby, které budou předem prokazatelně seznámeny s povahou osobních údajů, rozsahem a účelem jejich zpracování.</w:t>
      </w:r>
    </w:p>
    <w:p w:rsidR="00000000" w:rsidDel="00000000" w:rsidP="00000000" w:rsidRDefault="00000000" w:rsidRPr="00000000" w14:paraId="0000005B">
      <w:pPr>
        <w:numPr>
          <w:ilvl w:val="0"/>
          <w:numId w:val="13"/>
        </w:numPr>
        <w:tabs>
          <w:tab w:val="left" w:leader="none" w:pos="-1440"/>
        </w:tabs>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OZNÁMENÍ</w:t>
      </w:r>
    </w:p>
    <w:p w:rsidR="00000000" w:rsidDel="00000000" w:rsidP="00000000" w:rsidRDefault="00000000" w:rsidRPr="00000000" w14:paraId="0000005C">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dohodly, že veškeré písemnosti zakládající vznik, změnu nebo zánik práv a povinností na základě anebo v souvislosti s touto Smlouvou anebo její ukončení („</w:t>
      </w:r>
      <w:r w:rsidDel="00000000" w:rsidR="00000000" w:rsidRPr="00000000">
        <w:rPr>
          <w:rFonts w:ascii="Calibri" w:cs="Calibri" w:eastAsia="Calibri" w:hAnsi="Calibri"/>
          <w:b w:val="1"/>
          <w:bCs w:val="1"/>
          <w:sz w:val="23"/>
          <w:szCs w:val="23"/>
          <w:rtl w:val="0"/>
        </w:rPr>
        <w:t xml:space="preserve">Písemnost</w:t>
      </w:r>
      <w:r w:rsidDel="00000000" w:rsidR="00000000" w:rsidRPr="00000000">
        <w:rPr>
          <w:rFonts w:ascii="Calibri" w:cs="Calibri" w:eastAsia="Calibri" w:hAnsi="Calibri"/>
          <w:sz w:val="23"/>
          <w:szCs w:val="23"/>
          <w:rtl w:val="0"/>
        </w:rPr>
        <w:t xml:space="preserve">“) budou mezi nimi doručovány datovou schránkou. Pravidla doručování Písemností datovou schránkou se řídí platnou právní úpravou. </w:t>
      </w:r>
    </w:p>
    <w:p w:rsidR="00000000" w:rsidDel="00000000" w:rsidP="00000000" w:rsidRDefault="00000000" w:rsidRPr="00000000" w14:paraId="0000005D">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 případě, že postup sjednaný v odst. 9.1. shora nebude možný (např. datová schránka Smluvní strany nebude aktivní pro příjem soukromých datových zpráv), budou Písemnosti specifikované v předchozí větě mezi Smluvními stranami doručovány písemně; Písemnost bude považována za řádně danou či učiněnou, bude-li doručena osobně proti potvrzení nebo doporučeným dopisem na adresu Smluvní strany uvedenou v záhlaví této Smlouvy nebo na takovou jinou adresu, kterou tato Smluvní strana určí v oznámení zaslaném způsobem v tomto odstavci uvedeným. Smluvní strany se zavazují neprodleně si sdělit změny jakýchkoli doručovacích údajů uvedených v tomto článku bez povinnosti uzavřít dodatek k této Smlouvě; to platí přiměřeně také pro změnu Kontaktní osoby CITYA a/nebo Kontaktní osoby Dopravce. Pokud adresát odmítne převzetí Písemnosti, má se za to, že Písemnost byla řádně doručená v okamžiku odmítnutí jejího převzetí. Pokud nebyl adresát při osobním doručení zastižen, bude provedeno doručení prostřednictvím pošty. Nebyla-li Smluvní strana jako adresát Písemnosti, která má být doručena do vlastních rukou, zastižena, Písemnost se uloží a adresát se vhodným způsobem vyzve, aby si Písemnost vyzvedl. Nevyzvedne-li si adresát zásilku do deseti dnů od uložení, považuje se poslední den této lhůty za den doručení, i když se adresát o uložení nedozvěděl. Výše uvedené platí bez ohledu na to, zda se příslušná Smluvní strana skutečně zdržuje či nachází v místě svého sídla, které bylo uvedeno jako místo pro doručování.</w:t>
      </w:r>
    </w:p>
    <w:p w:rsidR="00000000" w:rsidDel="00000000" w:rsidP="00000000" w:rsidRDefault="00000000" w:rsidRPr="00000000" w14:paraId="0000005E">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zavazují k maximální míře vzájemné součinnosti, která povede ke zdárnému plnění této Smlouvy a jejího Účelu. V této souvislosti se obě Smluvní strany zavazují se navzájem bez zbytečného odkladu informovat o všech relevantních skutečnostech, které se týkají konkrétního průběhu poskytování Licence, a konzultovat společně veškeré skutečnosti, které mohou mít zásadní dopad na jejich průběh a výsledek.</w:t>
      </w:r>
    </w:p>
    <w:p w:rsidR="00000000" w:rsidDel="00000000" w:rsidP="00000000" w:rsidRDefault="00000000" w:rsidRPr="00000000" w14:paraId="0000005F">
      <w:pPr>
        <w:widowControl w:val="1"/>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prohlašují, že pro účely operativní komunikace, která nemá charakter Písemnosti, ustanovují své zmocněnce oprávněné jednat v záležitostech týkajících se plnění této Smlouvy za Smluvní strany, což zejména znamená schvalovat dílčí kroky v rámci poskytování Služeb, které jsou blíže specifikovány v záhlaví této Smlouvy. Smluvní strany jsou povinny udržovat své Kontaktní osoby v potřebné pohotovosti a zajistit, že telefonní a e-mailové spojení shora uvedené bude po celou dobu trvání této Smlouvy plně funkční.</w:t>
      </w:r>
    </w:p>
    <w:p w:rsidR="00000000" w:rsidDel="00000000" w:rsidP="00000000" w:rsidRDefault="00000000" w:rsidRPr="00000000" w14:paraId="00000060">
      <w:pPr>
        <w:numPr>
          <w:ilvl w:val="0"/>
          <w:numId w:val="13"/>
        </w:numPr>
        <w:tabs>
          <w:tab w:val="left" w:leader="none" w:pos="-1440"/>
        </w:tabs>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TRVÁNÍ SMLOUVY</w:t>
      </w:r>
    </w:p>
    <w:p w:rsidR="00000000" w:rsidDel="00000000" w:rsidP="00000000" w:rsidRDefault="00000000" w:rsidRPr="00000000" w14:paraId="00000061">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Tato Smlouva je uzavřena na dobu určitou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měsíců počínaje ode dne nabytí účinnosti této Smlouvy. </w:t>
      </w:r>
    </w:p>
    <w:p w:rsidR="00000000" w:rsidDel="00000000" w:rsidP="00000000" w:rsidRDefault="00000000" w:rsidRPr="00000000" w14:paraId="00000062">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dohodly, že v posledním kalendářním měsíci sjednané doby trvání této Smlouvy provedou společně vyhodnocení vzájemné spolupráce na základě Smlouvy, tj. zejména zda je naplňován Účel Smlouvy a očekávání Smluvních stran, a v případě oboustranného zájmu uzavřou písemný dodatek ke Smlouvě, kterým prodlouží dobu jejího trvání o dalších </w:t>
      </w:r>
      <w:r w:rsidDel="00000000" w:rsidR="00000000" w:rsidRPr="00000000">
        <w:rPr>
          <w:rFonts w:ascii="Calibri" w:cs="Calibri" w:eastAsia="Calibri" w:hAnsi="Calibri"/>
          <w:sz w:val="23"/>
          <w:szCs w:val="23"/>
          <w:highlight w:val="yellow"/>
          <w:rtl w:val="0"/>
        </w:rPr>
        <w:t xml:space="preserve">[bude doplněno]</w:t>
      </w:r>
      <w:r w:rsidDel="00000000" w:rsidR="00000000" w:rsidRPr="00000000">
        <w:rPr>
          <w:rFonts w:ascii="Calibri" w:cs="Calibri" w:eastAsia="Calibri" w:hAnsi="Calibri"/>
          <w:sz w:val="23"/>
          <w:szCs w:val="23"/>
          <w:rtl w:val="0"/>
        </w:rPr>
        <w:t xml:space="preserve"> měsíců, případně se současně dohodnou na změně některých podmínek sjednaných v této Smlouvě. </w:t>
      </w:r>
    </w:p>
    <w:p w:rsidR="00000000" w:rsidDel="00000000" w:rsidP="00000000" w:rsidRDefault="00000000" w:rsidRPr="00000000" w14:paraId="00000063">
      <w:pPr>
        <w:widowControl w:val="1"/>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Tato Smlouva může být ukončena písemnou dohodou Smluvních stran anebo výpovědí. Kterákoli Smluvní strana je oprávněna vypovědět tuto Smlouvu písemnou výpovědí bez udání důvodu s tří měsíční výpovědní dobou, jejíž běh započne první den kalendářního měsíce následujícího po kalendářním měsíci, v němž bude výpověď doručena druhé Smluvní straně.</w:t>
      </w:r>
    </w:p>
    <w:p w:rsidR="00000000" w:rsidDel="00000000" w:rsidP="00000000" w:rsidRDefault="00000000" w:rsidRPr="00000000" w14:paraId="00000064">
      <w:pPr>
        <w:widowControl w:val="1"/>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Zánikem této Smlouvy z jakéhokoli důvodu nejsou dotčena ta její ustanovení, z jejichž smyslu vyplývá, že mají Smluvní strany zavazovat na delší dobu nebo po neomezeně dlouhou dobu.</w:t>
      </w:r>
    </w:p>
    <w:p w:rsidR="00000000" w:rsidDel="00000000" w:rsidP="00000000" w:rsidRDefault="00000000" w:rsidRPr="00000000" w14:paraId="00000065">
      <w:pPr>
        <w:numPr>
          <w:ilvl w:val="0"/>
          <w:numId w:val="13"/>
        </w:numPr>
        <w:tabs>
          <w:tab w:val="left" w:leader="none" w:pos="-1440"/>
        </w:tabs>
        <w:spacing w:after="120" w:before="240" w:line="276" w:lineRule="auto"/>
        <w:ind w:left="567" w:hanging="567"/>
        <w:jc w:val="both"/>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SPOLEČNÁ A ZÁVĚREČNÁ USTANOVENÍ</w:t>
      </w:r>
    </w:p>
    <w:p w:rsidR="00000000" w:rsidDel="00000000" w:rsidP="00000000" w:rsidRDefault="00000000" w:rsidRPr="00000000" w14:paraId="00000066">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Tato Smlouva tvoří úplnou dohodu mezi Smluvními stranami ohledně předmětu a Účelu této Smlouvy a nahrazuje veškeré předchozí rozhovory, jednání a dohody mezi Smluvními stranami týkající se předmětu či Účelu této Smlouvy. Žádný projev Smluvních stran učiněný při jednání o této Smlouvě ani projev učiněný po uzavření této Smlouvy nesmí být vykládán v rozporu s výslovnými ustanoveními této Smlouvy.</w:t>
      </w:r>
    </w:p>
    <w:p w:rsidR="00000000" w:rsidDel="00000000" w:rsidP="00000000" w:rsidRDefault="00000000" w:rsidRPr="00000000" w14:paraId="00000067">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zavazují vyřešit přednostně smírem veškeré a jakékoliv spory či nesrovnalosti vzniklé z této Smlouvy či v souvislosti s ní. Pokud by Smluvní strany v přiměřené lhůtě, jež však nebude delší než třicet kalendářních dnů ode dne, kdy kterákoli ze Smluvních stran písemně informovala druhou Smluvní stranu o vzniku sporu a požádala o smírné řešení takovéhoto sporu, jakékoliv spory či nesrovnalosti nevyřešily smírem, budou tyto spory či nesrovnalosti (včetně zejména sporů o uzavření této Smlouvy, o její platnosti a o právech s ní souvisejících) s konečnou platností vyřešeny příslušným obecným soudem. </w:t>
      </w:r>
    </w:p>
    <w:p w:rsidR="00000000" w:rsidDel="00000000" w:rsidP="00000000" w:rsidRDefault="00000000" w:rsidRPr="00000000" w14:paraId="00000068">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Tuto Smlouvu lze měnit pouze písemnými dodatky podepsaným oběma Smluvními stranami.</w:t>
      </w:r>
    </w:p>
    <w:p w:rsidR="00000000" w:rsidDel="00000000" w:rsidP="00000000" w:rsidRDefault="00000000" w:rsidRPr="00000000" w14:paraId="00000069">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Smluvní strany se dohodly, že právní vztahy vyplývající z této smlouvy se budou řídit právem České republiky.</w:t>
      </w:r>
    </w:p>
    <w:p w:rsidR="00000000" w:rsidDel="00000000" w:rsidP="00000000" w:rsidRDefault="00000000" w:rsidRPr="00000000" w14:paraId="0000006A">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Tato Smlouva je sepsána ve dvou vyhotoveních s platností originálu, z nichž každá Smluvní strana obdrží po jednom. </w:t>
      </w:r>
    </w:p>
    <w:p w:rsidR="00000000" w:rsidDel="00000000" w:rsidP="00000000" w:rsidRDefault="00000000" w:rsidRPr="00000000" w14:paraId="0000006B">
      <w:pPr>
        <w:numPr>
          <w:ilvl w:val="1"/>
          <w:numId w:val="13"/>
        </w:numPr>
        <w:tabs>
          <w:tab w:val="left" w:leader="none" w:pos="-1440"/>
        </w:tabs>
        <w:spacing w:after="12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Nedílnou součástí této Smlouvy tvoří její přílohy, a to konkrétně:</w:t>
      </w:r>
    </w:p>
    <w:p w:rsidR="00000000" w:rsidDel="00000000" w:rsidP="00000000" w:rsidRDefault="00000000" w:rsidRPr="00000000" w14:paraId="0000006C">
      <w:pPr>
        <w:tabs>
          <w:tab w:val="left" w:leader="none" w:pos="-1440"/>
        </w:tabs>
        <w:spacing w:after="120" w:line="276" w:lineRule="auto"/>
        <w:ind w:left="567" w:firstLine="0"/>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Příloha č. 1 - Specifikace Platformy</w:t>
      </w:r>
    </w:p>
    <w:p w:rsidR="00000000" w:rsidDel="00000000" w:rsidP="00000000" w:rsidRDefault="00000000" w:rsidRPr="00000000" w14:paraId="0000006D">
      <w:pPr>
        <w:tabs>
          <w:tab w:val="left" w:leader="none" w:pos="-1440"/>
        </w:tabs>
        <w:spacing w:after="120" w:line="276" w:lineRule="auto"/>
        <w:ind w:left="567" w:firstLine="0"/>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Příloha č. 2 - SLA</w:t>
      </w:r>
    </w:p>
    <w:p w:rsidR="00000000" w:rsidDel="00000000" w:rsidP="00000000" w:rsidRDefault="00000000" w:rsidRPr="00000000" w14:paraId="0000006E">
      <w:pPr>
        <w:tabs>
          <w:tab w:val="left" w:leader="none" w:pos="-1440"/>
        </w:tabs>
        <w:spacing w:after="120" w:line="276" w:lineRule="auto"/>
        <w:ind w:left="567" w:firstLine="0"/>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Příloha č. 3 - Grafická specifikace Oblasti</w:t>
      </w:r>
    </w:p>
    <w:p w:rsidR="00000000" w:rsidDel="00000000" w:rsidP="00000000" w:rsidRDefault="00000000" w:rsidRPr="00000000" w14:paraId="0000006F">
      <w:pPr>
        <w:tabs>
          <w:tab w:val="left" w:leader="none" w:pos="-1440"/>
        </w:tabs>
        <w:spacing w:after="120" w:line="276" w:lineRule="auto"/>
        <w:ind w:left="567" w:firstLine="0"/>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Příloha č. 4 - Tarifní sazby jízdného</w:t>
      </w:r>
    </w:p>
    <w:p w:rsidR="00000000" w:rsidDel="00000000" w:rsidP="00000000" w:rsidRDefault="00000000" w:rsidRPr="00000000" w14:paraId="00000070">
      <w:pPr>
        <w:numPr>
          <w:ilvl w:val="1"/>
          <w:numId w:val="13"/>
        </w:numPr>
        <w:tabs>
          <w:tab w:val="left" w:leader="none" w:pos="-1440"/>
        </w:tabs>
        <w:spacing w:after="360" w:line="276" w:lineRule="auto"/>
        <w:ind w:left="567" w:hanging="567"/>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Tato Smlouva vstupuje v platnost a nabývá účinnosti ke dni jejího podpisu oběma Smluvními stranami. </w:t>
      </w:r>
    </w:p>
    <w:p w:rsidR="00000000" w:rsidDel="00000000" w:rsidP="00000000" w:rsidRDefault="00000000" w:rsidRPr="00000000" w14:paraId="00000071">
      <w:pPr>
        <w:tabs>
          <w:tab w:val="left" w:leader="none" w:pos="-1440"/>
        </w:tabs>
        <w:spacing w:after="360" w:before="360" w:line="276" w:lineRule="auto"/>
        <w:jc w:val="both"/>
        <w:rPr>
          <w:rFonts w:ascii="Calibri" w:cs="Calibri" w:eastAsia="Calibri" w:hAnsi="Calibri"/>
          <w:i w:val="1"/>
          <w:iCs w:val="1"/>
          <w:sz w:val="23"/>
          <w:szCs w:val="23"/>
        </w:rPr>
      </w:pPr>
      <w:r w:rsidDel="00000000" w:rsidR="00000000" w:rsidRPr="00000000">
        <w:rPr>
          <w:rFonts w:ascii="Calibri" w:cs="Calibri" w:eastAsia="Calibri" w:hAnsi="Calibri"/>
          <w:i w:val="1"/>
          <w:iCs w:val="1"/>
          <w:sz w:val="23"/>
          <w:szCs w:val="23"/>
          <w:rtl w:val="0"/>
        </w:rPr>
        <w:t xml:space="preserve">NA DŮKAZ TOHO, že Smluvní strany s obsahem této Smlouvy souhlasí, rozumí jí a zavazují se k jejímu plnění, připojují své podpisy.</w:t>
      </w:r>
      <w:r w:rsidDel="00000000" w:rsidR="00000000" w:rsidRPr="00000000">
        <w:rPr>
          <w:rFonts w:ascii="Calibri" w:cs="Calibri" w:eastAsia="Calibri" w:hAnsi="Calibri"/>
          <w:sz w:val="23"/>
          <w:szCs w:val="23"/>
          <w:rtl w:val="0"/>
        </w:rPr>
        <w:tab/>
        <w:t xml:space="preserve">    </w:t>
      </w:r>
      <w:r w:rsidDel="00000000" w:rsidR="00000000" w:rsidRPr="00000000">
        <w:rPr>
          <w:rtl w:val="0"/>
        </w:rPr>
      </w:r>
    </w:p>
    <w:tbl>
      <w:tblPr>
        <w:tblStyle w:val="Table1"/>
        <w:tblW w:w="9072.0" w:type="dxa"/>
        <w:jc w:val="left"/>
        <w:tblLayout w:type="fixed"/>
        <w:tblLook w:val="0000"/>
      </w:tblPr>
      <w:tblGrid>
        <w:gridCol w:w="4678"/>
        <w:gridCol w:w="4394"/>
        <w:tblGridChange w:id="0">
          <w:tblGrid>
            <w:gridCol w:w="4678"/>
            <w:gridCol w:w="4394"/>
          </w:tblGrid>
        </w:tblGridChange>
      </w:tblGrid>
      <w:tr>
        <w:trPr>
          <w:cantSplit w:val="0"/>
          <w:tblHeader w:val="0"/>
        </w:trPr>
        <w:tc>
          <w:tcPr/>
          <w:p w:rsidR="00000000" w:rsidDel="00000000" w:rsidP="00000000" w:rsidRDefault="00000000" w:rsidRPr="00000000" w14:paraId="00000072">
            <w:pPr>
              <w:tabs>
                <w:tab w:val="left" w:leader="none" w:pos="-1440"/>
              </w:tabs>
              <w:spacing w:line="276"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Dopravce:</w:t>
            </w:r>
          </w:p>
          <w:p w:rsidR="00000000" w:rsidDel="00000000" w:rsidP="00000000" w:rsidRDefault="00000000" w:rsidRPr="00000000" w14:paraId="00000073">
            <w:pPr>
              <w:tabs>
                <w:tab w:val="left" w:leader="none" w:pos="-1440"/>
              </w:tabs>
              <w:spacing w:line="276" w:lineRule="auto"/>
              <w:jc w:val="both"/>
              <w:rPr>
                <w:rFonts w:ascii="Calibri" w:cs="Calibri" w:eastAsia="Calibri" w:hAnsi="Calibri"/>
                <w:sz w:val="23"/>
                <w:szCs w:val="23"/>
                <w:highlight w:val="yellow"/>
              </w:rPr>
            </w:pPr>
            <w:r w:rsidDel="00000000" w:rsidR="00000000" w:rsidRPr="00000000">
              <w:rPr>
                <w:rtl w:val="0"/>
              </w:rPr>
            </w:r>
          </w:p>
          <w:p w:rsidR="00000000" w:rsidDel="00000000" w:rsidP="00000000" w:rsidRDefault="00000000" w:rsidRPr="00000000" w14:paraId="00000074">
            <w:pPr>
              <w:spacing w:line="276" w:lineRule="auto"/>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5">
            <w:pPr>
              <w:spacing w:line="276" w:lineRule="auto"/>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6">
            <w:pPr>
              <w:spacing w:line="276"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____________________________________</w:t>
            </w:r>
          </w:p>
          <w:p w:rsidR="00000000" w:rsidDel="00000000" w:rsidP="00000000" w:rsidRDefault="00000000" w:rsidRPr="00000000" w14:paraId="00000077">
            <w:pPr>
              <w:spacing w:line="276" w:lineRule="auto"/>
              <w:rPr>
                <w:rFonts w:ascii="Calibri" w:cs="Calibri" w:eastAsia="Calibri" w:hAnsi="Calibri"/>
                <w:sz w:val="23"/>
                <w:szCs w:val="23"/>
              </w:rPr>
            </w:pPr>
            <w:r w:rsidDel="00000000" w:rsidR="00000000" w:rsidRPr="00000000">
              <w:rPr>
                <w:rFonts w:ascii="Calibri" w:cs="Calibri" w:eastAsia="Calibri" w:hAnsi="Calibri"/>
                <w:sz w:val="23"/>
                <w:szCs w:val="23"/>
                <w:highlight w:val="yellow"/>
                <w:rtl w:val="0"/>
              </w:rPr>
              <w:t xml:space="preserve">[název Dopravce]</w:t>
            </w:r>
            <w:r w:rsidDel="00000000" w:rsidR="00000000" w:rsidRPr="00000000">
              <w:rPr>
                <w:rtl w:val="0"/>
              </w:rPr>
            </w:r>
          </w:p>
          <w:p w:rsidR="00000000" w:rsidDel="00000000" w:rsidP="00000000" w:rsidRDefault="00000000" w:rsidRPr="00000000" w14:paraId="00000078">
            <w:pPr>
              <w:spacing w:after="120" w:line="276" w:lineRule="auto"/>
              <w:rPr>
                <w:rFonts w:ascii="Calibri" w:cs="Calibri" w:eastAsia="Calibri" w:hAnsi="Calibri"/>
                <w:sz w:val="23"/>
                <w:szCs w:val="23"/>
              </w:rPr>
            </w:pPr>
            <w:r w:rsidDel="00000000" w:rsidR="00000000" w:rsidRPr="00000000">
              <w:rPr>
                <w:rFonts w:ascii="Calibri" w:cs="Calibri" w:eastAsia="Calibri" w:hAnsi="Calibri"/>
                <w:sz w:val="23"/>
                <w:szCs w:val="23"/>
                <w:highlight w:val="yellow"/>
                <w:rtl w:val="0"/>
              </w:rPr>
              <w:t xml:space="preserve">[Jméno Příjmení]</w:t>
            </w:r>
            <w:r w:rsidDel="00000000" w:rsidR="00000000" w:rsidRPr="00000000">
              <w:rPr>
                <w:rFonts w:ascii="Calibri" w:cs="Calibri" w:eastAsia="Calibri" w:hAnsi="Calibri"/>
                <w:sz w:val="23"/>
                <w:szCs w:val="23"/>
                <w:rtl w:val="0"/>
              </w:rPr>
              <w:t xml:space="preserve">, </w:t>
            </w:r>
            <w:r w:rsidDel="00000000" w:rsidR="00000000" w:rsidRPr="00000000">
              <w:rPr>
                <w:rFonts w:ascii="Calibri" w:cs="Calibri" w:eastAsia="Calibri" w:hAnsi="Calibri"/>
                <w:sz w:val="23"/>
                <w:szCs w:val="23"/>
                <w:highlight w:val="yellow"/>
                <w:rtl w:val="0"/>
              </w:rPr>
              <w:t xml:space="preserve">[funkce]</w:t>
            </w:r>
            <w:r w:rsidDel="00000000" w:rsidR="00000000" w:rsidRPr="00000000">
              <w:rPr>
                <w:rtl w:val="0"/>
              </w:rPr>
            </w:r>
          </w:p>
          <w:p w:rsidR="00000000" w:rsidDel="00000000" w:rsidP="00000000" w:rsidRDefault="00000000" w:rsidRPr="00000000" w14:paraId="00000079">
            <w:pPr>
              <w:spacing w:line="276"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Datum:</w:t>
            </w:r>
          </w:p>
        </w:tc>
        <w:tc>
          <w:tcPr/>
          <w:p w:rsidR="00000000" w:rsidDel="00000000" w:rsidP="00000000" w:rsidRDefault="00000000" w:rsidRPr="00000000" w14:paraId="0000007A">
            <w:pPr>
              <w:spacing w:line="276"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CITYA:</w:t>
            </w:r>
          </w:p>
          <w:p w:rsidR="00000000" w:rsidDel="00000000" w:rsidP="00000000" w:rsidRDefault="00000000" w:rsidRPr="00000000" w14:paraId="0000007B">
            <w:pPr>
              <w:spacing w:line="276"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C">
            <w:pPr>
              <w:spacing w:line="276" w:lineRule="auto"/>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D">
            <w:pPr>
              <w:spacing w:line="276" w:lineRule="auto"/>
              <w:jc w:val="both"/>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E">
            <w:pPr>
              <w:spacing w:line="276" w:lineRule="auto"/>
              <w:jc w:val="both"/>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____________________________________</w:t>
            </w:r>
          </w:p>
          <w:p w:rsidR="00000000" w:rsidDel="00000000" w:rsidP="00000000" w:rsidRDefault="00000000" w:rsidRPr="00000000" w14:paraId="0000007F">
            <w:pPr>
              <w:spacing w:line="276"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CITYA mobility s.r.o.</w:t>
            </w:r>
          </w:p>
          <w:p w:rsidR="00000000" w:rsidDel="00000000" w:rsidP="00000000" w:rsidRDefault="00000000" w:rsidRPr="00000000" w14:paraId="00000080">
            <w:pPr>
              <w:spacing w:after="120" w:line="276"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Ing. Dalibor Kopel, jednatel</w:t>
            </w:r>
          </w:p>
          <w:p w:rsidR="00000000" w:rsidDel="00000000" w:rsidP="00000000" w:rsidRDefault="00000000" w:rsidRPr="00000000" w14:paraId="00000081">
            <w:pPr>
              <w:spacing w:line="276"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Datum: </w:t>
            </w:r>
          </w:p>
        </w:tc>
      </w:tr>
    </w:tbl>
    <w:p w:rsidR="00000000" w:rsidDel="00000000" w:rsidP="00000000" w:rsidRDefault="00000000" w:rsidRPr="00000000" w14:paraId="00000082">
      <w:pPr>
        <w:spacing w:line="276" w:lineRule="auto"/>
        <w:rPr/>
      </w:pPr>
      <w:r w:rsidDel="00000000" w:rsidR="00000000" w:rsidRPr="00000000">
        <w:rPr>
          <w:rtl w:val="0"/>
        </w:rPr>
      </w:r>
    </w:p>
    <w:p w:rsidR="00000000" w:rsidDel="00000000" w:rsidP="00000000" w:rsidRDefault="00000000" w:rsidRPr="00000000" w14:paraId="00000083">
      <w:pPr>
        <w:spacing w:line="276" w:lineRule="auto"/>
        <w:rPr/>
      </w:pPr>
      <w:r w:rsidDel="00000000" w:rsidR="00000000" w:rsidRPr="00000000">
        <w:rPr>
          <w:rtl w:val="0"/>
        </w:rPr>
      </w:r>
    </w:p>
    <w:p w:rsidR="00000000" w:rsidDel="00000000" w:rsidP="00000000" w:rsidRDefault="00000000" w:rsidRPr="00000000" w14:paraId="00000084">
      <w:pPr>
        <w:spacing w:line="276" w:lineRule="auto"/>
        <w:rPr/>
      </w:pPr>
      <w:r w:rsidDel="00000000" w:rsidR="00000000" w:rsidRPr="00000000">
        <w:rPr>
          <w:rtl w:val="0"/>
        </w:rPr>
      </w:r>
    </w:p>
    <w:p w:rsidR="00000000" w:rsidDel="00000000" w:rsidP="00000000" w:rsidRDefault="00000000" w:rsidRPr="00000000" w14:paraId="00000085">
      <w:pPr>
        <w:spacing w:line="276" w:lineRule="auto"/>
        <w:rPr/>
      </w:pPr>
      <w:r w:rsidDel="00000000" w:rsidR="00000000" w:rsidRPr="00000000">
        <w:rPr>
          <w:rtl w:val="0"/>
        </w:rPr>
      </w:r>
    </w:p>
    <w:p w:rsidR="00000000" w:rsidDel="00000000" w:rsidP="00000000" w:rsidRDefault="00000000" w:rsidRPr="00000000" w14:paraId="00000086">
      <w:pPr>
        <w:spacing w:line="276" w:lineRule="auto"/>
        <w:rPr/>
      </w:pPr>
      <w:r w:rsidDel="00000000" w:rsidR="00000000" w:rsidRPr="00000000">
        <w:rPr>
          <w:rtl w:val="0"/>
        </w:rPr>
      </w:r>
    </w:p>
    <w:p w:rsidR="00000000" w:rsidDel="00000000" w:rsidP="00000000" w:rsidRDefault="00000000" w:rsidRPr="00000000" w14:paraId="00000087">
      <w:pPr>
        <w:spacing w:line="276" w:lineRule="auto"/>
        <w:rPr/>
      </w:pPr>
      <w:r w:rsidDel="00000000" w:rsidR="00000000" w:rsidRPr="00000000">
        <w:rPr>
          <w:rtl w:val="0"/>
        </w:rPr>
      </w:r>
    </w:p>
    <w:p w:rsidR="00000000" w:rsidDel="00000000" w:rsidP="00000000" w:rsidRDefault="00000000" w:rsidRPr="00000000" w14:paraId="00000088">
      <w:pPr>
        <w:spacing w:line="276" w:lineRule="auto"/>
        <w:rPr/>
      </w:pPr>
      <w:r w:rsidDel="00000000" w:rsidR="00000000" w:rsidRPr="00000000">
        <w:rPr>
          <w:rtl w:val="0"/>
        </w:rPr>
      </w:r>
    </w:p>
    <w:p w:rsidR="00000000" w:rsidDel="00000000" w:rsidP="00000000" w:rsidRDefault="00000000" w:rsidRPr="00000000" w14:paraId="00000089">
      <w:pPr>
        <w:spacing w:line="276" w:lineRule="auto"/>
        <w:rPr/>
      </w:pPr>
      <w:r w:rsidDel="00000000" w:rsidR="00000000" w:rsidRPr="00000000">
        <w:rPr>
          <w:rtl w:val="0"/>
        </w:rPr>
      </w:r>
    </w:p>
    <w:p w:rsidR="00000000" w:rsidDel="00000000" w:rsidP="00000000" w:rsidRDefault="00000000" w:rsidRPr="00000000" w14:paraId="0000008A">
      <w:pPr>
        <w:spacing w:line="276" w:lineRule="auto"/>
        <w:rPr/>
      </w:pPr>
      <w:r w:rsidDel="00000000" w:rsidR="00000000" w:rsidRPr="00000000">
        <w:rPr>
          <w:rtl w:val="0"/>
        </w:rPr>
      </w:r>
    </w:p>
    <w:p w:rsidR="00000000" w:rsidDel="00000000" w:rsidP="00000000" w:rsidRDefault="00000000" w:rsidRPr="00000000" w14:paraId="0000008B">
      <w:pPr>
        <w:spacing w:line="276" w:lineRule="auto"/>
        <w:rPr/>
      </w:pPr>
      <w:r w:rsidDel="00000000" w:rsidR="00000000" w:rsidRPr="00000000">
        <w:rPr>
          <w:rtl w:val="0"/>
        </w:rPr>
      </w:r>
    </w:p>
    <w:p w:rsidR="00000000" w:rsidDel="00000000" w:rsidP="00000000" w:rsidRDefault="00000000" w:rsidRPr="00000000" w14:paraId="0000008C">
      <w:pPr>
        <w:spacing w:line="276" w:lineRule="auto"/>
        <w:rPr/>
      </w:pPr>
      <w:r w:rsidDel="00000000" w:rsidR="00000000" w:rsidRPr="00000000">
        <w:rPr>
          <w:rtl w:val="0"/>
        </w:rPr>
      </w:r>
    </w:p>
    <w:p w:rsidR="00000000" w:rsidDel="00000000" w:rsidP="00000000" w:rsidRDefault="00000000" w:rsidRPr="00000000" w14:paraId="0000008D">
      <w:pPr>
        <w:spacing w:line="276" w:lineRule="auto"/>
        <w:rPr/>
      </w:pPr>
      <w:r w:rsidDel="00000000" w:rsidR="00000000" w:rsidRPr="00000000">
        <w:rPr>
          <w:rtl w:val="0"/>
        </w:rPr>
      </w:r>
    </w:p>
    <w:p w:rsidR="00000000" w:rsidDel="00000000" w:rsidP="00000000" w:rsidRDefault="00000000" w:rsidRPr="00000000" w14:paraId="0000008E">
      <w:pPr>
        <w:spacing w:line="276" w:lineRule="auto"/>
        <w:rPr/>
      </w:pPr>
      <w:r w:rsidDel="00000000" w:rsidR="00000000" w:rsidRPr="00000000">
        <w:rPr>
          <w:rtl w:val="0"/>
        </w:rPr>
      </w:r>
    </w:p>
    <w:p w:rsidR="00000000" w:rsidDel="00000000" w:rsidP="00000000" w:rsidRDefault="00000000" w:rsidRPr="00000000" w14:paraId="0000008F">
      <w:pPr>
        <w:spacing w:line="276" w:lineRule="auto"/>
        <w:rPr/>
      </w:pPr>
      <w:r w:rsidDel="00000000" w:rsidR="00000000" w:rsidRPr="00000000">
        <w:rPr>
          <w:rtl w:val="0"/>
        </w:rPr>
      </w:r>
    </w:p>
    <w:p w:rsidR="00000000" w:rsidDel="00000000" w:rsidP="00000000" w:rsidRDefault="00000000" w:rsidRPr="00000000" w14:paraId="00000090">
      <w:pPr>
        <w:spacing w:line="276" w:lineRule="auto"/>
        <w:rPr/>
      </w:pPr>
      <w:r w:rsidDel="00000000" w:rsidR="00000000" w:rsidRPr="00000000">
        <w:rPr>
          <w:rtl w:val="0"/>
        </w:rPr>
      </w:r>
    </w:p>
    <w:p w:rsidR="00000000" w:rsidDel="00000000" w:rsidP="00000000" w:rsidRDefault="00000000" w:rsidRPr="00000000" w14:paraId="00000091">
      <w:pPr>
        <w:pStyle w:val="Heading1"/>
        <w:spacing w:line="276" w:lineRule="auto"/>
        <w:rPr>
          <w:rFonts w:ascii="Calibri" w:cs="Calibri" w:eastAsia="Calibri" w:hAnsi="Calibri"/>
          <w:sz w:val="32"/>
          <w:szCs w:val="32"/>
        </w:rPr>
      </w:pPr>
      <w:bookmarkStart w:colFirst="0" w:colLast="0" w:name="_heading=h.erwyu6rx264o" w:id="4"/>
      <w:bookmarkEnd w:id="4"/>
      <w:r w:rsidDel="00000000" w:rsidR="00000000" w:rsidRPr="00000000">
        <w:rPr>
          <w:rFonts w:ascii="Calibri" w:cs="Calibri" w:eastAsia="Calibri" w:hAnsi="Calibri"/>
          <w:sz w:val="32"/>
          <w:szCs w:val="32"/>
          <w:rtl w:val="0"/>
        </w:rPr>
        <w:t xml:space="preserve">Příloha č.1 - Specifikace platformy</w:t>
      </w:r>
    </w:p>
    <w:p w:rsidR="00000000" w:rsidDel="00000000" w:rsidP="00000000" w:rsidRDefault="00000000" w:rsidRPr="00000000" w14:paraId="00000092">
      <w:pPr>
        <w:rPr>
          <w:rFonts w:ascii="Calibri" w:cs="Calibri" w:eastAsia="Calibri" w:hAnsi="Calibri"/>
        </w:rPr>
      </w:pPr>
      <w:r w:rsidDel="00000000" w:rsidR="00000000" w:rsidRPr="00000000">
        <w:rPr>
          <w:rtl w:val="0"/>
        </w:rPr>
      </w:r>
    </w:p>
    <w:p w:rsidR="00000000" w:rsidDel="00000000" w:rsidP="00000000" w:rsidRDefault="00000000" w:rsidRPr="00000000" w14:paraId="00000093">
      <w:pPr>
        <w:spacing w:line="30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Objednávka</w:t>
      </w:r>
    </w:p>
    <w:p w:rsidR="00000000" w:rsidDel="00000000" w:rsidP="00000000" w:rsidRDefault="00000000" w:rsidRPr="00000000" w14:paraId="00000094">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Odbavení, potvrzení a naplánování požadavků na jízdu v reálném čase (reakce do 5s od zadání request).</w:t>
      </w:r>
    </w:p>
    <w:p w:rsidR="00000000" w:rsidDel="00000000" w:rsidP="00000000" w:rsidRDefault="00000000" w:rsidRPr="00000000" w14:paraId="00000095">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Odbavení, potvrzení a naplánování požadavků na jízdu na základě předobjednávky (reakce do 5s od zadání requestu).</w:t>
      </w:r>
    </w:p>
    <w:p w:rsidR="00000000" w:rsidDel="00000000" w:rsidP="00000000" w:rsidRDefault="00000000" w:rsidRPr="00000000" w14:paraId="00000096">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Odbavení, potvrzení a naplánování požadavků v režim ASAP (co nejdříve)  a ALAP (co nejpozději) a odbavení na konkrétní čas vyzvednutí / vysazení (reakce do 5s od zadání request).</w:t>
      </w:r>
    </w:p>
    <w:p w:rsidR="00000000" w:rsidDel="00000000" w:rsidP="00000000" w:rsidRDefault="00000000" w:rsidRPr="00000000" w14:paraId="00000097">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Odbavení více požadavků zároveň několika agenty.</w:t>
      </w:r>
    </w:p>
    <w:p w:rsidR="00000000" w:rsidDel="00000000" w:rsidP="00000000" w:rsidRDefault="00000000" w:rsidRPr="00000000" w14:paraId="00000098">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Okamžitá objednávka z aplikace, či telefonního dispečinku bez zásahu dispečera a vložení do jízdy.</w:t>
      </w:r>
    </w:p>
    <w:p w:rsidR="00000000" w:rsidDel="00000000" w:rsidP="00000000" w:rsidRDefault="00000000" w:rsidRPr="00000000" w14:paraId="00000099">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Inkrementální optimalizace celého vozového parku, regionu a objednávek v reálném čase pravidelně každých několik sekund.</w:t>
      </w:r>
    </w:p>
    <w:p w:rsidR="00000000" w:rsidDel="00000000" w:rsidP="00000000" w:rsidRDefault="00000000" w:rsidRPr="00000000" w14:paraId="0000009A">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Přijímání požadavků a cestujících do již probíhající jízdy, autonomní úprava jízdních plánů za účelem odbavení dalšího cestujícího při stávající jízdě.</w:t>
      </w:r>
    </w:p>
    <w:p w:rsidR="00000000" w:rsidDel="00000000" w:rsidP="00000000" w:rsidRDefault="00000000" w:rsidRPr="00000000" w14:paraId="0000009B">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Vyřízení požadavku dle vozidla priorit a typu pasažéra, naplnění specifických podmínky vozidel, např. nízkopodlažní apod. a optimální přiřazení pasažéra do probíhající jízdy.</w:t>
      </w:r>
    </w:p>
    <w:p w:rsidR="00000000" w:rsidDel="00000000" w:rsidP="00000000" w:rsidRDefault="00000000" w:rsidRPr="00000000" w14:paraId="0000009C">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Nabídka alternativních možností jízdy v případě plné kapacity (dříve / později) a to v režimu ASAP, ALAP, objednávek na budoucí čas i objednávek na konkrétní čas dojezdu / návaznosti spoje.</w:t>
      </w:r>
    </w:p>
    <w:p w:rsidR="00000000" w:rsidDel="00000000" w:rsidP="00000000" w:rsidRDefault="00000000" w:rsidRPr="00000000" w14:paraId="0000009D">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Automatická nabídka objednávky pro zpáteční jízdu s potvrzením a alokací.</w:t>
      </w:r>
    </w:p>
    <w:p w:rsidR="00000000" w:rsidDel="00000000" w:rsidP="00000000" w:rsidRDefault="00000000" w:rsidRPr="00000000" w14:paraId="0000009E">
      <w:pPr>
        <w:numPr>
          <w:ilvl w:val="0"/>
          <w:numId w:val="3"/>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Zohlednění proměnlivé délky zastávky (v čase) dle typu pasažéra, nebo preference.</w:t>
      </w:r>
    </w:p>
    <w:p w:rsidR="00000000" w:rsidDel="00000000" w:rsidP="00000000" w:rsidRDefault="00000000" w:rsidRPr="00000000" w14:paraId="0000009F">
      <w:pPr>
        <w:spacing w:line="304"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A0">
      <w:pPr>
        <w:spacing w:line="30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Virtuální zastávky a režimy poptávkové dopravy</w:t>
      </w:r>
    </w:p>
    <w:p w:rsidR="00000000" w:rsidDel="00000000" w:rsidP="00000000" w:rsidRDefault="00000000" w:rsidRPr="00000000" w14:paraId="000000A1">
      <w:pPr>
        <w:numPr>
          <w:ilvl w:val="0"/>
          <w:numId w:val="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Objednávka na konkrétní místo ke dveřím, i na virtuální zastávky.</w:t>
      </w:r>
    </w:p>
    <w:p w:rsidR="00000000" w:rsidDel="00000000" w:rsidP="00000000" w:rsidRDefault="00000000" w:rsidRPr="00000000" w14:paraId="000000A2">
      <w:pPr>
        <w:numPr>
          <w:ilvl w:val="0"/>
          <w:numId w:val="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Více režimů virtuálních zastávek (pick up / drop-off / point-2-hub), poskytování datového formátu VZ v režimu GeJson, long./lat. coordiantes a číselníku (CisID).</w:t>
      </w:r>
    </w:p>
    <w:p w:rsidR="00000000" w:rsidDel="00000000" w:rsidP="00000000" w:rsidRDefault="00000000" w:rsidRPr="00000000" w14:paraId="000000A3">
      <w:pPr>
        <w:numPr>
          <w:ilvl w:val="0"/>
          <w:numId w:val="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Vymezování koridorů a prioritizace preferované linkové dopravy v době a místě cestujícího.</w:t>
      </w:r>
    </w:p>
    <w:p w:rsidR="00000000" w:rsidDel="00000000" w:rsidP="00000000" w:rsidRDefault="00000000" w:rsidRPr="00000000" w14:paraId="000000A4">
      <w:pPr>
        <w:numPr>
          <w:ilvl w:val="0"/>
          <w:numId w:val="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Režim “plně flexibilní” (libovolná kombinace virtuálních zastávek a vozidel, režim “semi-flexibilní” (daný plán respektuje sekvenci zastávky, případně danou linku dle priorit v místě a čase).</w:t>
      </w:r>
    </w:p>
    <w:p w:rsidR="00000000" w:rsidDel="00000000" w:rsidP="00000000" w:rsidRDefault="00000000" w:rsidRPr="00000000" w14:paraId="000000A5">
      <w:pPr>
        <w:spacing w:line="304"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A6">
      <w:pPr>
        <w:spacing w:line="30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Optimalizace</w:t>
      </w:r>
    </w:p>
    <w:p w:rsidR="00000000" w:rsidDel="00000000" w:rsidP="00000000" w:rsidRDefault="00000000" w:rsidRPr="00000000" w14:paraId="000000A7">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Sdílení vozidla a trasy více pasažéry z různých nástupních a výstupních míst (bez </w:t>
      </w:r>
    </w:p>
    <w:p w:rsidR="00000000" w:rsidDel="00000000" w:rsidP="00000000" w:rsidRDefault="00000000" w:rsidRPr="00000000" w14:paraId="000000A8">
      <w:pPr>
        <w:spacing w:line="304" w:lineRule="auto"/>
        <w:ind w:left="720" w:firstLine="0"/>
        <w:rPr>
          <w:rFonts w:ascii="Calibri" w:cs="Calibri" w:eastAsia="Calibri" w:hAnsi="Calibri"/>
        </w:rPr>
      </w:pPr>
      <w:r w:rsidDel="00000000" w:rsidR="00000000" w:rsidRPr="00000000">
        <w:rPr>
          <w:rFonts w:ascii="Calibri" w:cs="Calibri" w:eastAsia="Calibri" w:hAnsi="Calibri"/>
          <w:rtl w:val="0"/>
        </w:rPr>
        <w:t xml:space="preserve">omezení počtu míst).</w:t>
      </w:r>
    </w:p>
    <w:p w:rsidR="00000000" w:rsidDel="00000000" w:rsidP="00000000" w:rsidRDefault="00000000" w:rsidRPr="00000000" w14:paraId="000000A9">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Nastavení váhy a podmínek za kterých bude takovýto pasažér přijat s vlivem na již probíhající jízdu.</w:t>
      </w:r>
    </w:p>
    <w:p w:rsidR="00000000" w:rsidDel="00000000" w:rsidP="00000000" w:rsidRDefault="00000000" w:rsidRPr="00000000" w14:paraId="000000AA">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Definovat maximální deviaci trasy (v KM a čase).</w:t>
      </w:r>
    </w:p>
    <w:p w:rsidR="00000000" w:rsidDel="00000000" w:rsidP="00000000" w:rsidRDefault="00000000" w:rsidRPr="00000000" w14:paraId="000000AB">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Definovat maximální dobu zpoždění vyzvednutí.</w:t>
      </w:r>
    </w:p>
    <w:p w:rsidR="00000000" w:rsidDel="00000000" w:rsidP="00000000" w:rsidRDefault="00000000" w:rsidRPr="00000000" w14:paraId="000000AC">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Optimalizace tras v reálném čase na základě aktuální dopravní situace a změna plánů vozidel s instantním zásahem do řidičské aplikace.</w:t>
      </w:r>
    </w:p>
    <w:p w:rsidR="00000000" w:rsidDel="00000000" w:rsidP="00000000" w:rsidRDefault="00000000" w:rsidRPr="00000000" w14:paraId="000000AD">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V případě poruchy systém autonomně změní plány na další vozidla v reálném čase.</w:t>
      </w:r>
    </w:p>
    <w:p w:rsidR="00000000" w:rsidDel="00000000" w:rsidP="00000000" w:rsidRDefault="00000000" w:rsidRPr="00000000" w14:paraId="000000AE">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Proaktivní autonomní optimalizace a odbavení požadavků 24/7 v reálném čase na základě nenadálých událostí (zrušení jízd uživatelem, přidání nové jízdy, uživatel nepřišel, poruchy a nehody vozidla a jiné), bez lidského zásahu..</w:t>
      </w:r>
    </w:p>
    <w:p w:rsidR="00000000" w:rsidDel="00000000" w:rsidP="00000000" w:rsidRDefault="00000000" w:rsidRPr="00000000" w14:paraId="000000AF">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Inkrementální optimalizace celého fleetu, všech požadavků, jízd i předobjednávek a dalších vstupních dat každých několik sekund.</w:t>
      </w:r>
    </w:p>
    <w:p w:rsidR="00000000" w:rsidDel="00000000" w:rsidP="00000000" w:rsidRDefault="00000000" w:rsidRPr="00000000" w14:paraId="000000B0">
      <w:pPr>
        <w:numPr>
          <w:ilvl w:val="0"/>
          <w:numId w:val="16"/>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Systém “kotev” a “koridorů”, který umožňuje vozidlu vracet se na prioritizovaná místa, předpokládaný typ poptávky tak aby aktivně podporoval tzv. channeling (sdílenost) a zamezoval ”aglomeračnímu efektu shlukování”.</w:t>
        <w:br w:type="textWrapping"/>
        <w:br w:type="textWrapping"/>
      </w:r>
    </w:p>
    <w:p w:rsidR="00000000" w:rsidDel="00000000" w:rsidP="00000000" w:rsidRDefault="00000000" w:rsidRPr="00000000" w14:paraId="000000B1">
      <w:pPr>
        <w:spacing w:line="30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Řidičská aplikace</w:t>
      </w:r>
    </w:p>
    <w:p w:rsidR="00000000" w:rsidDel="00000000" w:rsidP="00000000" w:rsidRDefault="00000000" w:rsidRPr="00000000" w14:paraId="000000B2">
      <w:pPr>
        <w:numPr>
          <w:ilvl w:val="0"/>
          <w:numId w:val="2"/>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Turn-by-turn navigace v řidičské aplikaci CITYA Driver (vč. zastávek a informací o probíhajících a budoucích misích).</w:t>
      </w:r>
    </w:p>
    <w:p w:rsidR="00000000" w:rsidDel="00000000" w:rsidP="00000000" w:rsidRDefault="00000000" w:rsidRPr="00000000" w14:paraId="000000B3">
      <w:pPr>
        <w:numPr>
          <w:ilvl w:val="0"/>
          <w:numId w:val="2"/>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Uživatelský design ověřený řidiči autobusů i běžných vozidel (taxi, logistické služby). Podpora pro iOS, Android, pro mobilní zařízení i tablety.</w:t>
      </w:r>
    </w:p>
    <w:p w:rsidR="00000000" w:rsidDel="00000000" w:rsidP="00000000" w:rsidRDefault="00000000" w:rsidRPr="00000000" w14:paraId="000000B4">
      <w:pPr>
        <w:spacing w:line="304"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5">
      <w:pPr>
        <w:spacing w:line="30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Ostatní</w:t>
      </w:r>
    </w:p>
    <w:p w:rsidR="00000000" w:rsidDel="00000000" w:rsidP="00000000" w:rsidRDefault="00000000" w:rsidRPr="00000000" w14:paraId="000000B6">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SDK pasažérské aplikace pro implementaci do aplikace</w:t>
      </w:r>
    </w:p>
    <w:p w:rsidR="00000000" w:rsidDel="00000000" w:rsidP="00000000" w:rsidRDefault="00000000" w:rsidRPr="00000000" w14:paraId="000000B7">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Pozice vozidel v reálném čase.</w:t>
      </w:r>
    </w:p>
    <w:p w:rsidR="00000000" w:rsidDel="00000000" w:rsidP="00000000" w:rsidRDefault="00000000" w:rsidRPr="00000000" w14:paraId="000000B8">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Datový a analytický report “Dispatcher” v online prostředí v reálném čase, vč. kohort uživatelů.</w:t>
      </w:r>
    </w:p>
    <w:p w:rsidR="00000000" w:rsidDel="00000000" w:rsidP="00000000" w:rsidRDefault="00000000" w:rsidRPr="00000000" w14:paraId="000000B9">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Tvorba virtuálních zastávek, editace a nastavení regionu v manažerském “Dispatcher”</w:t>
      </w:r>
    </w:p>
    <w:p w:rsidR="00000000" w:rsidDel="00000000" w:rsidP="00000000" w:rsidRDefault="00000000" w:rsidRPr="00000000" w14:paraId="000000BA">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Technická podpora platformy: v pracovní hodiny 7:00 - 19:00, pondělí - pátek.</w:t>
      </w:r>
    </w:p>
    <w:p w:rsidR="00000000" w:rsidDel="00000000" w:rsidP="00000000" w:rsidRDefault="00000000" w:rsidRPr="00000000" w14:paraId="000000BB">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Samotná architektura pracuje co nejefektivnějším tak, aby byla výkonná a nenáročná na provozní náklady (např. práce s runtime daty, cache system, API gateaway, priority requesty apod.)</w:t>
      </w:r>
    </w:p>
    <w:p w:rsidR="00000000" w:rsidDel="00000000" w:rsidP="00000000" w:rsidRDefault="00000000" w:rsidRPr="00000000" w14:paraId="000000BC">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Zabezpečení a nezávislost dat (platforma splňuje NIS2 / multitenantní databáze, a další.)</w:t>
      </w:r>
    </w:p>
    <w:p w:rsidR="00000000" w:rsidDel="00000000" w:rsidP="00000000" w:rsidRDefault="00000000" w:rsidRPr="00000000" w14:paraId="000000BD">
      <w:pPr>
        <w:numPr>
          <w:ilvl w:val="0"/>
          <w:numId w:val="15"/>
        </w:numPr>
        <w:spacing w:line="304" w:lineRule="auto"/>
        <w:ind w:left="720" w:hanging="360"/>
        <w:rPr>
          <w:rFonts w:ascii="Calibri" w:cs="Calibri" w:eastAsia="Calibri" w:hAnsi="Calibri"/>
        </w:rPr>
      </w:pPr>
      <w:r w:rsidDel="00000000" w:rsidR="00000000" w:rsidRPr="00000000">
        <w:rPr>
          <w:rFonts w:ascii="Calibri" w:cs="Calibri" w:eastAsia="Calibri" w:hAnsi="Calibri"/>
          <w:rtl w:val="0"/>
        </w:rPr>
        <w:t xml:space="preserve">Unikátní uživatelský design ověřený praxí zákazníků</w:t>
      </w:r>
    </w:p>
    <w:p w:rsidR="00000000" w:rsidDel="00000000" w:rsidP="00000000" w:rsidRDefault="00000000" w:rsidRPr="00000000" w14:paraId="000000BE">
      <w:pPr>
        <w:spacing w:line="276" w:lineRule="auto"/>
        <w:rPr/>
      </w:pPr>
      <w:r w:rsidDel="00000000" w:rsidR="00000000" w:rsidRPr="00000000">
        <w:rPr>
          <w:rtl w:val="0"/>
        </w:rPr>
      </w:r>
    </w:p>
    <w:p w:rsidR="00000000" w:rsidDel="00000000" w:rsidP="00000000" w:rsidRDefault="00000000" w:rsidRPr="00000000" w14:paraId="000000BF">
      <w:pPr>
        <w:spacing w:line="276" w:lineRule="auto"/>
        <w:rPr/>
      </w:pPr>
      <w:r w:rsidDel="00000000" w:rsidR="00000000" w:rsidRPr="00000000">
        <w:rPr>
          <w:rtl w:val="0"/>
        </w:rPr>
      </w:r>
    </w:p>
    <w:p w:rsidR="00000000" w:rsidDel="00000000" w:rsidP="00000000" w:rsidRDefault="00000000" w:rsidRPr="00000000" w14:paraId="000000C0">
      <w:pPr>
        <w:widowControl w:val="1"/>
        <w:spacing w:line="361.31039999999996"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Příloha č.2 - SLA</w:t>
      </w:r>
    </w:p>
    <w:p w:rsidR="00000000" w:rsidDel="00000000" w:rsidP="00000000" w:rsidRDefault="00000000" w:rsidRPr="00000000" w14:paraId="000000C1">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2">
      <w:pPr>
        <w:widowControl w:val="1"/>
        <w:spacing w:after="120" w:line="438.912" w:lineRule="auto"/>
        <w:jc w:val="both"/>
        <w:rPr>
          <w:rFonts w:ascii="Calibri" w:cs="Calibri" w:eastAsia="Calibri" w:hAnsi="Calibri"/>
        </w:rPr>
      </w:pPr>
      <w:r w:rsidDel="00000000" w:rsidR="00000000" w:rsidRPr="00000000">
        <w:rPr>
          <w:rFonts w:ascii="Calibri" w:cs="Calibri" w:eastAsia="Calibri" w:hAnsi="Calibri"/>
          <w:rtl w:val="0"/>
        </w:rPr>
        <w:t xml:space="preserve">SLA (Service Level Agreement) stanovuje parametry dostupnosti, kvality a podpory služeb poskytovaných Dodavatelem v rámci provozu softwarového řešení poptávkové dopravy (dále jen „Služba“). Účelem SLA je zajistit předvídatelnost a měřitelnost poskytované Služby.</w:t>
      </w:r>
    </w:p>
    <w:p w:rsidR="00000000" w:rsidDel="00000000" w:rsidP="00000000" w:rsidRDefault="00000000" w:rsidRPr="00000000" w14:paraId="000000C3">
      <w:pPr>
        <w:widowControl w:val="1"/>
        <w:numPr>
          <w:ilvl w:val="0"/>
          <w:numId w:val="11"/>
        </w:numPr>
        <w:spacing w:line="276" w:lineRule="auto"/>
        <w:ind w:left="720" w:hanging="360"/>
        <w:rPr>
          <w:rFonts w:ascii="Calibri" w:cs="Calibri" w:eastAsia="Calibri" w:hAnsi="Calibri"/>
          <w:b w:val="1"/>
          <w:bCs w:val="1"/>
          <w:color w:val="3650e4"/>
          <w:sz w:val="22"/>
          <w:szCs w:val="22"/>
        </w:rPr>
      </w:pPr>
      <w:r w:rsidDel="00000000" w:rsidR="00000000" w:rsidRPr="00000000">
        <w:rPr>
          <w:rFonts w:ascii="Calibri" w:cs="Calibri" w:eastAsia="Calibri" w:hAnsi="Calibri"/>
          <w:b w:val="1"/>
          <w:bCs w:val="1"/>
          <w:color w:val="3650e4"/>
          <w:rtl w:val="0"/>
        </w:rPr>
        <w:t xml:space="preserve">Definice priorit incidentů</w:t>
      </w:r>
      <w:r w:rsidDel="00000000" w:rsidR="00000000" w:rsidRPr="00000000">
        <w:rPr>
          <w:rtl w:val="0"/>
        </w:rPr>
      </w:r>
    </w:p>
    <w:p w:rsidR="00000000" w:rsidDel="00000000" w:rsidP="00000000" w:rsidRDefault="00000000" w:rsidRPr="00000000" w14:paraId="000000C4">
      <w:pPr>
        <w:widowControl w:val="1"/>
        <w:spacing w:after="120" w:line="439.85376" w:lineRule="auto"/>
        <w:ind w:right="100"/>
        <w:jc w:val="both"/>
        <w:rPr>
          <w:rFonts w:ascii="Calibri" w:cs="Calibri" w:eastAsia="Calibri" w:hAnsi="Calibri"/>
        </w:rPr>
      </w:pPr>
      <w:r w:rsidDel="00000000" w:rsidR="00000000" w:rsidRPr="00000000">
        <w:rPr>
          <w:rFonts w:ascii="Calibri" w:cs="Calibri" w:eastAsia="Calibri" w:hAnsi="Calibri"/>
          <w:rtl w:val="0"/>
        </w:rPr>
        <w:t xml:space="preserve">Dobou vyřešení je míněna maximální doba, za jakou řešitelský tým, do jehož kompetence daný problém spadá, vyřeší příslušný́ požadavek/vyřeší incident. Doba je definována v souvislosti s SLA, takže platí, že uvedená doba se počítá v době plného provozního času služby, které se požadavek týká. Po dobu, kdy CITYA čeká na reakci nebo součinnost Dopravce, je pozastaven čas měřící dobu na vyřešení (tato doba se do SLA nezapočítává).</w:t>
      </w:r>
    </w:p>
    <w:p w:rsidR="00000000" w:rsidDel="00000000" w:rsidP="00000000" w:rsidRDefault="00000000" w:rsidRPr="00000000" w14:paraId="000000C5">
      <w:pPr>
        <w:widowControl w:val="1"/>
        <w:spacing w:after="120" w:line="439.85376" w:lineRule="auto"/>
        <w:ind w:right="100"/>
        <w:jc w:val="both"/>
        <w:rPr>
          <w:rFonts w:ascii="Calibri" w:cs="Calibri" w:eastAsia="Calibri" w:hAnsi="Calibri"/>
        </w:rPr>
      </w:pPr>
      <w:r w:rsidDel="00000000" w:rsidR="00000000" w:rsidRPr="00000000">
        <w:rPr>
          <w:rFonts w:ascii="Calibri" w:cs="Calibri" w:eastAsia="Calibri" w:hAnsi="Calibri"/>
          <w:rtl w:val="0"/>
        </w:rPr>
        <w:t xml:space="preserve">Prioritu stanovuje Dopravce. V případě pochybností si CITYA může u Dopravce prioritu ověřit a po dohodě změnit.</w:t>
      </w:r>
    </w:p>
    <w:p w:rsidR="00000000" w:rsidDel="00000000" w:rsidP="00000000" w:rsidRDefault="00000000" w:rsidRPr="00000000" w14:paraId="000000C6">
      <w:pPr>
        <w:widowControl w:val="1"/>
        <w:spacing w:after="120" w:line="439.85376" w:lineRule="auto"/>
        <w:ind w:right="100"/>
        <w:jc w:val="both"/>
        <w:rPr>
          <w:rFonts w:ascii="Calibri" w:cs="Calibri" w:eastAsia="Calibri" w:hAnsi="Calibri"/>
        </w:rPr>
      </w:pPr>
      <w:r w:rsidDel="00000000" w:rsidR="00000000" w:rsidRPr="00000000">
        <w:rPr>
          <w:rFonts w:ascii="Calibri" w:cs="Calibri" w:eastAsia="Calibri" w:hAnsi="Calibri"/>
          <w:rtl w:val="0"/>
        </w:rPr>
        <w:t xml:space="preserve">V případě, že CITYA v rámci své činnosti zjistí existenci incidentu, který zatím nebyl žádným z Dopravce Služeb předepsaným způsobem nahlášen, je povinen jej bez zbytečného odkladu sám zadat prostřednictvím služby CityaSupport. V těchto případech stanovuje prioritu CITYA. Dopravce je oprávněn prioritu takto nahlášeného incidentu změnit; doba pro vyřešení incidentu se v takovém případě bude nově počítat od okamžiku této změny.</w:t>
      </w:r>
    </w:p>
    <w:p w:rsidR="00000000" w:rsidDel="00000000" w:rsidP="00000000" w:rsidRDefault="00000000" w:rsidRPr="00000000" w14:paraId="000000C7">
      <w:pPr>
        <w:widowControl w:val="1"/>
        <w:spacing w:after="240" w:before="240" w:line="276" w:lineRule="auto"/>
        <w:rPr>
          <w:rFonts w:ascii="Calibri" w:cs="Calibri" w:eastAsia="Calibri" w:hAnsi="Calibri"/>
          <w:sz w:val="22"/>
          <w:szCs w:val="22"/>
        </w:rPr>
      </w:pPr>
      <w:r w:rsidDel="00000000" w:rsidR="00000000" w:rsidRPr="00000000">
        <w:rPr>
          <w:rtl w:val="0"/>
        </w:rPr>
      </w:r>
    </w:p>
    <w:tbl>
      <w:tblPr>
        <w:tblStyle w:val="Table2"/>
        <w:tblW w:w="8670.0" w:type="dxa"/>
        <w:jc w:val="left"/>
        <w:tblLayout w:type="fixed"/>
        <w:tblLook w:val="0600"/>
      </w:tblPr>
      <w:tblGrid>
        <w:gridCol w:w="1995"/>
        <w:gridCol w:w="6675"/>
        <w:tblGridChange w:id="0">
          <w:tblGrid>
            <w:gridCol w:w="1995"/>
            <w:gridCol w:w="6675"/>
          </w:tblGrid>
        </w:tblGridChange>
      </w:tblGrid>
      <w:tr>
        <w:trPr>
          <w:cantSplit w:val="0"/>
          <w:trHeight w:val="495" w:hRule="atLeast"/>
          <w:tblHeader w:val="0"/>
        </w:trPr>
        <w:tc>
          <w:tcPr>
            <w:tcBorders>
              <w:top w:color="000000" w:space="0" w:sz="6" w:val="single"/>
              <w:left w:color="00000a" w:space="0" w:sz="6" w:val="single"/>
              <w:bottom w:color="00000a" w:space="0" w:sz="6" w:val="single"/>
              <w:right w:color="00000a" w:space="0" w:sz="6" w:val="single"/>
            </w:tcBorders>
            <w:shd w:fill="cccccc" w:val="clear"/>
            <w:tcMar>
              <w:top w:w="0.0" w:type="dxa"/>
              <w:left w:w="120.0" w:type="dxa"/>
              <w:bottom w:w="0.0" w:type="dxa"/>
              <w:right w:w="100.0" w:type="dxa"/>
            </w:tcMar>
            <w:vAlign w:val="top"/>
          </w:tcPr>
          <w:p w:rsidR="00000000" w:rsidDel="00000000" w:rsidP="00000000" w:rsidRDefault="00000000" w:rsidRPr="00000000" w14:paraId="000000C8">
            <w:pPr>
              <w:widowControl w:val="1"/>
              <w:spacing w:after="120" w:line="439.85376" w:lineRule="auto"/>
              <w:ind w:right="10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Priorita</w:t>
            </w:r>
          </w:p>
        </w:tc>
        <w:tc>
          <w:tcPr>
            <w:tcBorders>
              <w:top w:color="000000" w:space="0" w:sz="6" w:val="single"/>
              <w:left w:color="00000a" w:space="0" w:sz="6" w:val="single"/>
              <w:bottom w:color="00000a" w:space="0" w:sz="6" w:val="single"/>
              <w:right w:color="00000a" w:space="0" w:sz="6" w:val="single"/>
            </w:tcBorders>
            <w:shd w:fill="cccccc" w:val="clear"/>
            <w:tcMar>
              <w:top w:w="0.0" w:type="dxa"/>
              <w:left w:w="120.0" w:type="dxa"/>
              <w:bottom w:w="0.0" w:type="dxa"/>
              <w:right w:w="100.0" w:type="dxa"/>
            </w:tcMar>
            <w:vAlign w:val="top"/>
          </w:tcPr>
          <w:p w:rsidR="00000000" w:rsidDel="00000000" w:rsidP="00000000" w:rsidRDefault="00000000" w:rsidRPr="00000000" w14:paraId="000000C9">
            <w:pPr>
              <w:widowControl w:val="1"/>
              <w:spacing w:after="120" w:line="439.85376" w:lineRule="auto"/>
              <w:ind w:right="10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Popis priority</w:t>
            </w:r>
          </w:p>
        </w:tc>
      </w:tr>
      <w:tr>
        <w:trPr>
          <w:cantSplit w:val="0"/>
          <w:trHeight w:val="2295" w:hRule="atLeast"/>
          <w:tblHeader w:val="0"/>
        </w:trPr>
        <w:tc>
          <w:tcPr>
            <w:tcBorders>
              <w:top w:color="00000a" w:space="0" w:sz="6" w:val="single"/>
              <w:left w:color="00000a" w:space="0" w:sz="6" w:val="single"/>
              <w:bottom w:color="00000a" w:space="0" w:sz="6" w:val="single"/>
              <w:right w:color="00000a" w:space="0" w:sz="6" w:val="single"/>
            </w:tcBorders>
            <w:tcMar>
              <w:top w:w="0.0" w:type="dxa"/>
              <w:left w:w="120.0" w:type="dxa"/>
              <w:bottom w:w="0.0" w:type="dxa"/>
              <w:right w:w="100.0" w:type="dxa"/>
            </w:tcMar>
            <w:vAlign w:val="top"/>
          </w:tcPr>
          <w:p w:rsidR="00000000" w:rsidDel="00000000" w:rsidP="00000000" w:rsidRDefault="00000000" w:rsidRPr="00000000" w14:paraId="000000CA">
            <w:pPr>
              <w:widowControl w:val="1"/>
              <w:spacing w:after="120" w:line="439.85376" w:lineRule="auto"/>
              <w:ind w:right="10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 – kritická</w:t>
            </w:r>
          </w:p>
        </w:tc>
        <w:tc>
          <w:tcPr>
            <w:tcBorders>
              <w:top w:color="00000a" w:space="0" w:sz="6" w:val="single"/>
              <w:left w:color="00000a" w:space="0" w:sz="6" w:val="single"/>
              <w:bottom w:color="00000a" w:space="0" w:sz="6" w:val="single"/>
              <w:right w:color="00000a" w:space="0" w:sz="6" w:val="single"/>
            </w:tcBorders>
            <w:tcMar>
              <w:top w:w="0.0" w:type="dxa"/>
              <w:left w:w="120.0" w:type="dxa"/>
              <w:bottom w:w="0.0" w:type="dxa"/>
              <w:right w:w="100.0" w:type="dxa"/>
            </w:tcMar>
            <w:vAlign w:val="top"/>
          </w:tcPr>
          <w:p w:rsidR="00000000" w:rsidDel="00000000" w:rsidP="00000000" w:rsidRDefault="00000000" w:rsidRPr="00000000" w14:paraId="000000CB">
            <w:pPr>
              <w:widowControl w:val="1"/>
              <w:spacing w:after="120" w:line="439.85376" w:lineRule="auto"/>
              <w:ind w:right="10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Služba je celkově nedostupná a nedostupností jsou postiženi všichni uživatelé dané služby. Dopad je vysoký, činnost dotčená daným incidentem nemůže být vykonána náhradním způsobem, jde o problém všech skupin uživatelů. Naléhavost je vysoká, neboť incident prokazatelně ohrožuje splnění termínu prováděné činnosti a neexistuje žádné náhradní řešení.</w:t>
            </w:r>
          </w:p>
        </w:tc>
      </w:tr>
      <w:tr>
        <w:trPr>
          <w:cantSplit w:val="0"/>
          <w:trHeight w:val="1935" w:hRule="atLeast"/>
          <w:tblHeader w:val="0"/>
        </w:trPr>
        <w:tc>
          <w:tcPr>
            <w:tcBorders>
              <w:top w:color="00000a" w:space="0" w:sz="6" w:val="single"/>
              <w:left w:color="00000a" w:space="0" w:sz="6" w:val="single"/>
              <w:bottom w:color="00000a" w:space="0" w:sz="6" w:val="single"/>
              <w:right w:color="00000a" w:space="0" w:sz="6" w:val="single"/>
            </w:tcBorders>
            <w:tcMar>
              <w:top w:w="0.0" w:type="dxa"/>
              <w:left w:w="120.0" w:type="dxa"/>
              <w:bottom w:w="0.0" w:type="dxa"/>
              <w:right w:w="100.0" w:type="dxa"/>
            </w:tcMar>
            <w:vAlign w:val="top"/>
          </w:tcPr>
          <w:p w:rsidR="00000000" w:rsidDel="00000000" w:rsidP="00000000" w:rsidRDefault="00000000" w:rsidRPr="00000000" w14:paraId="000000CC">
            <w:pPr>
              <w:widowControl w:val="1"/>
              <w:spacing w:after="120" w:line="439.85376" w:lineRule="auto"/>
              <w:ind w:right="10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 – vysoká</w:t>
            </w:r>
          </w:p>
        </w:tc>
        <w:tc>
          <w:tcPr>
            <w:tcBorders>
              <w:top w:color="00000a" w:space="0" w:sz="6" w:val="single"/>
              <w:left w:color="00000a" w:space="0" w:sz="6" w:val="single"/>
              <w:bottom w:color="00000a" w:space="0" w:sz="6" w:val="single"/>
              <w:right w:color="00000a" w:space="0" w:sz="6" w:val="single"/>
            </w:tcBorders>
            <w:tcMar>
              <w:top w:w="0.0" w:type="dxa"/>
              <w:left w:w="120.0" w:type="dxa"/>
              <w:bottom w:w="0.0" w:type="dxa"/>
              <w:right w:w="100.0" w:type="dxa"/>
            </w:tcMar>
            <w:vAlign w:val="top"/>
          </w:tcPr>
          <w:p w:rsidR="00000000" w:rsidDel="00000000" w:rsidP="00000000" w:rsidRDefault="00000000" w:rsidRPr="00000000" w14:paraId="000000CD">
            <w:pPr>
              <w:widowControl w:val="1"/>
              <w:spacing w:after="120" w:line="439.85376" w:lineRule="auto"/>
              <w:ind w:right="10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Služba je částečně nedostupná, tj. není dostupný některý funkční modul dané služby. Touto částečnou nedostupností jsou postiženi všichni uživatelé dané služby. Dopad je vysoký, protože se týká všech skupin uživatelů, naléhavost je však střední, neboť existuje známé náhradní řešení.</w:t>
            </w:r>
          </w:p>
        </w:tc>
      </w:tr>
      <w:tr>
        <w:trPr>
          <w:cantSplit w:val="0"/>
          <w:trHeight w:val="1935" w:hRule="atLeast"/>
          <w:tblHeader w:val="0"/>
        </w:trPr>
        <w:tc>
          <w:tcPr>
            <w:tcBorders>
              <w:top w:color="00000a" w:space="0" w:sz="6" w:val="single"/>
              <w:left w:color="00000a" w:space="0" w:sz="6" w:val="single"/>
              <w:bottom w:color="00000a" w:space="0" w:sz="6" w:val="single"/>
              <w:right w:color="00000a" w:space="0" w:sz="6" w:val="single"/>
            </w:tcBorders>
            <w:tcMar>
              <w:top w:w="0.0" w:type="dxa"/>
              <w:left w:w="120.0" w:type="dxa"/>
              <w:bottom w:w="0.0" w:type="dxa"/>
              <w:right w:w="100.0" w:type="dxa"/>
            </w:tcMar>
            <w:vAlign w:val="top"/>
          </w:tcPr>
          <w:p w:rsidR="00000000" w:rsidDel="00000000" w:rsidP="00000000" w:rsidRDefault="00000000" w:rsidRPr="00000000" w14:paraId="000000CE">
            <w:pPr>
              <w:widowControl w:val="1"/>
              <w:spacing w:after="120" w:line="439.85376" w:lineRule="auto"/>
              <w:ind w:right="10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 – nízká</w:t>
            </w:r>
          </w:p>
        </w:tc>
        <w:tc>
          <w:tcPr>
            <w:tcBorders>
              <w:top w:color="00000a" w:space="0" w:sz="6" w:val="single"/>
              <w:left w:color="00000a" w:space="0" w:sz="6" w:val="single"/>
              <w:bottom w:color="00000a" w:space="0" w:sz="6" w:val="single"/>
              <w:right w:color="00000a" w:space="0" w:sz="6" w:val="single"/>
            </w:tcBorders>
            <w:tcMar>
              <w:top w:w="0.0" w:type="dxa"/>
              <w:left w:w="120.0" w:type="dxa"/>
              <w:bottom w:w="0.0" w:type="dxa"/>
              <w:right w:w="100.0" w:type="dxa"/>
            </w:tcMar>
            <w:vAlign w:val="top"/>
          </w:tcPr>
          <w:p w:rsidR="00000000" w:rsidDel="00000000" w:rsidP="00000000" w:rsidRDefault="00000000" w:rsidRPr="00000000" w14:paraId="000000CF">
            <w:pPr>
              <w:widowControl w:val="1"/>
              <w:spacing w:after="120" w:line="439.85376" w:lineRule="auto"/>
              <w:ind w:right="10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Služba je mírně omezená a touto mírnou omezeností je postižen jednotlivý uživatel nebo omezená skupina uživatelů. Dopad je nízký, protože dotčenou činnost může vykonat někdo jiný a naléhavost je nízká, protože nedochází k ohrožení termínu. Případně se jedná o závadu, která není uvedena v prioritě A a B.</w:t>
            </w:r>
          </w:p>
        </w:tc>
      </w:tr>
    </w:tbl>
    <w:p w:rsidR="00000000" w:rsidDel="00000000" w:rsidP="00000000" w:rsidRDefault="00000000" w:rsidRPr="00000000" w14:paraId="000000D0">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1">
      <w:pPr>
        <w:widowControl w:val="1"/>
        <w:numPr>
          <w:ilvl w:val="0"/>
          <w:numId w:val="4"/>
        </w:numPr>
        <w:spacing w:line="276" w:lineRule="auto"/>
        <w:ind w:left="720" w:hanging="360"/>
        <w:rPr>
          <w:rFonts w:ascii="Calibri" w:cs="Calibri" w:eastAsia="Calibri" w:hAnsi="Calibri"/>
          <w:b w:val="1"/>
          <w:bCs w:val="1"/>
          <w:color w:val="3650e4"/>
          <w:sz w:val="30"/>
          <w:szCs w:val="30"/>
        </w:rPr>
      </w:pPr>
      <w:r w:rsidDel="00000000" w:rsidR="00000000" w:rsidRPr="00000000">
        <w:rPr>
          <w:rFonts w:ascii="Calibri" w:cs="Calibri" w:eastAsia="Calibri" w:hAnsi="Calibri"/>
          <w:b w:val="1"/>
          <w:bCs w:val="1"/>
          <w:color w:val="3650e4"/>
          <w:rtl w:val="0"/>
        </w:rPr>
        <w:t xml:space="preserve">Služba poskytování SW vybavení pro poptávkovou dopravu</w:t>
      </w:r>
      <w:r w:rsidDel="00000000" w:rsidR="00000000" w:rsidRPr="00000000">
        <w:rPr>
          <w:rtl w:val="0"/>
        </w:rPr>
      </w:r>
    </w:p>
    <w:tbl>
      <w:tblPr>
        <w:tblStyle w:val="Table3"/>
        <w:tblW w:w="9072.0" w:type="dxa"/>
        <w:jc w:val="left"/>
        <w:tblLayout w:type="fixed"/>
        <w:tblLook w:val="0600"/>
      </w:tblPr>
      <w:tblGrid>
        <w:gridCol w:w="818.2349606299213"/>
        <w:gridCol w:w="200.24409448818915"/>
        <w:gridCol w:w="2757.0960629921256"/>
        <w:gridCol w:w="3530.861732283465"/>
        <w:gridCol w:w="1565.31905511811"/>
        <w:gridCol w:w="200.24409448818915"/>
        <w:tblGridChange w:id="0">
          <w:tblGrid>
            <w:gridCol w:w="818.2349606299213"/>
            <w:gridCol w:w="200.24409448818915"/>
            <w:gridCol w:w="2757.0960629921256"/>
            <w:gridCol w:w="3530.861732283465"/>
            <w:gridCol w:w="1565.31905511811"/>
            <w:gridCol w:w="200.24409448818915"/>
          </w:tblGrid>
        </w:tblGridChange>
      </w:tblGrid>
      <w:tr>
        <w:trPr>
          <w:cantSplit w:val="0"/>
          <w:trHeight w:val="1410" w:hRule="atLeast"/>
          <w:tblHeader w:val="0"/>
        </w:trPr>
        <w:tc>
          <w:tcPr>
            <w:gridSpan w:val="3"/>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2">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Popis služby</w:t>
            </w:r>
          </w:p>
        </w:tc>
        <w:tc>
          <w:tcPr>
            <w:gridSpan w:val="3"/>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Poskytování webové aplikace a core systému pro správu služby poptávkové dopravy umožňující administraci, správu uživatelů, objednávek, reporting a další. Součástí služby je i poskytování mobilní aplikace pro řidiče a cestující.</w:t>
            </w:r>
          </w:p>
        </w:tc>
      </w:tr>
      <w:tr>
        <w:trPr>
          <w:cantSplit w:val="0"/>
          <w:trHeight w:val="9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8">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Rozsah poskytování služby</w:t>
            </w:r>
          </w:p>
          <w:p w:rsidR="00000000" w:rsidDel="00000000" w:rsidP="00000000" w:rsidRDefault="00000000" w:rsidRPr="00000000" w14:paraId="000000D9">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gridSpan w:val="3"/>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Služba je poskytována v nepřetržitém provozu.</w:t>
            </w:r>
          </w:p>
        </w:tc>
      </w:tr>
      <w:tr>
        <w:trPr>
          <w:cantSplit w:val="0"/>
          <w:trHeight w:val="570" w:hRule="atLeast"/>
          <w:tblHeader w:val="0"/>
        </w:trPr>
        <w:tc>
          <w:tcPr>
            <w:gridSpan w:val="6"/>
            <w:tcBorders>
              <w:top w:color="000000" w:space="0" w:sz="6" w:val="single"/>
              <w:left w:color="000000" w:space="0" w:sz="6" w:val="single"/>
              <w:bottom w:color="000000" w:space="0" w:sz="6" w:val="single"/>
              <w:right w:color="000000" w:space="0" w:sz="6" w:val="single"/>
            </w:tcBorders>
            <w:shd w:fill="cccccc" w:val="clear"/>
            <w:tcMar>
              <w:top w:w="0.0" w:type="dxa"/>
              <w:left w:w="100.0" w:type="dxa"/>
              <w:bottom w:w="0.0" w:type="dxa"/>
              <w:right w:w="100.0" w:type="dxa"/>
            </w:tcMar>
            <w:vAlign w:val="top"/>
          </w:tcPr>
          <w:p w:rsidR="00000000" w:rsidDel="00000000" w:rsidP="00000000" w:rsidRDefault="00000000" w:rsidRPr="00000000" w14:paraId="000000DF">
            <w:pPr>
              <w:widowControl w:val="1"/>
              <w:spacing w:after="160" w:line="439.853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SLA parametry</w:t>
            </w:r>
          </w:p>
        </w:tc>
      </w:tr>
      <w:tr>
        <w:trPr>
          <w:cantSplit w:val="0"/>
          <w:trHeight w:val="121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E5">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Celková dostupnost služby</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E7">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Rozsah zaručeného provozu služby</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E9">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Max. doba jednoho výpadku služby (v minutách)</w:t>
            </w:r>
          </w:p>
          <w:p w:rsidR="00000000" w:rsidDel="00000000" w:rsidP="00000000" w:rsidRDefault="00000000" w:rsidRPr="00000000" w14:paraId="000000EA">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73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EC">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99,89%</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EE">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x 14</w:t>
            </w:r>
          </w:p>
          <w:p w:rsidR="00000000" w:rsidDel="00000000" w:rsidP="00000000" w:rsidRDefault="00000000" w:rsidRPr="00000000" w14:paraId="000000EF">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Po-Pá 7:00 – 19:00</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F1">
            <w:pPr>
              <w:widowControl w:val="1"/>
              <w:spacing w:line="377.01792"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60</w:t>
            </w:r>
          </w:p>
        </w:tc>
      </w:tr>
      <w:tr>
        <w:trPr>
          <w:cantSplit w:val="0"/>
          <w:trHeight w:val="570" w:hRule="atLeast"/>
          <w:tblHeader w:val="0"/>
        </w:trPr>
        <w:tc>
          <w:tcPr>
            <w:gridSpan w:val="6"/>
            <w:tcBorders>
              <w:top w:color="000000" w:space="0" w:sz="6" w:val="single"/>
              <w:left w:color="000000" w:space="0" w:sz="6" w:val="single"/>
              <w:bottom w:color="000000" w:space="0" w:sz="6" w:val="single"/>
              <w:right w:color="000000" w:space="0" w:sz="6" w:val="single"/>
            </w:tcBorders>
            <w:shd w:fill="cccccc" w:val="clear"/>
            <w:tcMar>
              <w:top w:w="0.0" w:type="dxa"/>
              <w:left w:w="100.0" w:type="dxa"/>
              <w:bottom w:w="0.0" w:type="dxa"/>
              <w:right w:w="100.0" w:type="dxa"/>
            </w:tcMar>
            <w:vAlign w:val="top"/>
          </w:tcPr>
          <w:p w:rsidR="00000000" w:rsidDel="00000000" w:rsidP="00000000" w:rsidRDefault="00000000" w:rsidRPr="00000000" w14:paraId="000000F3">
            <w:pPr>
              <w:widowControl w:val="1"/>
              <w:spacing w:after="160" w:line="439.853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SLA parametry – Incident Management</w:t>
            </w:r>
          </w:p>
        </w:tc>
      </w:tr>
      <w:tr>
        <w:trPr>
          <w:cantSplit w:val="0"/>
          <w:trHeight w:val="49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F9">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Kategorie</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FB">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Reakční doba</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FD">
            <w:pPr>
              <w:widowControl w:val="1"/>
              <w:spacing w:line="377.01792"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Doba vyřešení</w:t>
            </w:r>
          </w:p>
        </w:tc>
      </w:tr>
      <w:tr>
        <w:trPr>
          <w:cantSplit w:val="0"/>
          <w:trHeight w:val="43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FF">
            <w:pPr>
              <w:widowControl w:val="1"/>
              <w:spacing w:line="377.01792"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1">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 minut</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3">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hodiny</w:t>
            </w:r>
          </w:p>
        </w:tc>
      </w:tr>
      <w:tr>
        <w:trPr>
          <w:cantSplit w:val="0"/>
          <w:trHeight w:val="4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5">
            <w:pPr>
              <w:widowControl w:val="1"/>
              <w:spacing w:line="377.01792"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7">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 minut</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9">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 hodin</w:t>
            </w:r>
          </w:p>
        </w:tc>
      </w:tr>
      <w:tr>
        <w:trPr>
          <w:cantSplit w:val="0"/>
          <w:trHeight w:val="48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B">
            <w:pPr>
              <w:widowControl w:val="1"/>
              <w:spacing w:line="377.01792"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D">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SBD</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0F">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 hodin</w:t>
            </w:r>
          </w:p>
        </w:tc>
      </w:tr>
      <w:tr>
        <w:trPr>
          <w:cantSplit w:val="0"/>
          <w:trHeight w:val="36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11">
            <w:pPr>
              <w:widowControl w:val="1"/>
              <w:spacing w:line="366.33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Plánované odstávky</w:t>
            </w:r>
          </w:p>
        </w:tc>
      </w:tr>
      <w:tr>
        <w:trPr>
          <w:cantSplit w:val="0"/>
          <w:trHeight w:val="61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117">
            <w:pPr>
              <w:widowControl w:val="1"/>
              <w:spacing w:line="377.0179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2x měsíčně 21:00 – 23:00, maximálně na dobu 2 hodin, hlášení o plánované odstávce min. 48 hodin předem</w:t>
            </w:r>
          </w:p>
        </w:tc>
      </w:tr>
    </w:tbl>
    <w:p w:rsidR="00000000" w:rsidDel="00000000" w:rsidP="00000000" w:rsidRDefault="00000000" w:rsidRPr="00000000" w14:paraId="0000011D">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E">
      <w:pPr>
        <w:widowControl w:val="1"/>
        <w:numPr>
          <w:ilvl w:val="0"/>
          <w:numId w:val="14"/>
        </w:numPr>
        <w:spacing w:line="276" w:lineRule="auto"/>
        <w:ind w:left="720" w:hanging="360"/>
        <w:rPr>
          <w:rFonts w:ascii="Calibri" w:cs="Calibri" w:eastAsia="Calibri" w:hAnsi="Calibri"/>
          <w:b w:val="1"/>
          <w:bCs w:val="1"/>
          <w:color w:val="3650e4"/>
          <w:sz w:val="30"/>
          <w:szCs w:val="30"/>
        </w:rPr>
      </w:pPr>
      <w:r w:rsidDel="00000000" w:rsidR="00000000" w:rsidRPr="00000000">
        <w:rPr>
          <w:rFonts w:ascii="Calibri" w:cs="Calibri" w:eastAsia="Calibri" w:hAnsi="Calibri"/>
          <w:b w:val="1"/>
          <w:bCs w:val="1"/>
          <w:color w:val="3650e4"/>
          <w:rtl w:val="0"/>
        </w:rPr>
        <w:t xml:space="preserve">Měření dostupnosti</w:t>
      </w:r>
      <w:r w:rsidDel="00000000" w:rsidR="00000000" w:rsidRPr="00000000">
        <w:rPr>
          <w:rtl w:val="0"/>
        </w:rPr>
      </w:r>
    </w:p>
    <w:p w:rsidR="00000000" w:rsidDel="00000000" w:rsidP="00000000" w:rsidRDefault="00000000" w:rsidRPr="00000000" w14:paraId="0000011F">
      <w:pPr>
        <w:widowControl w:val="1"/>
        <w:spacing w:after="160" w:line="438.912" w:lineRule="auto"/>
        <w:jc w:val="both"/>
        <w:rPr>
          <w:rFonts w:ascii="Calibri" w:cs="Calibri" w:eastAsia="Calibri" w:hAnsi="Calibri"/>
        </w:rPr>
      </w:pPr>
      <w:r w:rsidDel="00000000" w:rsidR="00000000" w:rsidRPr="00000000">
        <w:rPr>
          <w:rFonts w:ascii="Calibri" w:cs="Calibri" w:eastAsia="Calibri" w:hAnsi="Calibri"/>
          <w:rtl w:val="0"/>
        </w:rPr>
        <w:t xml:space="preserve">Dostupnost bude měřena jako podíl rozdílu celkové odsouhlasené provozní doby za sledované období a doby nedostupnosti služby, za niž nese odpovědnost dodavatel, a odsouhlasené provozní doby za sledované období vynásobené 100. Do odsouhlasené provozní doby za období se pro potřebu výpočtu dostupnosti promítnou plánované odstávky, pokud se uskutečnily v období zaručeného provozu služby. Dostupnost bude uvedena v %. </w:t>
      </w:r>
    </w:p>
    <w:p w:rsidR="00000000" w:rsidDel="00000000" w:rsidP="00000000" w:rsidRDefault="00000000" w:rsidRPr="00000000" w14:paraId="00000120">
      <w:pPr>
        <w:widowControl w:val="1"/>
        <w:spacing w:after="160" w:line="438.912"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Pr>
        <w:drawing>
          <wp:inline distB="114300" distT="114300" distL="114300" distR="114300">
            <wp:extent cx="3073400" cy="6096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734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widowControl w:val="1"/>
        <w:spacing w:line="565.5283199999998"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PDobdobí </w:t>
      </w:r>
      <w:r w:rsidDel="00000000" w:rsidR="00000000" w:rsidRPr="00000000">
        <w:rPr>
          <w:rFonts w:ascii="Calibri" w:cs="Calibri" w:eastAsia="Calibri" w:hAnsi="Calibri"/>
          <w:sz w:val="22"/>
          <w:szCs w:val="22"/>
          <w:rtl w:val="0"/>
        </w:rPr>
        <w:t xml:space="preserve">– Odsouhlasená provozní doba za sledované období </w:t>
      </w:r>
    </w:p>
    <w:p w:rsidR="00000000" w:rsidDel="00000000" w:rsidP="00000000" w:rsidRDefault="00000000" w:rsidRPr="00000000" w14:paraId="00000122">
      <w:pPr>
        <w:widowControl w:val="1"/>
        <w:spacing w:after="160" w:line="397.44" w:lineRule="auto"/>
        <w:rPr>
          <w:rFonts w:ascii="Calibri" w:cs="Calibri" w:eastAsia="Calibri" w:hAnsi="Calibri"/>
          <w:sz w:val="18"/>
          <w:szCs w:val="18"/>
        </w:rPr>
      </w:pPr>
      <w:r w:rsidDel="00000000" w:rsidR="00000000" w:rsidRPr="00000000">
        <w:rPr>
          <w:rFonts w:ascii="Calibri" w:cs="Calibri" w:eastAsia="Calibri" w:hAnsi="Calibri"/>
          <w:b w:val="1"/>
          <w:bCs w:val="1"/>
          <w:sz w:val="22"/>
          <w:szCs w:val="22"/>
          <w:rtl w:val="0"/>
        </w:rPr>
        <w:t xml:space="preserve">Nslužby</w:t>
      </w:r>
      <w:r w:rsidDel="00000000" w:rsidR="00000000" w:rsidRPr="00000000">
        <w:rPr>
          <w:rFonts w:ascii="Calibri" w:cs="Calibri" w:eastAsia="Calibri" w:hAnsi="Calibri"/>
          <w:sz w:val="22"/>
          <w:szCs w:val="22"/>
          <w:rtl w:val="0"/>
        </w:rPr>
        <w:t xml:space="preserve"> – Doba úplné nedostupnosti služby ve sledovaném období, za niž odpovídá dodavatel</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23">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4">
      <w:pPr>
        <w:widowControl w:val="1"/>
        <w:numPr>
          <w:ilvl w:val="0"/>
          <w:numId w:val="17"/>
        </w:numPr>
        <w:spacing w:line="276" w:lineRule="auto"/>
        <w:ind w:left="720" w:hanging="360"/>
        <w:rPr>
          <w:rFonts w:ascii="Calibri" w:cs="Calibri" w:eastAsia="Calibri" w:hAnsi="Calibri"/>
          <w:b w:val="1"/>
          <w:bCs w:val="1"/>
          <w:color w:val="3650e4"/>
          <w:sz w:val="30"/>
          <w:szCs w:val="30"/>
        </w:rPr>
      </w:pPr>
      <w:r w:rsidDel="00000000" w:rsidR="00000000" w:rsidRPr="00000000">
        <w:rPr>
          <w:rFonts w:ascii="Calibri" w:cs="Calibri" w:eastAsia="Calibri" w:hAnsi="Calibri"/>
          <w:b w:val="1"/>
          <w:bCs w:val="1"/>
          <w:color w:val="3650e4"/>
          <w:rtl w:val="0"/>
        </w:rPr>
        <w:t xml:space="preserve">Sankce za nedodržení SLA</w:t>
      </w:r>
      <w:r w:rsidDel="00000000" w:rsidR="00000000" w:rsidRPr="00000000">
        <w:rPr>
          <w:rtl w:val="0"/>
        </w:rPr>
      </w:r>
    </w:p>
    <w:p w:rsidR="00000000" w:rsidDel="00000000" w:rsidP="00000000" w:rsidRDefault="00000000" w:rsidRPr="00000000" w14:paraId="00000125">
      <w:pPr>
        <w:widowControl w:val="1"/>
        <w:spacing w:line="397.44" w:lineRule="auto"/>
        <w:rPr>
          <w:rFonts w:ascii="Calibri" w:cs="Calibri" w:eastAsia="Calibri" w:hAnsi="Calibri"/>
          <w:highlight w:val="white"/>
        </w:rPr>
      </w:pPr>
      <w:r w:rsidDel="00000000" w:rsidR="00000000" w:rsidRPr="00000000">
        <w:rPr>
          <w:rFonts w:ascii="Calibri" w:cs="Calibri" w:eastAsia="Calibri" w:hAnsi="Calibri"/>
          <w:rtl w:val="0"/>
        </w:rPr>
        <w:t xml:space="preserve">Pokud nebude dosaženo měsíčn</w:t>
      </w:r>
      <w:r w:rsidDel="00000000" w:rsidR="00000000" w:rsidRPr="00000000">
        <w:rPr>
          <w:rFonts w:ascii="Calibri" w:cs="Calibri" w:eastAsia="Calibri" w:hAnsi="Calibri"/>
          <w:highlight w:val="white"/>
          <w:rtl w:val="0"/>
        </w:rPr>
        <w:t xml:space="preserve">í dostupnosti 99,89 %, poskytne Dodavatel slevu z měsíční odměny:</w:t>
      </w:r>
    </w:p>
    <w:p w:rsidR="00000000" w:rsidDel="00000000" w:rsidP="00000000" w:rsidRDefault="00000000" w:rsidRPr="00000000" w14:paraId="00000126">
      <w:pPr>
        <w:widowControl w:val="1"/>
        <w:numPr>
          <w:ilvl w:val="0"/>
          <w:numId w:val="9"/>
        </w:numPr>
        <w:spacing w:line="276" w:lineRule="auto"/>
        <w:ind w:left="720" w:hanging="360"/>
        <w:rPr>
          <w:rFonts w:ascii="Arial" w:cs="Arial" w:eastAsia="Arial" w:hAnsi="Arial"/>
        </w:rPr>
      </w:pPr>
      <w:r w:rsidDel="00000000" w:rsidR="00000000" w:rsidRPr="00000000">
        <w:rPr>
          <w:rFonts w:ascii="Calibri" w:cs="Calibri" w:eastAsia="Calibri" w:hAnsi="Calibri"/>
          <w:b w:val="1"/>
          <w:bCs w:val="1"/>
          <w:highlight w:val="white"/>
          <w:rtl w:val="0"/>
        </w:rPr>
        <w:t xml:space="preserve">5 %</w:t>
      </w:r>
      <w:r w:rsidDel="00000000" w:rsidR="00000000" w:rsidRPr="00000000">
        <w:rPr>
          <w:rFonts w:ascii="Calibri" w:cs="Calibri" w:eastAsia="Calibri" w:hAnsi="Calibri"/>
          <w:highlight w:val="white"/>
          <w:rtl w:val="0"/>
        </w:rPr>
        <w:t xml:space="preserve"> za každé započaté </w:t>
      </w:r>
      <w:r w:rsidDel="00000000" w:rsidR="00000000" w:rsidRPr="00000000">
        <w:rPr>
          <w:rFonts w:ascii="Calibri" w:cs="Calibri" w:eastAsia="Calibri" w:hAnsi="Calibri"/>
          <w:b w:val="1"/>
          <w:bCs w:val="1"/>
          <w:highlight w:val="white"/>
          <w:rtl w:val="0"/>
        </w:rPr>
        <w:t xml:space="preserve">0,5 %</w:t>
      </w:r>
      <w:r w:rsidDel="00000000" w:rsidR="00000000" w:rsidRPr="00000000">
        <w:rPr>
          <w:rFonts w:ascii="Calibri" w:cs="Calibri" w:eastAsia="Calibri" w:hAnsi="Calibri"/>
          <w:highlight w:val="white"/>
          <w:rtl w:val="0"/>
        </w:rPr>
        <w:t xml:space="preserve"> poklesu pod garantovanou úroveň.</w:t>
      </w:r>
      <w:r w:rsidDel="00000000" w:rsidR="00000000" w:rsidRPr="00000000">
        <w:rPr>
          <w:rtl w:val="0"/>
        </w:rPr>
      </w:r>
    </w:p>
    <w:p w:rsidR="00000000" w:rsidDel="00000000" w:rsidP="00000000" w:rsidRDefault="00000000" w:rsidRPr="00000000" w14:paraId="00000127">
      <w:pPr>
        <w:widowControl w:val="1"/>
        <w:spacing w:line="397.44"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V případě překročení maximální doby řešení kritického incidentu kategorie A nebo B bude Dopravce poskytnuta sleva ve výši </w:t>
      </w:r>
      <w:r w:rsidDel="00000000" w:rsidR="00000000" w:rsidRPr="00000000">
        <w:rPr>
          <w:rFonts w:ascii="Calibri" w:cs="Calibri" w:eastAsia="Calibri" w:hAnsi="Calibri"/>
          <w:b w:val="1"/>
          <w:bCs w:val="1"/>
          <w:highlight w:val="white"/>
          <w:rtl w:val="0"/>
        </w:rPr>
        <w:t xml:space="preserve">10 % </w:t>
      </w:r>
      <w:r w:rsidDel="00000000" w:rsidR="00000000" w:rsidRPr="00000000">
        <w:rPr>
          <w:rFonts w:ascii="Calibri" w:cs="Calibri" w:eastAsia="Calibri" w:hAnsi="Calibri"/>
          <w:highlight w:val="white"/>
          <w:rtl w:val="0"/>
        </w:rPr>
        <w:t xml:space="preserve">z měsíční odměny.</w:t>
      </w:r>
    </w:p>
    <w:p w:rsidR="00000000" w:rsidDel="00000000" w:rsidP="00000000" w:rsidRDefault="00000000" w:rsidRPr="00000000" w14:paraId="00000128">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9">
      <w:pPr>
        <w:widowControl w:val="1"/>
        <w:spacing w:line="397.44" w:lineRule="auto"/>
        <w:rPr>
          <w:rFonts w:ascii="Calibri" w:cs="Calibri" w:eastAsia="Calibri" w:hAnsi="Calibri"/>
        </w:rPr>
      </w:pPr>
      <w:r w:rsidDel="00000000" w:rsidR="00000000" w:rsidRPr="00000000">
        <w:rPr>
          <w:rFonts w:ascii="Calibri" w:cs="Calibri" w:eastAsia="Calibri" w:hAnsi="Calibri"/>
          <w:highlight w:val="white"/>
          <w:rtl w:val="0"/>
        </w:rPr>
        <w:t xml:space="preserve">Celková maximální výše slevy za kalendářní měsíc je </w:t>
      </w:r>
      <w:r w:rsidDel="00000000" w:rsidR="00000000" w:rsidRPr="00000000">
        <w:rPr>
          <w:rFonts w:ascii="Calibri" w:cs="Calibri" w:eastAsia="Calibri" w:hAnsi="Calibri"/>
          <w:b w:val="1"/>
          <w:bCs w:val="1"/>
          <w:highlight w:val="white"/>
          <w:rtl w:val="0"/>
        </w:rPr>
        <w:t xml:space="preserve">30 %</w:t>
      </w:r>
      <w:r w:rsidDel="00000000" w:rsidR="00000000" w:rsidRPr="00000000">
        <w:rPr>
          <w:rFonts w:ascii="Calibri" w:cs="Calibri" w:eastAsia="Calibri" w:hAnsi="Calibri"/>
          <w:highlight w:val="white"/>
          <w:rtl w:val="0"/>
        </w:rPr>
        <w:t xml:space="preserve"> z m</w:t>
      </w:r>
      <w:r w:rsidDel="00000000" w:rsidR="00000000" w:rsidRPr="00000000">
        <w:rPr>
          <w:rFonts w:ascii="Calibri" w:cs="Calibri" w:eastAsia="Calibri" w:hAnsi="Calibri"/>
          <w:rtl w:val="0"/>
        </w:rPr>
        <w:t xml:space="preserve">ěsíční fakturované částky.</w:t>
      </w:r>
    </w:p>
    <w:p w:rsidR="00000000" w:rsidDel="00000000" w:rsidP="00000000" w:rsidRDefault="00000000" w:rsidRPr="00000000" w14:paraId="0000012A">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B">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C">
      <w:pPr>
        <w:widowControl w:val="1"/>
        <w:numPr>
          <w:ilvl w:val="0"/>
          <w:numId w:val="7"/>
        </w:numPr>
        <w:spacing w:line="276" w:lineRule="auto"/>
        <w:ind w:left="720" w:hanging="360"/>
        <w:rPr>
          <w:rFonts w:ascii="Calibri" w:cs="Calibri" w:eastAsia="Calibri" w:hAnsi="Calibri"/>
          <w:b w:val="1"/>
          <w:bCs w:val="1"/>
          <w:color w:val="3650e4"/>
          <w:sz w:val="30"/>
          <w:szCs w:val="30"/>
        </w:rPr>
      </w:pPr>
      <w:r w:rsidDel="00000000" w:rsidR="00000000" w:rsidRPr="00000000">
        <w:rPr>
          <w:rFonts w:ascii="Calibri" w:cs="Calibri" w:eastAsia="Calibri" w:hAnsi="Calibri"/>
          <w:b w:val="1"/>
          <w:bCs w:val="1"/>
          <w:color w:val="3650e4"/>
          <w:rtl w:val="0"/>
        </w:rPr>
        <w:t xml:space="preserve">Výluky z odpovědnosti</w:t>
      </w:r>
      <w:r w:rsidDel="00000000" w:rsidR="00000000" w:rsidRPr="00000000">
        <w:rPr>
          <w:rtl w:val="0"/>
        </w:rPr>
      </w:r>
    </w:p>
    <w:p w:rsidR="00000000" w:rsidDel="00000000" w:rsidP="00000000" w:rsidRDefault="00000000" w:rsidRPr="00000000" w14:paraId="0000012D">
      <w:pPr>
        <w:widowControl w:val="1"/>
        <w:spacing w:after="240" w:before="240" w:line="397.44" w:lineRule="auto"/>
        <w:rPr>
          <w:rFonts w:ascii="Calibri" w:cs="Calibri" w:eastAsia="Calibri" w:hAnsi="Calibri"/>
        </w:rPr>
      </w:pPr>
      <w:r w:rsidDel="00000000" w:rsidR="00000000" w:rsidRPr="00000000">
        <w:rPr>
          <w:rFonts w:ascii="Calibri" w:cs="Calibri" w:eastAsia="Calibri" w:hAnsi="Calibri"/>
          <w:rtl w:val="0"/>
        </w:rPr>
        <w:t xml:space="preserve">Dodavatel není odpovědný za nedostupnost či poruchy způsobené:</w:t>
      </w:r>
    </w:p>
    <w:p w:rsidR="00000000" w:rsidDel="00000000" w:rsidP="00000000" w:rsidRDefault="00000000" w:rsidRPr="00000000" w14:paraId="0000012E">
      <w:pPr>
        <w:widowControl w:val="1"/>
        <w:numPr>
          <w:ilvl w:val="0"/>
          <w:numId w:val="10"/>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událostí vyšší moci (povodně, útoky DDoS mimo kontrolu Dodavatele, požár apod.),</w:t>
      </w:r>
    </w:p>
    <w:p w:rsidR="00000000" w:rsidDel="00000000" w:rsidP="00000000" w:rsidRDefault="00000000" w:rsidRPr="00000000" w14:paraId="0000012F">
      <w:pPr>
        <w:widowControl w:val="1"/>
        <w:numPr>
          <w:ilvl w:val="0"/>
          <w:numId w:val="10"/>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chybou na straně infrastruktury třetích stran, která není součástí SLA (poskytované cloudové a datové a mobilní služby),</w:t>
      </w:r>
    </w:p>
    <w:p w:rsidR="00000000" w:rsidDel="00000000" w:rsidP="00000000" w:rsidRDefault="00000000" w:rsidRPr="00000000" w14:paraId="00000130">
      <w:pPr>
        <w:widowControl w:val="1"/>
        <w:numPr>
          <w:ilvl w:val="0"/>
          <w:numId w:val="10"/>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neodborným zásahem Dopravce nebo jím pověřenou osobou,</w:t>
      </w:r>
    </w:p>
    <w:p w:rsidR="00000000" w:rsidDel="00000000" w:rsidP="00000000" w:rsidRDefault="00000000" w:rsidRPr="00000000" w14:paraId="00000131">
      <w:pPr>
        <w:widowControl w:val="1"/>
        <w:numPr>
          <w:ilvl w:val="0"/>
          <w:numId w:val="10"/>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plánovanou údržbou oznámenou minimálně 48 hodin předem.</w:t>
      </w:r>
    </w:p>
    <w:p w:rsidR="00000000" w:rsidDel="00000000" w:rsidP="00000000" w:rsidRDefault="00000000" w:rsidRPr="00000000" w14:paraId="00000132">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3">
      <w:pPr>
        <w:widowControl w:val="1"/>
        <w:numPr>
          <w:ilvl w:val="0"/>
          <w:numId w:val="5"/>
        </w:numPr>
        <w:spacing w:line="276" w:lineRule="auto"/>
        <w:ind w:left="720" w:hanging="360"/>
        <w:rPr>
          <w:rFonts w:ascii="Calibri" w:cs="Calibri" w:eastAsia="Calibri" w:hAnsi="Calibri"/>
          <w:b w:val="1"/>
          <w:bCs w:val="1"/>
          <w:color w:val="3650e4"/>
          <w:sz w:val="30"/>
          <w:szCs w:val="30"/>
        </w:rPr>
      </w:pPr>
      <w:r w:rsidDel="00000000" w:rsidR="00000000" w:rsidRPr="00000000">
        <w:rPr>
          <w:rFonts w:ascii="Calibri" w:cs="Calibri" w:eastAsia="Calibri" w:hAnsi="Calibri"/>
          <w:b w:val="1"/>
          <w:bCs w:val="1"/>
          <w:color w:val="3650e4"/>
          <w:rtl w:val="0"/>
        </w:rPr>
        <w:t xml:space="preserve">Hlášení a dokumentace incidentů</w:t>
      </w:r>
      <w:r w:rsidDel="00000000" w:rsidR="00000000" w:rsidRPr="00000000">
        <w:rPr>
          <w:rtl w:val="0"/>
        </w:rPr>
      </w:r>
    </w:p>
    <w:p w:rsidR="00000000" w:rsidDel="00000000" w:rsidP="00000000" w:rsidRDefault="00000000" w:rsidRPr="00000000" w14:paraId="00000134">
      <w:pPr>
        <w:widowControl w:val="1"/>
        <w:spacing w:line="397.44" w:lineRule="auto"/>
        <w:rPr>
          <w:rFonts w:ascii="Calibri" w:cs="Calibri" w:eastAsia="Calibri" w:hAnsi="Calibri"/>
        </w:rPr>
      </w:pPr>
      <w:r w:rsidDel="00000000" w:rsidR="00000000" w:rsidRPr="00000000">
        <w:rPr>
          <w:rFonts w:ascii="Calibri" w:cs="Calibri" w:eastAsia="Calibri" w:hAnsi="Calibri"/>
          <w:rtl w:val="0"/>
        </w:rPr>
        <w:t xml:space="preserve">Incidenty musí být hlášeny prostřednictvím helpdeskového systému</w:t>
      </w:r>
      <w:hyperlink r:id="rId8">
        <w:r w:rsidDel="00000000" w:rsidR="00000000" w:rsidRPr="00000000">
          <w:rPr>
            <w:rFonts w:ascii="Calibri" w:cs="Calibri" w:eastAsia="Calibri" w:hAnsi="Calibri"/>
            <w:rtl w:val="0"/>
          </w:rPr>
          <w:t xml:space="preserve"> </w:t>
        </w:r>
      </w:hyperlink>
      <w:hyperlink r:id="rId9">
        <w:r w:rsidDel="00000000" w:rsidR="00000000" w:rsidRPr="00000000">
          <w:rPr>
            <w:rFonts w:ascii="Calibri" w:cs="Calibri" w:eastAsia="Calibri" w:hAnsi="Calibri"/>
            <w:color w:val="1155cc"/>
            <w:u w:val="single"/>
            <w:rtl w:val="0"/>
          </w:rPr>
          <w:t xml:space="preserve">https://support.citya.io</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35">
      <w:pPr>
        <w:widowControl w:val="1"/>
        <w:spacing w:line="397.44" w:lineRule="auto"/>
        <w:rPr>
          <w:rFonts w:ascii="Calibri" w:cs="Calibri" w:eastAsia="Calibri" w:hAnsi="Calibri"/>
        </w:rPr>
      </w:pPr>
      <w:r w:rsidDel="00000000" w:rsidR="00000000" w:rsidRPr="00000000">
        <w:rPr>
          <w:rFonts w:ascii="Calibri" w:cs="Calibri" w:eastAsia="Calibri" w:hAnsi="Calibri"/>
          <w:rtl w:val="0"/>
        </w:rPr>
        <w:t xml:space="preserve">Každé hlášení musí obsahovat:</w:t>
      </w:r>
    </w:p>
    <w:p w:rsidR="00000000" w:rsidDel="00000000" w:rsidP="00000000" w:rsidRDefault="00000000" w:rsidRPr="00000000" w14:paraId="00000136">
      <w:pPr>
        <w:widowControl w:val="1"/>
        <w:numPr>
          <w:ilvl w:val="0"/>
          <w:numId w:val="8"/>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stručný popis incidentu,</w:t>
      </w:r>
    </w:p>
    <w:p w:rsidR="00000000" w:rsidDel="00000000" w:rsidP="00000000" w:rsidRDefault="00000000" w:rsidRPr="00000000" w14:paraId="00000137">
      <w:pPr>
        <w:widowControl w:val="1"/>
        <w:numPr>
          <w:ilvl w:val="0"/>
          <w:numId w:val="8"/>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datum a čas výskytu,</w:t>
      </w:r>
    </w:p>
    <w:p w:rsidR="00000000" w:rsidDel="00000000" w:rsidP="00000000" w:rsidRDefault="00000000" w:rsidRPr="00000000" w14:paraId="00000138">
      <w:pPr>
        <w:widowControl w:val="1"/>
        <w:numPr>
          <w:ilvl w:val="0"/>
          <w:numId w:val="8"/>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kontaktní osobu,</w:t>
      </w:r>
    </w:p>
    <w:p w:rsidR="00000000" w:rsidDel="00000000" w:rsidP="00000000" w:rsidRDefault="00000000" w:rsidRPr="00000000" w14:paraId="00000139">
      <w:pPr>
        <w:widowControl w:val="1"/>
        <w:numPr>
          <w:ilvl w:val="0"/>
          <w:numId w:val="8"/>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přiložené logy/snímky obrazovky (pokud existují).</w:t>
      </w:r>
    </w:p>
    <w:p w:rsidR="00000000" w:rsidDel="00000000" w:rsidP="00000000" w:rsidRDefault="00000000" w:rsidRPr="00000000" w14:paraId="0000013A">
      <w:pPr>
        <w:widowControl w:val="1"/>
        <w:spacing w:line="397.44" w:lineRule="auto"/>
        <w:rPr>
          <w:rFonts w:ascii="Calibri" w:cs="Calibri" w:eastAsia="Calibri" w:hAnsi="Calibri"/>
        </w:rPr>
      </w:pPr>
      <w:r w:rsidDel="00000000" w:rsidR="00000000" w:rsidRPr="00000000">
        <w:rPr>
          <w:rFonts w:ascii="Calibri" w:cs="Calibri" w:eastAsia="Calibri" w:hAnsi="Calibri"/>
          <w:rtl w:val="0"/>
        </w:rPr>
        <w:t xml:space="preserve">CITYA vede evidenci incidentů, která je zpřístupněna Dopravci online.</w:t>
      </w:r>
    </w:p>
    <w:p w:rsidR="00000000" w:rsidDel="00000000" w:rsidP="00000000" w:rsidRDefault="00000000" w:rsidRPr="00000000" w14:paraId="0000013B">
      <w:pPr>
        <w:widowControl w:val="1"/>
        <w:spacing w:line="397.44" w:lineRule="auto"/>
        <w:rPr>
          <w:rFonts w:ascii="Calibri" w:cs="Calibri" w:eastAsia="Calibri" w:hAnsi="Calibri"/>
        </w:rPr>
      </w:pPr>
      <w:r w:rsidDel="00000000" w:rsidR="00000000" w:rsidRPr="00000000">
        <w:rPr>
          <w:rFonts w:ascii="Calibri" w:cs="Calibri" w:eastAsia="Calibri" w:hAnsi="Calibri"/>
          <w:rtl w:val="0"/>
        </w:rPr>
        <w:t xml:space="preserve">CITYA poskytne Dopravci měsíční výkaz s rozdělením incidentů dle kategorií a časů řešení.</w:t>
      </w:r>
    </w:p>
    <w:p w:rsidR="00000000" w:rsidDel="00000000" w:rsidP="00000000" w:rsidRDefault="00000000" w:rsidRPr="00000000" w14:paraId="0000013C">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D">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E">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F">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0">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1">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2">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3">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4">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5">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6">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7">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8">
      <w:pPr>
        <w:widowControl w:val="1"/>
        <w:spacing w:after="240" w:before="24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9">
      <w:pPr>
        <w:widowControl w:val="1"/>
        <w:spacing w:after="240" w:before="240" w:line="276" w:lineRule="auto"/>
        <w:jc w:val="center"/>
        <w:rPr>
          <w:rFonts w:ascii="Calibri" w:cs="Calibri" w:eastAsia="Calibri" w:hAnsi="Calibri"/>
          <w:b w:val="1"/>
          <w:bCs w:val="1"/>
          <w:sz w:val="32"/>
          <w:szCs w:val="32"/>
          <w:highlight w:val="white"/>
        </w:rPr>
      </w:pPr>
      <w:r w:rsidDel="00000000" w:rsidR="00000000" w:rsidRPr="00000000">
        <w:rPr>
          <w:rFonts w:ascii="Calibri" w:cs="Calibri" w:eastAsia="Calibri" w:hAnsi="Calibri"/>
          <w:b w:val="1"/>
          <w:bCs w:val="1"/>
          <w:sz w:val="32"/>
          <w:szCs w:val="32"/>
          <w:rtl w:val="0"/>
        </w:rPr>
        <w:t xml:space="preserve">Příloha č. 3 - </w:t>
      </w:r>
      <w:r w:rsidDel="00000000" w:rsidR="00000000" w:rsidRPr="00000000">
        <w:rPr>
          <w:rFonts w:ascii="Calibri" w:cs="Calibri" w:eastAsia="Calibri" w:hAnsi="Calibri"/>
          <w:b w:val="1"/>
          <w:bCs w:val="1"/>
          <w:sz w:val="32"/>
          <w:szCs w:val="32"/>
          <w:highlight w:val="white"/>
          <w:rtl w:val="0"/>
        </w:rPr>
        <w:t xml:space="preserve">Grafická specifikace Oblasti</w:t>
      </w:r>
    </w:p>
    <w:p w:rsidR="00000000" w:rsidDel="00000000" w:rsidP="00000000" w:rsidRDefault="00000000" w:rsidRPr="00000000" w14:paraId="0000014A">
      <w:pPr>
        <w:widowControl w:val="1"/>
        <w:spacing w:line="360" w:lineRule="auto"/>
        <w:jc w:val="center"/>
        <w:rPr>
          <w:rFonts w:ascii="Calibri" w:cs="Calibri" w:eastAsia="Calibri" w:hAnsi="Calibri"/>
          <w:b w:val="1"/>
          <w:bCs w:val="1"/>
          <w:sz w:val="32"/>
          <w:szCs w:val="32"/>
          <w:highlight w:val="white"/>
        </w:rPr>
      </w:pPr>
      <w:r w:rsidDel="00000000" w:rsidR="00000000" w:rsidRPr="00000000">
        <w:rPr>
          <w:rFonts w:ascii="Open Sans" w:cs="Open Sans" w:eastAsia="Open Sans" w:hAnsi="Open Sans"/>
          <w:sz w:val="22"/>
          <w:szCs w:val="22"/>
        </w:rPr>
        <w:drawing>
          <wp:inline distB="114300" distT="114300" distL="114300" distR="114300">
            <wp:extent cx="5731200" cy="5956300"/>
            <wp:effectExtent b="0" l="0" r="0" t="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731200" cy="59563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widowControl w:val="1"/>
        <w:spacing w:after="240" w:before="240" w:line="276" w:lineRule="auto"/>
        <w:jc w:val="center"/>
        <w:rPr>
          <w:rFonts w:ascii="Calibri" w:cs="Calibri" w:eastAsia="Calibri" w:hAnsi="Calibri"/>
          <w:b w:val="1"/>
          <w:bCs w:val="1"/>
          <w:sz w:val="32"/>
          <w:szCs w:val="32"/>
          <w:highlight w:val="white"/>
        </w:rPr>
      </w:pPr>
      <w:r w:rsidDel="00000000" w:rsidR="00000000" w:rsidRPr="00000000">
        <w:rPr>
          <w:rtl w:val="0"/>
        </w:rPr>
      </w:r>
    </w:p>
    <w:p w:rsidR="00000000" w:rsidDel="00000000" w:rsidP="00000000" w:rsidRDefault="00000000" w:rsidRPr="00000000" w14:paraId="0000014C">
      <w:pPr>
        <w:widowControl w:val="1"/>
        <w:spacing w:after="240" w:before="240" w:line="276" w:lineRule="auto"/>
        <w:jc w:val="left"/>
        <w:rPr>
          <w:rFonts w:ascii="Calibri" w:cs="Calibri" w:eastAsia="Calibri" w:hAnsi="Calibri"/>
          <w:b w:val="1"/>
          <w:bCs w:val="1"/>
          <w:sz w:val="32"/>
          <w:szCs w:val="32"/>
          <w:highlight w:val="white"/>
        </w:rPr>
      </w:pPr>
      <w:r w:rsidDel="00000000" w:rsidR="00000000" w:rsidRPr="00000000">
        <w:rPr>
          <w:rtl w:val="0"/>
        </w:rPr>
      </w:r>
    </w:p>
    <w:p w:rsidR="00000000" w:rsidDel="00000000" w:rsidP="00000000" w:rsidRDefault="00000000" w:rsidRPr="00000000" w14:paraId="0000014D">
      <w:pPr>
        <w:widowControl w:val="1"/>
        <w:spacing w:after="240" w:before="240" w:line="276" w:lineRule="auto"/>
        <w:jc w:val="left"/>
        <w:rPr>
          <w:rFonts w:ascii="Calibri" w:cs="Calibri" w:eastAsia="Calibri" w:hAnsi="Calibri"/>
          <w:b w:val="1"/>
          <w:bCs w:val="1"/>
          <w:sz w:val="32"/>
          <w:szCs w:val="32"/>
          <w:highlight w:val="white"/>
        </w:rPr>
      </w:pPr>
      <w:r w:rsidDel="00000000" w:rsidR="00000000" w:rsidRPr="00000000">
        <w:rPr>
          <w:rtl w:val="0"/>
        </w:rPr>
      </w:r>
    </w:p>
    <w:p w:rsidR="00000000" w:rsidDel="00000000" w:rsidP="00000000" w:rsidRDefault="00000000" w:rsidRPr="00000000" w14:paraId="0000014E">
      <w:pPr>
        <w:widowControl w:val="1"/>
        <w:spacing w:after="240" w:before="240" w:line="276" w:lineRule="auto"/>
        <w:jc w:val="center"/>
        <w:rPr>
          <w:rFonts w:ascii="Calibri" w:cs="Calibri" w:eastAsia="Calibri" w:hAnsi="Calibri"/>
          <w:b w:val="1"/>
          <w:bCs w:val="1"/>
          <w:sz w:val="32"/>
          <w:szCs w:val="32"/>
          <w:highlight w:val="white"/>
        </w:rPr>
      </w:pPr>
      <w:r w:rsidDel="00000000" w:rsidR="00000000" w:rsidRPr="00000000">
        <w:rPr>
          <w:rtl w:val="0"/>
        </w:rPr>
      </w:r>
    </w:p>
    <w:p w:rsidR="00000000" w:rsidDel="00000000" w:rsidP="00000000" w:rsidRDefault="00000000" w:rsidRPr="00000000" w14:paraId="0000014F">
      <w:pPr>
        <w:widowControl w:val="1"/>
        <w:spacing w:after="240" w:before="240" w:line="276" w:lineRule="auto"/>
        <w:jc w:val="center"/>
        <w:rPr>
          <w:rFonts w:ascii="Calibri" w:cs="Calibri" w:eastAsia="Calibri" w:hAnsi="Calibri"/>
          <w:b w:val="1"/>
          <w:bCs w:val="1"/>
          <w:sz w:val="32"/>
          <w:szCs w:val="32"/>
          <w:highlight w:val="white"/>
        </w:rPr>
      </w:pPr>
      <w:r w:rsidDel="00000000" w:rsidR="00000000" w:rsidRPr="00000000">
        <w:rPr>
          <w:rtl w:val="0"/>
        </w:rPr>
      </w:r>
    </w:p>
    <w:p w:rsidR="00000000" w:rsidDel="00000000" w:rsidP="00000000" w:rsidRDefault="00000000" w:rsidRPr="00000000" w14:paraId="00000150">
      <w:pPr>
        <w:widowControl w:val="1"/>
        <w:spacing w:after="240" w:before="240" w:line="276" w:lineRule="auto"/>
        <w:jc w:val="center"/>
        <w:rPr>
          <w:rFonts w:ascii="Calibri" w:cs="Calibri" w:eastAsia="Calibri" w:hAnsi="Calibri"/>
          <w:b w:val="1"/>
          <w:bCs w:val="1"/>
          <w:sz w:val="32"/>
          <w:szCs w:val="32"/>
          <w:highlight w:val="white"/>
        </w:rPr>
      </w:pPr>
      <w:r w:rsidDel="00000000" w:rsidR="00000000" w:rsidRPr="00000000">
        <w:rPr>
          <w:rtl w:val="0"/>
        </w:rPr>
      </w:r>
    </w:p>
    <w:p w:rsidR="00000000" w:rsidDel="00000000" w:rsidP="00000000" w:rsidRDefault="00000000" w:rsidRPr="00000000" w14:paraId="00000151">
      <w:pPr>
        <w:widowControl w:val="1"/>
        <w:spacing w:after="240" w:before="240" w:line="276" w:lineRule="auto"/>
        <w:jc w:val="center"/>
        <w:rPr>
          <w:rFonts w:ascii="Calibri" w:cs="Calibri" w:eastAsia="Calibri" w:hAnsi="Calibri"/>
          <w:b w:val="1"/>
          <w:bCs w:val="1"/>
          <w:sz w:val="32"/>
          <w:szCs w:val="32"/>
          <w:highlight w:val="white"/>
        </w:rPr>
      </w:pPr>
      <w:r w:rsidDel="00000000" w:rsidR="00000000" w:rsidRPr="00000000">
        <w:rPr>
          <w:rFonts w:ascii="Calibri" w:cs="Calibri" w:eastAsia="Calibri" w:hAnsi="Calibri"/>
          <w:b w:val="1"/>
          <w:bCs w:val="1"/>
          <w:sz w:val="32"/>
          <w:szCs w:val="32"/>
          <w:highlight w:val="white"/>
          <w:rtl w:val="0"/>
        </w:rPr>
        <w:t xml:space="preserve">Příloha č. 4 - Tarifní sazby jízdného</w:t>
      </w:r>
    </w:p>
    <w:p w:rsidR="00000000" w:rsidDel="00000000" w:rsidP="00000000" w:rsidRDefault="00000000" w:rsidRPr="00000000" w14:paraId="00000152">
      <w:pPr>
        <w:numPr>
          <w:ilvl w:val="0"/>
          <w:numId w:val="1"/>
        </w:numPr>
        <w:spacing w:line="304"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30 Kč vč. DPH za osobu </w:t>
      </w:r>
    </w:p>
    <w:p w:rsidR="00000000" w:rsidDel="00000000" w:rsidP="00000000" w:rsidRDefault="00000000" w:rsidRPr="00000000" w14:paraId="00000153">
      <w:pPr>
        <w:numPr>
          <w:ilvl w:val="0"/>
          <w:numId w:val="1"/>
        </w:numPr>
        <w:spacing w:line="304"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20 Kč vč. DPH zvýhodněné jízdné pro děti, žáky ( do 18 let ), studenty ( do 26 let ), seniory ( 65 + ) </w:t>
      </w:r>
    </w:p>
    <w:sectPr>
      <w:pgSz w:h="16838" w:w="11906" w:orient="portrait"/>
      <w:pgMar w:bottom="1276" w:top="1134"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upperLetter"/>
      <w:lvlText w:val="(%1)"/>
      <w:lvlJc w:val="left"/>
      <w:pPr>
        <w:ind w:left="360" w:hanging="360"/>
      </w:pPr>
      <w:rPr>
        <w:rFonts w:ascii="Calibri" w:cs="Calibri" w:eastAsia="Calibri" w:hAnsi="Calibri"/>
        <w:b w:val="0"/>
        <w:bCs w:val="0"/>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decimal"/>
      <w:lvlText w:val="%1."/>
      <w:lvlJc w:val="left"/>
      <w:pPr>
        <w:ind w:left="360" w:hanging="360"/>
      </w:pPr>
      <w:rPr>
        <w:b w:val="1"/>
        <w:bCs w:val="1"/>
        <w:sz w:val="22"/>
        <w:szCs w:val="22"/>
      </w:rPr>
    </w:lvl>
    <w:lvl w:ilvl="1">
      <w:start w:val="1"/>
      <w:numFmt w:val="decimal"/>
      <w:lvlText w:val="%1.%2."/>
      <w:lvlJc w:val="left"/>
      <w:pPr>
        <w:ind w:left="6103" w:hanging="432.0000000000009"/>
      </w:pPr>
      <w:rPr>
        <w:b w:val="0"/>
        <w:bCs w:val="0"/>
        <w:color w:val="000000"/>
        <w:sz w:val="22"/>
        <w:szCs w:val="22"/>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spacing w:after="120" w:before="480" w:lineRule="auto"/>
      <w:jc w:val="center"/>
    </w:pPr>
    <w:rPr>
      <w:b w:val="1"/>
      <w:bCs w:val="1"/>
      <w:sz w:val="22"/>
      <w:szCs w:val="22"/>
    </w:rPr>
  </w:style>
  <w:style w:type="paragraph" w:styleId="Heading2">
    <w:name w:val="heading 2"/>
    <w:basedOn w:val="Normal"/>
    <w:next w:val="Normal"/>
    <w:pPr>
      <w:keepNext w:val="1"/>
      <w:widowControl w:val="1"/>
      <w:spacing w:after="120" w:before="120" w:lineRule="auto"/>
      <w:jc w:val="both"/>
    </w:pPr>
    <w:rPr>
      <w:sz w:val="22"/>
      <w:szCs w:val="22"/>
    </w:rPr>
  </w:style>
  <w:style w:type="paragraph" w:styleId="Heading3">
    <w:name w:val="heading 3"/>
    <w:basedOn w:val="Normal"/>
    <w:next w:val="Normal"/>
    <w:pPr>
      <w:keepNext w:val="1"/>
      <w:widowControl w:val="1"/>
      <w:spacing w:after="120" w:before="120" w:lineRule="auto"/>
      <w:jc w:val="both"/>
    </w:pPr>
    <w:rPr>
      <w:sz w:val="22"/>
      <w:szCs w:val="22"/>
    </w:rPr>
  </w:style>
  <w:style w:type="paragraph" w:styleId="Heading4">
    <w:name w:val="heading 4"/>
    <w:basedOn w:val="Normal"/>
    <w:next w:val="Normal"/>
    <w:pPr>
      <w:keepNext w:val="1"/>
      <w:widowControl w:val="1"/>
      <w:spacing w:after="120" w:before="120" w:lineRule="auto"/>
      <w:jc w:val="both"/>
    </w:pPr>
    <w:rPr>
      <w:sz w:val="22"/>
      <w:szCs w:val="22"/>
    </w:rPr>
  </w:style>
  <w:style w:type="paragraph" w:styleId="Heading5">
    <w:name w:val="heading 5"/>
    <w:basedOn w:val="Normal"/>
    <w:next w:val="Normal"/>
    <w:pPr>
      <w:widowControl w:val="1"/>
      <w:spacing w:after="120" w:before="120" w:lineRule="auto"/>
      <w:jc w:val="both"/>
    </w:pPr>
    <w:rPr>
      <w:sz w:val="22"/>
      <w:szCs w:val="22"/>
    </w:rPr>
  </w:style>
  <w:style w:type="paragraph" w:styleId="Heading6">
    <w:name w:val="heading 6"/>
    <w:basedOn w:val="Normal"/>
    <w:next w:val="Normal"/>
    <w:pPr>
      <w:widowControl w:val="1"/>
      <w:spacing w:after="60" w:before="240" w:lineRule="auto"/>
      <w:jc w:val="both"/>
    </w:pPr>
    <w:rPr>
      <w:i w:val="1"/>
      <w:i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adpis7">
    <w:name w:val="heading 7"/>
    <w:aliases w:val="Appendix Major,7,E1 Marginal"/>
    <w:basedOn w:val="Normln"/>
    <w:next w:val="Normln"/>
    <w:link w:val="Nadpis7Char"/>
    <w:unhideWhenUsed w:val="1"/>
    <w:qFormat w:val="1"/>
    <w:rsid w:val="00F51359"/>
    <w:pPr>
      <w:widowControl w:val="1"/>
      <w:spacing w:after="60" w:before="240"/>
      <w:jc w:val="both"/>
      <w:outlineLvl w:val="6"/>
    </w:pPr>
    <w:rPr>
      <w:rFonts w:ascii="Arial" w:hAnsi="Arial"/>
      <w:snapToGrid w:val="1"/>
      <w:sz w:val="20"/>
    </w:rPr>
  </w:style>
  <w:style w:type="paragraph" w:styleId="Nadpis8">
    <w:name w:val="heading 8"/>
    <w:basedOn w:val="Normln"/>
    <w:next w:val="Normln"/>
    <w:link w:val="Nadpis8Char"/>
    <w:unhideWhenUsed w:val="1"/>
    <w:qFormat w:val="1"/>
    <w:rsid w:val="00F51359"/>
    <w:pPr>
      <w:widowControl w:val="1"/>
      <w:spacing w:after="60" w:before="240"/>
      <w:jc w:val="both"/>
      <w:outlineLvl w:val="7"/>
    </w:pPr>
    <w:rPr>
      <w:rFonts w:ascii="Arial" w:hAnsi="Arial"/>
      <w:i w:val="1"/>
      <w:snapToGrid w:val="1"/>
      <w:sz w:val="20"/>
    </w:rPr>
  </w:style>
  <w:style w:type="paragraph" w:styleId="Nadpis9">
    <w:name w:val="heading 9"/>
    <w:basedOn w:val="Normln"/>
    <w:next w:val="Normln"/>
    <w:link w:val="Nadpis9Char"/>
    <w:unhideWhenUsed w:val="1"/>
    <w:qFormat w:val="1"/>
    <w:rsid w:val="00F51359"/>
    <w:pPr>
      <w:widowControl w:val="1"/>
      <w:spacing w:after="60" w:before="240"/>
      <w:jc w:val="both"/>
      <w:outlineLvl w:val="8"/>
    </w:pPr>
    <w:rPr>
      <w:rFonts w:ascii="Arial" w:hAnsi="Arial"/>
      <w:b w:val="1"/>
      <w:i w:val="1"/>
      <w:snapToGrid w:val="1"/>
      <w:sz w:val="18"/>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1Char" w:customStyle="1">
    <w:name w:val="Nadpis 1 Char"/>
    <w:aliases w:val="Level 1 (CtrlShift + L1) Char,Hoofdstukkop Char,Section Heading Char,H1 Char,No numbers Char,h1 Char"/>
    <w:basedOn w:val="Standardnpsmoodstavce"/>
    <w:link w:val="Nadpis1"/>
    <w:uiPriority w:val="9"/>
    <w:rsid w:val="00F51359"/>
    <w:rPr>
      <w:rFonts w:ascii="Times New Roman" w:cs="Times New Roman" w:eastAsia="Times New Roman" w:hAnsi="Times New Roman"/>
      <w:b w:val="1"/>
      <w:kern w:val="28"/>
      <w:szCs w:val="20"/>
      <w:lang w:eastAsia="cs-CZ"/>
    </w:rPr>
  </w:style>
  <w:style w:type="character" w:styleId="Nadpis2Char" w:customStyle="1">
    <w:name w:val="Nadpis 2 Char"/>
    <w:aliases w:val="Level 2 (CtrlShift + L2) Char,Char Char Char Char,Char Char Char Char Char Char,Section Char,m Char,Body Text (Reset numbering) Char,Reset numbering Char,H2 Char,h2 Char,TF-Overskrit 2 Char,h2 main heading Char,2m Char,h 2 Char"/>
    <w:basedOn w:val="Standardnpsmoodstavce"/>
    <w:link w:val="Nadpis2"/>
    <w:uiPriority w:val="9"/>
    <w:rsid w:val="00F51359"/>
    <w:rPr>
      <w:rFonts w:ascii="Times New Roman" w:cs="Times New Roman" w:eastAsia="Times New Roman" w:hAnsi="Times New Roman"/>
      <w:szCs w:val="20"/>
      <w:lang w:eastAsia="cs-CZ"/>
    </w:rPr>
  </w:style>
  <w:style w:type="character" w:styleId="Nadpis3Char" w:customStyle="1">
    <w:name w:val="Nadpis 3 Char"/>
    <w:aliases w:val="Level 3 (CtrlShift + L3) Char,Char Char,Level 1 - 2 Char,h3 Char,C Sub-Sub/Italic Char,h3 sub heading Char,Head 31 Char,Head 32 Char,C Sub-Sub/Italic1 Char,h3 sub heading1 Char,H3 Char,3m Char,Level 1 - 1 Char,GPH Heading 3 Char,H31 Char"/>
    <w:basedOn w:val="Standardnpsmoodstavce"/>
    <w:link w:val="Nadpis3"/>
    <w:uiPriority w:val="9"/>
    <w:rsid w:val="00F51359"/>
    <w:rPr>
      <w:rFonts w:ascii="Times New Roman" w:cs="Times New Roman" w:eastAsia="Times New Roman" w:hAnsi="Times New Roman"/>
      <w:szCs w:val="20"/>
      <w:lang w:eastAsia="cs-CZ"/>
    </w:rPr>
  </w:style>
  <w:style w:type="character" w:styleId="Nadpis4Char" w:customStyle="1">
    <w:name w:val="Nadpis 4 Char"/>
    <w:aliases w:val="Level 4 (CtrlShift + L4) Char,Text_Subhead_Sub Char,h4 Char,h4 sub sub heading Char,D Sub-Sub/Plain Char,Level 2 - (a) Char,Level 2 - a Char,GPH Heading 4 Char,Schedules Char,Vertrag Char,smlouva Char"/>
    <w:basedOn w:val="Standardnpsmoodstavce"/>
    <w:link w:val="Nadpis4"/>
    <w:uiPriority w:val="9"/>
    <w:rsid w:val="00F51359"/>
    <w:rPr>
      <w:rFonts w:ascii="Times New Roman" w:cs="Times New Roman" w:eastAsia="Times New Roman" w:hAnsi="Times New Roman"/>
      <w:szCs w:val="20"/>
      <w:lang w:eastAsia="cs-CZ"/>
    </w:rPr>
  </w:style>
  <w:style w:type="character" w:styleId="Nadpis5Char" w:customStyle="1">
    <w:name w:val="Nadpis 5 Char"/>
    <w:aliases w:val="Heading 5(unused) Char,Level 3 - (i) Char"/>
    <w:basedOn w:val="Standardnpsmoodstavce"/>
    <w:link w:val="Nadpis5"/>
    <w:uiPriority w:val="9"/>
    <w:rsid w:val="00F51359"/>
    <w:rPr>
      <w:rFonts w:ascii="Times New Roman" w:cs="Times New Roman" w:eastAsia="Times New Roman" w:hAnsi="Times New Roman"/>
      <w:szCs w:val="20"/>
      <w:lang w:eastAsia="cs-CZ"/>
    </w:rPr>
  </w:style>
  <w:style w:type="character" w:styleId="Nadpis6Char" w:customStyle="1">
    <w:name w:val="Nadpis 6 Char"/>
    <w:aliases w:val="Heading 6(unused) Char,Legal Level 1. Char,L1 PIP Char"/>
    <w:basedOn w:val="Standardnpsmoodstavce"/>
    <w:link w:val="Nadpis6"/>
    <w:uiPriority w:val="9"/>
    <w:rsid w:val="00F51359"/>
    <w:rPr>
      <w:rFonts w:ascii="Times New Roman" w:cs="Times New Roman" w:eastAsia="Times New Roman" w:hAnsi="Times New Roman"/>
      <w:i w:val="1"/>
      <w:szCs w:val="20"/>
      <w:lang w:eastAsia="cs-CZ"/>
    </w:rPr>
  </w:style>
  <w:style w:type="character" w:styleId="Nadpis7Char" w:customStyle="1">
    <w:name w:val="Nadpis 7 Char"/>
    <w:aliases w:val="Appendix Major Char,7 Char,E1 Marginal Char"/>
    <w:basedOn w:val="Standardnpsmoodstavce"/>
    <w:link w:val="Nadpis7"/>
    <w:rsid w:val="00F51359"/>
    <w:rPr>
      <w:rFonts w:ascii="Arial" w:cs="Times New Roman" w:eastAsia="Times New Roman" w:hAnsi="Arial"/>
      <w:sz w:val="20"/>
      <w:szCs w:val="20"/>
      <w:lang w:eastAsia="cs-CZ"/>
    </w:rPr>
  </w:style>
  <w:style w:type="character" w:styleId="Nadpis8Char" w:customStyle="1">
    <w:name w:val="Nadpis 8 Char"/>
    <w:basedOn w:val="Standardnpsmoodstavce"/>
    <w:link w:val="Nadpis8"/>
    <w:rsid w:val="00F51359"/>
    <w:rPr>
      <w:rFonts w:ascii="Arial" w:cs="Times New Roman" w:eastAsia="Times New Roman" w:hAnsi="Arial"/>
      <w:i w:val="1"/>
      <w:sz w:val="20"/>
      <w:szCs w:val="20"/>
      <w:lang w:eastAsia="cs-CZ"/>
    </w:rPr>
  </w:style>
  <w:style w:type="character" w:styleId="Nadpis9Char" w:customStyle="1">
    <w:name w:val="Nadpis 9 Char"/>
    <w:basedOn w:val="Standardnpsmoodstavce"/>
    <w:link w:val="Nadpis9"/>
    <w:rsid w:val="00F51359"/>
    <w:rPr>
      <w:rFonts w:ascii="Arial" w:cs="Times New Roman" w:eastAsia="Times New Roman" w:hAnsi="Arial"/>
      <w:b w:val="1"/>
      <w:i w:val="1"/>
      <w:sz w:val="18"/>
      <w:szCs w:val="20"/>
      <w:lang w:eastAsia="cs-CZ"/>
    </w:rPr>
  </w:style>
  <w:style w:type="paragraph" w:styleId="Zhlav">
    <w:name w:val="header"/>
    <w:basedOn w:val="Normln"/>
    <w:link w:val="ZhlavChar"/>
    <w:uiPriority w:val="99"/>
    <w:unhideWhenUsed w:val="1"/>
    <w:rsid w:val="00A02D95"/>
    <w:pPr>
      <w:tabs>
        <w:tab w:val="center" w:pos="4536"/>
        <w:tab w:val="right" w:pos="9072"/>
      </w:tabs>
    </w:pPr>
  </w:style>
  <w:style w:type="character" w:styleId="ZhlavChar" w:customStyle="1">
    <w:name w:val="Záhlaví Char"/>
    <w:basedOn w:val="Standardnpsmoodstavce"/>
    <w:link w:val="Zhlav"/>
    <w:uiPriority w:val="99"/>
    <w:rsid w:val="00A02D95"/>
    <w:rPr>
      <w:rFonts w:ascii="Times New Roman" w:cs="Times New Roman" w:eastAsia="Times New Roman" w:hAnsi="Times New Roman"/>
      <w:snapToGrid w:val="0"/>
      <w:sz w:val="24"/>
      <w:szCs w:val="20"/>
      <w:lang w:eastAsia="cs-CZ"/>
    </w:rPr>
  </w:style>
  <w:style w:type="paragraph" w:styleId="Zpat">
    <w:name w:val="footer"/>
    <w:basedOn w:val="Normln"/>
    <w:link w:val="ZpatChar"/>
    <w:uiPriority w:val="99"/>
    <w:unhideWhenUsed w:val="1"/>
    <w:rsid w:val="00A02D95"/>
    <w:pPr>
      <w:tabs>
        <w:tab w:val="center" w:pos="4536"/>
        <w:tab w:val="right" w:pos="9072"/>
      </w:tabs>
    </w:pPr>
  </w:style>
  <w:style w:type="character" w:styleId="ZpatChar" w:customStyle="1">
    <w:name w:val="Zápatí Char"/>
    <w:basedOn w:val="Standardnpsmoodstavce"/>
    <w:link w:val="Zpat"/>
    <w:uiPriority w:val="99"/>
    <w:rsid w:val="00A02D95"/>
    <w:rPr>
      <w:rFonts w:ascii="Times New Roman" w:cs="Times New Roman" w:eastAsia="Times New Roman" w:hAnsi="Times New Roman"/>
      <w:snapToGrid w:val="0"/>
      <w:sz w:val="24"/>
      <w:szCs w:val="20"/>
      <w:lang w:eastAsia="cs-CZ"/>
    </w:rPr>
  </w:style>
  <w:style w:type="paragraph" w:styleId="Default" w:customStyle="1">
    <w:name w:val="Default"/>
    <w:rsid w:val="002441D5"/>
    <w:pPr>
      <w:autoSpaceDE w:val="0"/>
      <w:autoSpaceDN w:val="0"/>
      <w:adjustRightInd w:val="0"/>
      <w:spacing w:after="0" w:line="240" w:lineRule="auto"/>
    </w:pPr>
    <w:rPr>
      <w:rFonts w:ascii="Calibri" w:cs="Calibri" w:hAnsi="Calibri"/>
      <w:color w:val="000000"/>
      <w:sz w:val="24"/>
      <w:szCs w:val="24"/>
    </w:rPr>
  </w:style>
  <w:style w:type="paragraph" w:styleId="Odstavecseseznamem">
    <w:name w:val="List Paragraph"/>
    <w:basedOn w:val="Normln"/>
    <w:uiPriority w:val="34"/>
    <w:qFormat w:val="1"/>
    <w:rsid w:val="00AB08AA"/>
    <w:pPr>
      <w:ind w:left="720"/>
      <w:contextualSpacing w:val="1"/>
    </w:pPr>
  </w:style>
  <w:style w:type="character" w:styleId="Odkaznakoment">
    <w:name w:val="annotation reference"/>
    <w:basedOn w:val="Standardnpsmoodstavce"/>
    <w:uiPriority w:val="99"/>
    <w:semiHidden w:val="1"/>
    <w:unhideWhenUsed w:val="1"/>
    <w:rsid w:val="005C5CFA"/>
    <w:rPr>
      <w:sz w:val="16"/>
      <w:szCs w:val="16"/>
    </w:rPr>
  </w:style>
  <w:style w:type="paragraph" w:styleId="Textkomente">
    <w:name w:val="annotation text"/>
    <w:basedOn w:val="Normln"/>
    <w:link w:val="TextkomenteChar"/>
    <w:uiPriority w:val="99"/>
    <w:semiHidden w:val="1"/>
    <w:unhideWhenUsed w:val="1"/>
    <w:rsid w:val="005C5CFA"/>
    <w:rPr>
      <w:sz w:val="20"/>
    </w:rPr>
  </w:style>
  <w:style w:type="character" w:styleId="TextkomenteChar" w:customStyle="1">
    <w:name w:val="Text komentáře Char"/>
    <w:basedOn w:val="Standardnpsmoodstavce"/>
    <w:link w:val="Textkomente"/>
    <w:uiPriority w:val="99"/>
    <w:semiHidden w:val="1"/>
    <w:rsid w:val="005C5CFA"/>
    <w:rPr>
      <w:rFonts w:ascii="Times New Roman" w:cs="Times New Roman" w:eastAsia="Times New Roman" w:hAnsi="Times New Roman"/>
      <w:snapToGrid w:val="0"/>
      <w:sz w:val="20"/>
      <w:szCs w:val="20"/>
      <w:lang w:eastAsia="cs-CZ"/>
    </w:rPr>
  </w:style>
  <w:style w:type="paragraph" w:styleId="Pedmtkomente">
    <w:name w:val="annotation subject"/>
    <w:basedOn w:val="Textkomente"/>
    <w:next w:val="Textkomente"/>
    <w:link w:val="PedmtkomenteChar"/>
    <w:uiPriority w:val="99"/>
    <w:semiHidden w:val="1"/>
    <w:unhideWhenUsed w:val="1"/>
    <w:rsid w:val="005C5CFA"/>
    <w:rPr>
      <w:b w:val="1"/>
      <w:bCs w:val="1"/>
    </w:rPr>
  </w:style>
  <w:style w:type="character" w:styleId="PedmtkomenteChar" w:customStyle="1">
    <w:name w:val="Předmět komentáře Char"/>
    <w:basedOn w:val="TextkomenteChar"/>
    <w:link w:val="Pedmtkomente"/>
    <w:uiPriority w:val="99"/>
    <w:semiHidden w:val="1"/>
    <w:rsid w:val="005C5CFA"/>
    <w:rPr>
      <w:rFonts w:ascii="Times New Roman" w:cs="Times New Roman" w:eastAsia="Times New Roman" w:hAnsi="Times New Roman"/>
      <w:b w:val="1"/>
      <w:bCs w:val="1"/>
      <w:snapToGrid w:val="0"/>
      <w:sz w:val="20"/>
      <w:szCs w:val="20"/>
      <w:lang w:eastAsia="cs-CZ"/>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https://support.citya.i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support.citya.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MmrYUmtvXsSHuH9mLbnEBkPVQ==">CgMxLjAyDmgucHNodm52dm50bHJwMghoLmdqZGd4czIOaC52amY3NHE2ZHVxN2UyDmguOTdwcG1iY2M1N2RhMg5oLmVyd3l1NnJ4MjY0bzgAciExRnkzLWxicTFJUjJzaE14YU5mRlhTTkcwZERkZ2tWTkc=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2025-09-29T22:09:00Z</dcterms:created>
  <dc:creator>User</dc:creator>
</cp:coreProperties>
</file>