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2BC11" w14:textId="77777777" w:rsidR="009E35E7" w:rsidRDefault="00C64EFB">
      <w:pPr>
        <w:pStyle w:val="Standard"/>
        <w:autoSpaceDE w:val="0"/>
        <w:spacing w:line="288" w:lineRule="auto"/>
        <w:rPr>
          <w:rFonts w:ascii="Arial" w:eastAsia="Times New Roman" w:hAnsi="Arial" w:cs="Arial"/>
          <w:i/>
          <w:iCs/>
          <w:color w:val="000000"/>
          <w:sz w:val="18"/>
          <w:szCs w:val="18"/>
          <w:lang w:eastAsia="ar-SA" w:bidi="ar-SA"/>
        </w:rPr>
      </w:pPr>
      <w:r>
        <w:rPr>
          <w:rFonts w:ascii="Arial" w:eastAsia="Times New Roman" w:hAnsi="Arial" w:cs="Arial"/>
          <w:i/>
          <w:iCs/>
          <w:color w:val="000000"/>
          <w:sz w:val="18"/>
          <w:szCs w:val="18"/>
          <w:lang w:eastAsia="ar-SA" w:bidi="ar-SA"/>
        </w:rPr>
        <w:t>Příloha č. 4</w:t>
      </w:r>
    </w:p>
    <w:p w14:paraId="079588E2" w14:textId="77777777" w:rsidR="009E35E7" w:rsidRDefault="00C64EFB">
      <w:pPr>
        <w:pStyle w:val="Standard"/>
        <w:shd w:val="clear" w:color="auto" w:fill="CCCCCC"/>
        <w:autoSpaceDE w:val="0"/>
        <w:spacing w:line="288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6"/>
          <w:szCs w:val="26"/>
          <w:lang w:eastAsia="ar-SA" w:bidi="ar-SA"/>
        </w:rPr>
      </w:pPr>
      <w:r>
        <w:rPr>
          <w:rFonts w:ascii="Arial" w:eastAsia="Times New Roman" w:hAnsi="Arial" w:cs="Arial"/>
          <w:b/>
          <w:bCs/>
          <w:caps/>
          <w:color w:val="000000"/>
          <w:sz w:val="26"/>
          <w:szCs w:val="26"/>
          <w:lang w:eastAsia="ar-SA" w:bidi="ar-SA"/>
        </w:rPr>
        <w:t>Čestné prohlášení</w:t>
      </w:r>
    </w:p>
    <w:p w14:paraId="0EB0FC21" w14:textId="77777777" w:rsidR="009E35E7" w:rsidRDefault="00C64EFB">
      <w:pPr>
        <w:pStyle w:val="Standard"/>
        <w:autoSpaceDE w:val="0"/>
        <w:spacing w:line="288" w:lineRule="auto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ar-SA" w:bidi="ar-SA"/>
        </w:rPr>
      </w:pPr>
      <w:r>
        <w:rPr>
          <w:rFonts w:ascii="Arial" w:eastAsia="Times New Roman" w:hAnsi="Arial" w:cs="Arial"/>
          <w:i/>
          <w:iCs/>
          <w:color w:val="000000"/>
          <w:sz w:val="18"/>
          <w:szCs w:val="18"/>
          <w:lang w:eastAsia="ar-SA" w:bidi="ar-SA"/>
        </w:rPr>
        <w:t>dle § 74 zákona č. 134/2016 Sb., o zadávání veřejných zakázek, v platném znění (dále jen „Zákon“)</w:t>
      </w:r>
    </w:p>
    <w:p w14:paraId="36C5300B" w14:textId="77777777" w:rsidR="009E35E7" w:rsidRDefault="009E35E7">
      <w:pPr>
        <w:pStyle w:val="Standard"/>
        <w:autoSpaceDE w:val="0"/>
        <w:spacing w:line="200" w:lineRule="atLeas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 w:bidi="ar-SA"/>
        </w:rPr>
      </w:pPr>
    </w:p>
    <w:p w14:paraId="45D0D65C" w14:textId="11C5A858" w:rsidR="009E35E7" w:rsidRDefault="00C64EFB">
      <w:pPr>
        <w:pStyle w:val="Standard"/>
        <w:autoSpaceDE w:val="0"/>
        <w:jc w:val="both"/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 w:bidi="ar-SA"/>
        </w:rPr>
        <w:t>Název veřejné zakázky</w:t>
      </w:r>
      <w:r>
        <w:rPr>
          <w:rFonts w:ascii="Arial" w:eastAsia="Times New Roman" w:hAnsi="Arial" w:cs="Arial"/>
          <w:color w:val="000000"/>
          <w:sz w:val="20"/>
          <w:szCs w:val="20"/>
          <w:lang w:eastAsia="ar-SA" w:bidi="ar-SA"/>
        </w:rPr>
        <w:t xml:space="preserve">: </w:t>
      </w:r>
      <w:r w:rsidR="00647A67">
        <w:rPr>
          <w:rFonts w:ascii="Arial" w:eastAsia="Times New Roman" w:hAnsi="Arial" w:cs="Arial"/>
          <w:color w:val="000000"/>
          <w:sz w:val="20"/>
          <w:szCs w:val="20"/>
          <w:lang w:eastAsia="ar-SA" w:bidi="ar-SA"/>
        </w:rPr>
        <w:t>II. etapa r</w:t>
      </w:r>
      <w:r>
        <w:rPr>
          <w:rStyle w:val="FontStyle42"/>
          <w:rFonts w:eastAsia="Times New Roman"/>
          <w:spacing w:val="-3"/>
          <w:sz w:val="20"/>
          <w:szCs w:val="20"/>
          <w:lang w:eastAsia="ar-SA" w:bidi="ar-SA"/>
        </w:rPr>
        <w:t>estaurování nástěnných maleb mauzolea Kleinů</w:t>
      </w:r>
    </w:p>
    <w:p w14:paraId="77BC6262" w14:textId="77777777" w:rsidR="009E35E7" w:rsidRDefault="00C64EFB">
      <w:pPr>
        <w:pStyle w:val="Standard"/>
      </w:pPr>
      <w:r>
        <w:rPr>
          <w:rFonts w:ascii="Arial" w:eastAsia="Times New Roman" w:hAnsi="Arial" w:cs="Arial"/>
          <w:b/>
          <w:bCs/>
          <w:sz w:val="20"/>
          <w:szCs w:val="20"/>
          <w:lang w:eastAsia="ar-SA" w:bidi="ar-SA"/>
        </w:rPr>
        <w:t>Zadavatel</w:t>
      </w:r>
      <w:r>
        <w:rPr>
          <w:rFonts w:ascii="Arial" w:eastAsia="Times New Roman" w:hAnsi="Arial" w:cs="Arial"/>
          <w:sz w:val="20"/>
          <w:szCs w:val="20"/>
          <w:lang w:eastAsia="ar-SA" w:bidi="ar-SA"/>
        </w:rPr>
        <w:t xml:space="preserve">: Obec Sobotín, </w:t>
      </w:r>
      <w:r>
        <w:rPr>
          <w:rFonts w:ascii="Arial" w:hAnsi="Arial"/>
          <w:sz w:val="20"/>
          <w:szCs w:val="20"/>
        </w:rPr>
        <w:t xml:space="preserve">Sobotín 54, 788 16 Petrov nad Desnou, </w:t>
      </w:r>
      <w:r>
        <w:rPr>
          <w:rFonts w:ascii="Arial" w:eastAsia="Helvetica, Arial" w:hAnsi="Arial" w:cs="Arial"/>
          <w:spacing w:val="-3"/>
          <w:sz w:val="20"/>
          <w:szCs w:val="20"/>
          <w:lang w:eastAsia="ar-SA" w:bidi="ar-SA"/>
        </w:rPr>
        <w:t>IČ: 00303348</w:t>
      </w:r>
    </w:p>
    <w:p w14:paraId="11173713" w14:textId="77777777" w:rsidR="009E35E7" w:rsidRDefault="00C64EFB">
      <w:pPr>
        <w:pStyle w:val="Standard"/>
        <w:pBdr>
          <w:bottom w:val="single" w:sz="8" w:space="2" w:color="000000"/>
        </w:pBdr>
        <w:autoSpaceDE w:val="0"/>
        <w:spacing w:line="242" w:lineRule="auto"/>
      </w:pPr>
      <w:r>
        <w:rPr>
          <w:rFonts w:ascii="Arial" w:eastAsia="Times New Roman" w:hAnsi="Arial" w:cs="Arial"/>
          <w:b/>
          <w:bCs/>
          <w:sz w:val="20"/>
          <w:szCs w:val="20"/>
          <w:lang w:eastAsia="ar-SA" w:bidi="ar-SA"/>
        </w:rPr>
        <w:t>Předmět zakázky</w:t>
      </w:r>
      <w:r>
        <w:rPr>
          <w:rFonts w:ascii="Arial" w:eastAsia="Times New Roman" w:hAnsi="Arial" w:cs="Arial"/>
          <w:sz w:val="20"/>
          <w:szCs w:val="20"/>
          <w:lang w:eastAsia="ar-SA" w:bidi="ar-SA"/>
        </w:rPr>
        <w:t>: veřejná zakázka m</w:t>
      </w:r>
      <w:r>
        <w:rPr>
          <w:rFonts w:ascii="Arial" w:eastAsia="Times New Roman" w:hAnsi="Arial" w:cs="Arial"/>
          <w:spacing w:val="-3"/>
          <w:sz w:val="20"/>
          <w:szCs w:val="20"/>
          <w:lang w:eastAsia="ar-SA" w:bidi="ar-SA"/>
        </w:rPr>
        <w:t>alého rozsahu na služby</w:t>
      </w:r>
    </w:p>
    <w:p w14:paraId="42A895EA" w14:textId="77777777" w:rsidR="009E35E7" w:rsidRDefault="00C64EFB">
      <w:pPr>
        <w:pStyle w:val="Standard"/>
        <w:pBdr>
          <w:bottom w:val="single" w:sz="8" w:space="2" w:color="000000"/>
        </w:pBdr>
        <w:autoSpaceDE w:val="0"/>
        <w:spacing w:line="242" w:lineRule="auto"/>
      </w:pPr>
      <w:r>
        <w:rPr>
          <w:rFonts w:ascii="Arial" w:eastAsia="Times New Roman" w:hAnsi="Arial" w:cs="Arial"/>
          <w:b/>
          <w:bCs/>
          <w:spacing w:val="-3"/>
          <w:sz w:val="20"/>
          <w:szCs w:val="20"/>
          <w:lang w:eastAsia="ar-SA" w:bidi="ar-SA"/>
        </w:rPr>
        <w:t>Druh zadávacího řízení</w:t>
      </w:r>
      <w:r>
        <w:rPr>
          <w:rFonts w:ascii="Arial" w:eastAsia="Times New Roman" w:hAnsi="Arial" w:cs="Arial"/>
          <w:spacing w:val="-3"/>
          <w:sz w:val="20"/>
          <w:szCs w:val="20"/>
          <w:lang w:eastAsia="ar-SA" w:bidi="ar-SA"/>
        </w:rPr>
        <w:t>: výběrové řízení dle vnitřní směrnice zadavatele</w:t>
      </w:r>
    </w:p>
    <w:p w14:paraId="588C0CD2" w14:textId="77777777" w:rsidR="009E35E7" w:rsidRDefault="009E35E7">
      <w:pPr>
        <w:pStyle w:val="Standard"/>
        <w:autoSpaceDE w:val="0"/>
        <w:spacing w:line="288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FD4B3D3" w14:textId="77777777" w:rsidR="009E35E7" w:rsidRDefault="00C64EFB">
      <w:pPr>
        <w:pStyle w:val="Standard"/>
        <w:autoSpaceDE w:val="0"/>
        <w:spacing w:after="57"/>
        <w:jc w:val="both"/>
      </w:pPr>
      <w:r>
        <w:rPr>
          <w:rFonts w:ascii="Arial" w:eastAsia="Times New Roman" w:hAnsi="Arial" w:cs="Arial"/>
          <w:color w:val="000000"/>
          <w:sz w:val="20"/>
          <w:szCs w:val="20"/>
          <w:lang w:eastAsia="ar-SA" w:bidi="ar-SA"/>
        </w:rPr>
        <w:t xml:space="preserve">(1)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 w:bidi="ar-SA"/>
        </w:rPr>
        <w:t>Účastník</w:t>
      </w:r>
      <w:r>
        <w:rPr>
          <w:rFonts w:ascii="Arial" w:eastAsia="Times New Roman" w:hAnsi="Arial" w:cs="Arial"/>
          <w:color w:val="000000"/>
          <w:sz w:val="18"/>
          <w:szCs w:val="18"/>
          <w:lang w:eastAsia="ar-SA" w:bidi="ar-S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DEE6EF"/>
          <w:lang w:eastAsia="ar-SA" w:bidi="ar-SA"/>
        </w:rPr>
        <w:t>.................................</w:t>
      </w:r>
      <w:r>
        <w:rPr>
          <w:rFonts w:ascii="Arial" w:eastAsia="Times New Roman" w:hAnsi="Arial" w:cs="Arial"/>
          <w:color w:val="000000"/>
          <w:sz w:val="20"/>
          <w:szCs w:val="20"/>
          <w:lang w:eastAsia="ar-SA" w:bidi="ar-SA"/>
        </w:rPr>
        <w:t xml:space="preserve">, IČ: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DEE6EF"/>
          <w:lang w:eastAsia="ar-SA" w:bidi="ar-SA"/>
        </w:rPr>
        <w:t>....................</w:t>
      </w:r>
      <w:r>
        <w:rPr>
          <w:rFonts w:ascii="Arial" w:eastAsia="Times New Roman" w:hAnsi="Arial" w:cs="Arial"/>
          <w:color w:val="000000"/>
          <w:sz w:val="20"/>
          <w:szCs w:val="20"/>
          <w:lang w:eastAsia="ar-SA" w:bidi="ar-SA"/>
        </w:rPr>
        <w:t xml:space="preserve"> tímto čestně prohlašuje, že:</w:t>
      </w:r>
    </w:p>
    <w:p w14:paraId="6E036FD4" w14:textId="77777777" w:rsidR="009E35E7" w:rsidRDefault="00C64EFB">
      <w:pPr>
        <w:pStyle w:val="TableContents"/>
        <w:numPr>
          <w:ilvl w:val="0"/>
          <w:numId w:val="3"/>
        </w:numPr>
        <w:autoSpaceDE w:val="0"/>
        <w:spacing w:before="28" w:line="200" w:lineRule="atLeast"/>
        <w:jc w:val="both"/>
      </w:pPr>
      <w:r>
        <w:rPr>
          <w:rFonts w:ascii="Arial" w:hAnsi="Arial" w:cs="Arial"/>
          <w:color w:val="000000"/>
          <w:sz w:val="20"/>
          <w:szCs w:val="20"/>
        </w:rPr>
        <w:t>nebyl v zemi svého sídla v posledních 5 letech před zahájením zadávacího řízení pravomocně odsouzen pro trestný čin uvedený v příloze č. 3 Zákona</w:t>
      </w:r>
      <w:r>
        <w:rPr>
          <w:rStyle w:val="Znakapoznpodarou"/>
          <w:rFonts w:ascii="Arial" w:hAnsi="Arial" w:cs="Arial"/>
          <w:color w:val="000000"/>
          <w:sz w:val="20"/>
          <w:szCs w:val="20"/>
        </w:rPr>
        <w:footnoteReference w:id="1"/>
      </w:r>
      <w:r>
        <w:rPr>
          <w:rFonts w:ascii="Arial" w:hAnsi="Arial" w:cs="Arial"/>
          <w:color w:val="000000"/>
          <w:sz w:val="20"/>
          <w:szCs w:val="20"/>
        </w:rPr>
        <w:t xml:space="preserve"> nebo obdobný trestný čin podle právního řádu země sídla dodavatele; k zahlazeným odsouzením se nepřihlíží,</w:t>
      </w:r>
    </w:p>
    <w:p w14:paraId="14E6117A" w14:textId="77777777" w:rsidR="009E35E7" w:rsidRDefault="00C64EFB">
      <w:pPr>
        <w:pStyle w:val="TableContents"/>
        <w:numPr>
          <w:ilvl w:val="0"/>
          <w:numId w:val="1"/>
        </w:numPr>
        <w:autoSpaceDE w:val="0"/>
        <w:spacing w:before="28" w:line="20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nemá v České republice nebo v zemi svého sídla v evidenci daní zachycen splatný daňový nedoplatek, a to i ve vztahu ke spotřební dani,</w:t>
      </w:r>
    </w:p>
    <w:p w14:paraId="593939BB" w14:textId="77777777" w:rsidR="009E35E7" w:rsidRDefault="00C64EFB">
      <w:pPr>
        <w:pStyle w:val="TableContents"/>
        <w:numPr>
          <w:ilvl w:val="0"/>
          <w:numId w:val="1"/>
        </w:numPr>
        <w:autoSpaceDE w:val="0"/>
        <w:spacing w:before="28" w:line="20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03688E8F" w14:textId="77777777" w:rsidR="009E35E7" w:rsidRDefault="00C64EFB">
      <w:pPr>
        <w:pStyle w:val="TableContents"/>
        <w:numPr>
          <w:ilvl w:val="0"/>
          <w:numId w:val="1"/>
        </w:numPr>
        <w:autoSpaceDE w:val="0"/>
        <w:spacing w:before="28" w:line="20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5D31AC56" w14:textId="77777777" w:rsidR="009E35E7" w:rsidRDefault="00C64EFB">
      <w:pPr>
        <w:pStyle w:val="TableContents"/>
        <w:numPr>
          <w:ilvl w:val="0"/>
          <w:numId w:val="1"/>
        </w:numPr>
        <w:autoSpaceDE w:val="0"/>
        <w:spacing w:before="28" w:line="200" w:lineRule="atLeast"/>
        <w:jc w:val="both"/>
      </w:pPr>
      <w:r>
        <w:rPr>
          <w:rFonts w:ascii="Arial" w:hAnsi="Arial" w:cs="Arial"/>
          <w:color w:val="000000"/>
          <w:sz w:val="20"/>
          <w:szCs w:val="20"/>
        </w:rPr>
        <w:t>není v likvidaci</w:t>
      </w:r>
      <w:r>
        <w:rPr>
          <w:rStyle w:val="Znakapoznpodarou"/>
          <w:rFonts w:ascii="Arial" w:hAnsi="Arial" w:cs="Arial"/>
          <w:color w:val="000000"/>
          <w:sz w:val="20"/>
          <w:szCs w:val="20"/>
        </w:rPr>
        <w:footnoteReference w:id="2"/>
      </w:r>
      <w:r>
        <w:rPr>
          <w:rFonts w:ascii="Arial" w:hAnsi="Arial" w:cs="Arial"/>
          <w:color w:val="000000"/>
          <w:sz w:val="20"/>
          <w:szCs w:val="20"/>
        </w:rPr>
        <w:t>, proti němuž nebylo vydáno rozhodnutí o úpadku</w:t>
      </w:r>
      <w:r>
        <w:rPr>
          <w:rStyle w:val="Znakapoznpodarou"/>
          <w:rFonts w:ascii="Arial" w:hAnsi="Arial" w:cs="Arial"/>
          <w:color w:val="000000"/>
          <w:sz w:val="20"/>
          <w:szCs w:val="20"/>
          <w:vertAlign w:val="baseline"/>
        </w:rPr>
        <w:footnoteReference w:id="3"/>
      </w:r>
      <w:r>
        <w:rPr>
          <w:rFonts w:ascii="Arial" w:hAnsi="Arial" w:cs="Arial"/>
          <w:color w:val="000000"/>
          <w:sz w:val="20"/>
          <w:szCs w:val="20"/>
        </w:rPr>
        <w:t>, vůči němuž nebyla nařízena nucená správa podle jiného právního předpisu</w:t>
      </w:r>
      <w:r>
        <w:rPr>
          <w:rStyle w:val="Znakapoznpodarou"/>
          <w:rFonts w:ascii="Arial" w:hAnsi="Arial" w:cs="Arial"/>
          <w:color w:val="000000"/>
          <w:sz w:val="20"/>
          <w:szCs w:val="20"/>
          <w:vertAlign w:val="baseline"/>
        </w:rPr>
        <w:footnoteReference w:id="4"/>
      </w:r>
      <w:r>
        <w:rPr>
          <w:rFonts w:ascii="Arial" w:hAnsi="Arial" w:cs="Arial"/>
          <w:color w:val="000000"/>
          <w:sz w:val="20"/>
          <w:szCs w:val="20"/>
        </w:rPr>
        <w:t xml:space="preserve"> nebo v obdobné situaci podle právního řádu země sídla dodavatele.</w:t>
      </w:r>
    </w:p>
    <w:p w14:paraId="55AD3569" w14:textId="77777777" w:rsidR="009E35E7" w:rsidRDefault="00C64EFB">
      <w:pPr>
        <w:pStyle w:val="TableContents"/>
        <w:autoSpaceDE w:val="0"/>
        <w:spacing w:before="57" w:line="200" w:lineRule="atLeast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(2) Je-li dodavatelem </w:t>
      </w:r>
      <w:r>
        <w:rPr>
          <w:rFonts w:ascii="Arial" w:hAnsi="Arial" w:cs="Arial"/>
          <w:b/>
          <w:bCs/>
          <w:color w:val="000000"/>
          <w:sz w:val="20"/>
          <w:szCs w:val="20"/>
        </w:rPr>
        <w:t>právnická osoba</w:t>
      </w:r>
      <w:r>
        <w:rPr>
          <w:rFonts w:ascii="Arial" w:hAnsi="Arial" w:cs="Arial"/>
          <w:color w:val="000000"/>
          <w:sz w:val="20"/>
          <w:szCs w:val="20"/>
        </w:rPr>
        <w:t>, účastník čestně prohlašuje, že podmínky podle odst. 1 písm. a) tohoto prohlášení splňuje tato právnická osoba a zároveň každý člen statutárního orgánu. Je-li členem statutárního orgánu dodavatele právnická osoba, účastník čestně prohlašuje, že podmínky podle odst. 1 písm. a) tohoto prohlášení splňuje (i) tato právnická osoba,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ii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 každý člen statutárního orgánu této právnické osoby a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iii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 osoba zastupující tuto právnickou osobu v statutárním orgánu dodavatele.</w:t>
      </w:r>
    </w:p>
    <w:p w14:paraId="70E6D2A3" w14:textId="77777777" w:rsidR="009E35E7" w:rsidRDefault="00C64EFB">
      <w:pPr>
        <w:pStyle w:val="TableContents"/>
        <w:autoSpaceDE w:val="0"/>
        <w:spacing w:before="57" w:line="200" w:lineRule="atLeast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(3) Je-li dodavatelem pobočka závodu </w:t>
      </w:r>
      <w:r>
        <w:rPr>
          <w:rFonts w:ascii="Arial" w:hAnsi="Arial" w:cs="Arial"/>
          <w:b/>
          <w:bCs/>
          <w:color w:val="000000"/>
          <w:sz w:val="20"/>
          <w:szCs w:val="20"/>
        </w:rPr>
        <w:t>zahraniční</w:t>
      </w:r>
      <w:r>
        <w:rPr>
          <w:rFonts w:ascii="Arial" w:hAnsi="Arial" w:cs="Arial"/>
          <w:color w:val="000000"/>
          <w:sz w:val="20"/>
          <w:szCs w:val="20"/>
        </w:rPr>
        <w:t xml:space="preserve"> právnické osoby, účastník čestně prohlašuje, že podmínku podle odst. 1 písm. a) tohoto prohlášení splňuje tato právnická osoba a vedoucí pobočky závodu. Je-li dodavatelem pobočka závodu </w:t>
      </w:r>
      <w:r>
        <w:rPr>
          <w:rFonts w:ascii="Arial" w:hAnsi="Arial" w:cs="Arial"/>
          <w:b/>
          <w:bCs/>
          <w:color w:val="000000"/>
          <w:sz w:val="20"/>
          <w:szCs w:val="20"/>
        </w:rPr>
        <w:t>české</w:t>
      </w:r>
      <w:r>
        <w:rPr>
          <w:rFonts w:ascii="Arial" w:hAnsi="Arial" w:cs="Arial"/>
          <w:color w:val="000000"/>
          <w:sz w:val="20"/>
          <w:szCs w:val="20"/>
        </w:rPr>
        <w:t xml:space="preserve"> právnické osoby, účastník čestně prohlašuje, že podmínku podle odst. 1 písm. a) tohoto prohlášení splňují osoby uvedené v odstavci 2 a vedoucí pobočky závodu.</w:t>
      </w:r>
    </w:p>
    <w:p w14:paraId="622B9AB8" w14:textId="77777777" w:rsidR="009E35E7" w:rsidRDefault="009E35E7">
      <w:pPr>
        <w:pStyle w:val="Standard"/>
        <w:spacing w:line="200" w:lineRule="atLeast"/>
        <w:jc w:val="both"/>
        <w:rPr>
          <w:sz w:val="20"/>
          <w:szCs w:val="20"/>
        </w:rPr>
      </w:pPr>
    </w:p>
    <w:p w14:paraId="3DDB6713" w14:textId="77777777" w:rsidR="009E35E7" w:rsidRDefault="00C64EFB">
      <w:pPr>
        <w:pStyle w:val="Standard"/>
        <w:autoSpaceDE w:val="0"/>
        <w:spacing w:line="200" w:lineRule="atLeast"/>
        <w:jc w:val="both"/>
      </w:pPr>
      <w:r>
        <w:rPr>
          <w:rFonts w:ascii="Arial" w:eastAsia="Times New Roman" w:hAnsi="Arial" w:cs="Arial"/>
          <w:color w:val="000000"/>
          <w:sz w:val="20"/>
          <w:szCs w:val="20"/>
          <w:lang w:eastAsia="ar-SA" w:bidi="ar-SA"/>
        </w:rPr>
        <w:t xml:space="preserve">V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DEE6EF"/>
          <w:lang w:eastAsia="ar-SA" w:bidi="ar-SA"/>
        </w:rPr>
        <w:t>.............................</w:t>
      </w:r>
      <w:r>
        <w:rPr>
          <w:rFonts w:ascii="Arial" w:eastAsia="Times New Roman" w:hAnsi="Arial" w:cs="Arial"/>
          <w:color w:val="000000"/>
          <w:sz w:val="20"/>
          <w:szCs w:val="20"/>
          <w:lang w:eastAsia="ar-SA" w:bidi="ar-SA"/>
        </w:rPr>
        <w:t xml:space="preserve"> dne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DEE6EF"/>
          <w:lang w:eastAsia="ar-SA" w:bidi="ar-SA"/>
        </w:rPr>
        <w:t>.............................</w:t>
      </w:r>
    </w:p>
    <w:p w14:paraId="250E22C3" w14:textId="77777777" w:rsidR="009E35E7" w:rsidRDefault="009E35E7">
      <w:pPr>
        <w:pStyle w:val="Standard"/>
        <w:autoSpaceDE w:val="0"/>
        <w:spacing w:line="200" w:lineRule="atLeast"/>
        <w:jc w:val="both"/>
        <w:rPr>
          <w:rFonts w:ascii="Arial" w:hAnsi="Arial" w:cs="Arial"/>
          <w:sz w:val="20"/>
          <w:szCs w:val="20"/>
        </w:rPr>
      </w:pPr>
    </w:p>
    <w:p w14:paraId="2A586B08" w14:textId="77777777" w:rsidR="009E35E7" w:rsidRDefault="009E35E7">
      <w:pPr>
        <w:pStyle w:val="Standard"/>
        <w:autoSpaceDE w:val="0"/>
        <w:spacing w:line="200" w:lineRule="atLeast"/>
        <w:jc w:val="both"/>
        <w:rPr>
          <w:rFonts w:ascii="Arial" w:hAnsi="Arial" w:cs="Arial"/>
          <w:sz w:val="20"/>
          <w:szCs w:val="20"/>
        </w:rPr>
      </w:pPr>
    </w:p>
    <w:p w14:paraId="1D0EE3BB" w14:textId="77777777" w:rsidR="009E35E7" w:rsidRDefault="009E35E7">
      <w:pPr>
        <w:pStyle w:val="Standard"/>
        <w:autoSpaceDE w:val="0"/>
        <w:spacing w:line="200" w:lineRule="atLeast"/>
        <w:jc w:val="both"/>
        <w:rPr>
          <w:rFonts w:ascii="Arial" w:hAnsi="Arial" w:cs="Arial"/>
          <w:sz w:val="20"/>
          <w:szCs w:val="20"/>
        </w:rPr>
      </w:pPr>
    </w:p>
    <w:p w14:paraId="5F433DE5" w14:textId="77777777" w:rsidR="009E35E7" w:rsidRDefault="009E35E7">
      <w:pPr>
        <w:pStyle w:val="Standard"/>
        <w:autoSpaceDE w:val="0"/>
        <w:spacing w:line="200" w:lineRule="atLeast"/>
        <w:jc w:val="both"/>
        <w:rPr>
          <w:rFonts w:ascii="Arial" w:hAnsi="Arial" w:cs="Arial"/>
          <w:sz w:val="20"/>
          <w:szCs w:val="20"/>
        </w:rPr>
      </w:pPr>
    </w:p>
    <w:p w14:paraId="31AA668A" w14:textId="77777777" w:rsidR="009E35E7" w:rsidRDefault="00C64EFB">
      <w:pPr>
        <w:pStyle w:val="Standard"/>
        <w:autoSpaceDE w:val="0"/>
        <w:spacing w:line="2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ar-SA" w:bidi="ar-S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ar-SA" w:bidi="ar-SA"/>
        </w:rPr>
        <w:t>....................................</w:t>
      </w:r>
    </w:p>
    <w:p w14:paraId="712C88A2" w14:textId="77777777" w:rsidR="009E35E7" w:rsidRDefault="00C64EFB">
      <w:pPr>
        <w:pStyle w:val="Standard"/>
        <w:spacing w:line="200" w:lineRule="atLeast"/>
        <w:jc w:val="both"/>
      </w:pPr>
      <w:r>
        <w:rPr>
          <w:rFonts w:ascii="Arial" w:hAnsi="Arial" w:cs="Arial"/>
          <w:b/>
          <w:bCs/>
          <w:sz w:val="20"/>
          <w:szCs w:val="20"/>
        </w:rPr>
        <w:t>Podpis</w:t>
      </w:r>
      <w:r>
        <w:rPr>
          <w:rFonts w:ascii="Arial" w:hAnsi="Arial" w:cs="Arial"/>
          <w:sz w:val="20"/>
          <w:szCs w:val="20"/>
        </w:rPr>
        <w:t xml:space="preserve"> osoby oprávněné jednat jménem či za uchazeče</w:t>
      </w:r>
    </w:p>
    <w:p w14:paraId="54829A26" w14:textId="77777777" w:rsidR="009E35E7" w:rsidRDefault="009E35E7">
      <w:pPr>
        <w:pStyle w:val="Standard"/>
        <w:spacing w:line="200" w:lineRule="atLeast"/>
        <w:jc w:val="both"/>
        <w:rPr>
          <w:rFonts w:ascii="Arial" w:hAnsi="Arial" w:cs="Arial"/>
          <w:sz w:val="20"/>
          <w:szCs w:val="20"/>
        </w:rPr>
      </w:pPr>
    </w:p>
    <w:p w14:paraId="316081D7" w14:textId="77777777" w:rsidR="009E35E7" w:rsidRDefault="00C64EFB">
      <w:pPr>
        <w:pStyle w:val="Standard"/>
        <w:spacing w:line="200" w:lineRule="atLeast"/>
        <w:jc w:val="both"/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DEE6EF"/>
          <w:lang w:eastAsia="ar-SA" w:bidi="ar-SA"/>
        </w:rPr>
        <w:t>.......................................................................</w:t>
      </w:r>
      <w:r>
        <w:rPr>
          <w:rFonts w:ascii="Arial" w:hAnsi="Arial" w:cs="Arial"/>
          <w:sz w:val="20"/>
          <w:szCs w:val="20"/>
        </w:rPr>
        <w:t xml:space="preserve">                                            </w:t>
      </w:r>
    </w:p>
    <w:p w14:paraId="5E61ED5F" w14:textId="77777777" w:rsidR="009E35E7" w:rsidRDefault="00C64EFB">
      <w:pPr>
        <w:pStyle w:val="Standard"/>
        <w:spacing w:line="200" w:lineRule="atLeast"/>
        <w:jc w:val="both"/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 w:bidi="ar-SA"/>
        </w:rPr>
        <w:t>Jméno</w:t>
      </w:r>
      <w:r>
        <w:rPr>
          <w:rFonts w:ascii="Arial" w:eastAsia="Times New Roman" w:hAnsi="Arial" w:cs="Arial"/>
          <w:color w:val="000000"/>
          <w:sz w:val="20"/>
          <w:szCs w:val="20"/>
          <w:lang w:eastAsia="ar-SA" w:bidi="ar-SA"/>
        </w:rPr>
        <w:t xml:space="preserve"> a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 w:bidi="ar-SA"/>
        </w:rPr>
        <w:t>funkce</w:t>
      </w:r>
      <w:r>
        <w:rPr>
          <w:rFonts w:ascii="Arial" w:eastAsia="Times New Roman" w:hAnsi="Arial" w:cs="Arial"/>
          <w:color w:val="000000"/>
          <w:sz w:val="20"/>
          <w:szCs w:val="20"/>
          <w:lang w:eastAsia="ar-SA" w:bidi="ar-SA"/>
        </w:rPr>
        <w:t xml:space="preserve"> oprávněné osoby 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ar-SA" w:bidi="ar-SA"/>
        </w:rPr>
        <w:t>(hůlkovým písmem)</w:t>
      </w:r>
    </w:p>
    <w:sectPr w:rsidR="009E35E7">
      <w:pgSz w:w="11906" w:h="16838"/>
      <w:pgMar w:top="1304" w:right="1361" w:bottom="510" w:left="136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A944B" w14:textId="77777777" w:rsidR="00A162CD" w:rsidRDefault="00A162CD">
      <w:r>
        <w:separator/>
      </w:r>
    </w:p>
  </w:endnote>
  <w:endnote w:type="continuationSeparator" w:id="0">
    <w:p w14:paraId="16E023DF" w14:textId="77777777" w:rsidR="00A162CD" w:rsidRDefault="00A16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, Arial"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08DB7" w14:textId="77777777" w:rsidR="00A162CD" w:rsidRDefault="00A162CD">
      <w:r>
        <w:rPr>
          <w:color w:val="000000"/>
        </w:rPr>
        <w:separator/>
      </w:r>
    </w:p>
  </w:footnote>
  <w:footnote w:type="continuationSeparator" w:id="0">
    <w:p w14:paraId="5A465F91" w14:textId="77777777" w:rsidR="00A162CD" w:rsidRDefault="00A162CD">
      <w:r>
        <w:continuationSeparator/>
      </w:r>
    </w:p>
  </w:footnote>
  <w:footnote w:id="1">
    <w:p w14:paraId="3B8646AA" w14:textId="77777777" w:rsidR="009E35E7" w:rsidRDefault="00C64EFB">
      <w:pPr>
        <w:pStyle w:val="Footnote"/>
      </w:pPr>
      <w:r>
        <w:rPr>
          <w:rStyle w:val="Znakapoznpodarou"/>
        </w:rPr>
        <w:footnoteRef/>
      </w:r>
      <w:r>
        <w:rPr>
          <w:rFonts w:ascii="Arial" w:hAnsi="Arial" w:cs="Arial"/>
          <w:i/>
          <w:iCs/>
          <w:color w:val="000000"/>
          <w:sz w:val="18"/>
          <w:szCs w:val="18"/>
          <w:lang w:eastAsia="cs-CZ" w:bidi="cs-CZ"/>
        </w:rPr>
        <w:t>Pro účely prokázání splnění základní způsobilosti podle § 74 odst. 1 písm. a) se trestným činem rozumí: a) trestný čin spáchaný ve prospěch organizované zločinecké skupiny nebo trestný čin účasti na organizované zločinecké skupině; b) trestný čin obchodování s lidmi; c) tyto trestné činy proti majetku: podvod, pojistný podvod, úvěrový podvod, dotační podvod, legalizace výnosů z trestné činnosti, legalizace výnosů z trestné činnosti z nedbalosti; d) tyto trestné činy hospodářské: zneužití informace v obchodním styku, zneužití postavení v obchodním styku, zjednání výhody při zadání veřejné zakázky, při veřejné soutěži a veřejné dražbě, pletichy při zadání veřejné zakázky a při veřejné soutěži, pletichy při veřejné dražbě, poškození finančních zájmů Evropské unie; e) trestné činy proti České republice, cizímu státu a mezinárodní organizaci; f) tyto trestné činy proti pořádku ve věcech veřejných: trestné činy proti výkonu pravomoci orgánu veřejné moci a úřední osoby, trestné činy úředních osob, úplatkářství, jiná rušení činnosti orgánu veřejné moci.</w:t>
      </w:r>
    </w:p>
  </w:footnote>
  <w:footnote w:id="2">
    <w:p w14:paraId="2951C6EB" w14:textId="77777777" w:rsidR="009E35E7" w:rsidRDefault="00C64EFB">
      <w:pPr>
        <w:pStyle w:val="Footnote"/>
      </w:pPr>
      <w:r>
        <w:rPr>
          <w:rStyle w:val="Znakapoznpodarou"/>
        </w:rPr>
        <w:footnoteRef/>
      </w:r>
      <w:r>
        <w:rPr>
          <w:rFonts w:ascii="Arial" w:hAnsi="Arial" w:cs="Arial"/>
          <w:i/>
          <w:iCs/>
          <w:sz w:val="18"/>
          <w:szCs w:val="18"/>
        </w:rPr>
        <w:t>§ 187 zákona č. 89/2012 Sb., občanský zákoník</w:t>
      </w:r>
    </w:p>
  </w:footnote>
  <w:footnote w:id="3">
    <w:p w14:paraId="4148F312" w14:textId="77777777" w:rsidR="009E35E7" w:rsidRDefault="00C64EFB">
      <w:pPr>
        <w:pStyle w:val="Footnote"/>
      </w:pPr>
      <w:r>
        <w:rPr>
          <w:rStyle w:val="Znakapoznpodarou"/>
        </w:rPr>
        <w:footnoteRef/>
      </w:r>
      <w:r>
        <w:rPr>
          <w:rFonts w:ascii="Arial" w:hAnsi="Arial" w:cs="Arial"/>
          <w:i/>
          <w:iCs/>
          <w:sz w:val="18"/>
          <w:szCs w:val="18"/>
        </w:rPr>
        <w:t>§ 136 zákona č. 182/2006 Sb., o úpadku a způsobech jeho řešení (insolvenční zákon), ve znění pozdějších předpisů</w:t>
      </w:r>
    </w:p>
  </w:footnote>
  <w:footnote w:id="4">
    <w:p w14:paraId="26A1E13E" w14:textId="77777777" w:rsidR="009E35E7" w:rsidRDefault="00C64EFB">
      <w:pPr>
        <w:pStyle w:val="Footnote"/>
      </w:pPr>
      <w:r>
        <w:rPr>
          <w:rStyle w:val="Znakapoznpodarou"/>
        </w:rPr>
        <w:footnoteRef/>
      </w:r>
      <w:r>
        <w:rPr>
          <w:rFonts w:ascii="Arial" w:hAnsi="Arial" w:cs="Arial"/>
          <w:i/>
          <w:iCs/>
          <w:sz w:val="18"/>
          <w:szCs w:val="18"/>
        </w:rPr>
        <w:t>Například zákon č. 21/1992 Sb., o bankách, ve znění pozdějších předpisů, zákon č. 87/1995 Sb., o spořitelních a úvěrních družstvech a některých opatřeních s tím souvisejících a o doplnění zákona České národní rady č. 586/1992 Sb., o daních z příjmů, ve znění pozdějších předpisů, zákon č. 363/1999 Sb., o pojišťovnictví a o změně některých souvisejících zákonů.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06CE1"/>
    <w:multiLevelType w:val="multilevel"/>
    <w:tmpl w:val="938E22EE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64C7767F"/>
    <w:multiLevelType w:val="multilevel"/>
    <w:tmpl w:val="5740A86C"/>
    <w:styleLink w:val="WW8Num1"/>
    <w:lvl w:ilvl="0">
      <w:start w:val="1"/>
      <w:numFmt w:val="lowerLetter"/>
      <w:lvlText w:val="%1)"/>
      <w:lvlJc w:val="left"/>
      <w:pPr>
        <w:ind w:left="720" w:hanging="360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num w:numId="1" w16cid:durableId="1775243024">
    <w:abstractNumId w:val="1"/>
  </w:num>
  <w:num w:numId="2" w16cid:durableId="866410471">
    <w:abstractNumId w:val="0"/>
  </w:num>
  <w:num w:numId="3" w16cid:durableId="85704513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5E7"/>
    <w:rsid w:val="00647A67"/>
    <w:rsid w:val="00710B33"/>
    <w:rsid w:val="009E35E7"/>
    <w:rsid w:val="00A162CD"/>
    <w:rsid w:val="00C64EFB"/>
    <w:rsid w:val="00D4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31A02"/>
  <w15:docId w15:val="{935B5121-ECAD-4658-AB5B-F6F88AC2E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Lucida Sans Unicode" w:cs="Manga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basedOn w:val="Standard"/>
    <w:pPr>
      <w:autoSpaceDE w:val="0"/>
    </w:pPr>
    <w:rPr>
      <w:rFonts w:ascii="Arial" w:eastAsia="Arial" w:hAnsi="Arial" w:cs="Arial"/>
      <w:color w:val="000000"/>
    </w:rPr>
  </w:style>
  <w:style w:type="character" w:customStyle="1" w:styleId="WW8Num1z0">
    <w:name w:val="WW8Num1z0"/>
    <w:rPr>
      <w:rFonts w:cs="Aria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FootnoteSymbol">
    <w:name w:val="Footnote Symbol"/>
    <w:rPr>
      <w:position w:val="0"/>
      <w:vertAlign w:val="superscript"/>
    </w:rPr>
  </w:style>
  <w:style w:type="character" w:styleId="Znakapoznpodarou">
    <w:name w:val="footnote reference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Znakyprovysvtlivky">
    <w:name w:val="WW-Znaky pro vysvětlivky"/>
  </w:style>
  <w:style w:type="character" w:styleId="Odkaznavysvtlivky">
    <w:name w:val="endnote reference"/>
    <w:rPr>
      <w:position w:val="0"/>
      <w:vertAlign w:val="superscript"/>
    </w:rPr>
  </w:style>
  <w:style w:type="character" w:customStyle="1" w:styleId="FontStyle42">
    <w:name w:val="Font Style42"/>
    <w:rPr>
      <w:rFonts w:ascii="Arial" w:eastAsia="Arial" w:hAnsi="Arial" w:cs="Arial"/>
      <w:color w:val="auto"/>
      <w:sz w:val="18"/>
      <w:szCs w:val="18"/>
      <w:lang w:val="cs-CZ"/>
    </w:rPr>
  </w:style>
  <w:style w:type="character" w:customStyle="1" w:styleId="FontStyle41">
    <w:name w:val="Font Style41"/>
    <w:rPr>
      <w:rFonts w:ascii="Arial" w:eastAsia="Arial" w:hAnsi="Arial" w:cs="Arial"/>
      <w:b/>
      <w:bCs/>
      <w:color w:val="auto"/>
      <w:sz w:val="24"/>
      <w:szCs w:val="24"/>
      <w:lang w:val="cs-CZ"/>
    </w:rPr>
  </w:style>
  <w:style w:type="character" w:customStyle="1" w:styleId="Standardnpsmoodstavce23">
    <w:name w:val="Standardní písmo odstavce23"/>
  </w:style>
  <w:style w:type="character" w:customStyle="1" w:styleId="Nzev1">
    <w:name w:val="Název1"/>
    <w:basedOn w:val="Standardnpsmoodstavce23"/>
  </w:style>
  <w:style w:type="character" w:customStyle="1" w:styleId="datalabel">
    <w:name w:val="datalabel"/>
    <w:basedOn w:val="Standardnpsmoodstavce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StrongEmphasis">
    <w:name w:val="Strong Emphasis"/>
    <w:rPr>
      <w:b/>
      <w:bCs/>
    </w:rPr>
  </w:style>
  <w:style w:type="character" w:customStyle="1" w:styleId="CharStyle27">
    <w:name w:val="CharStyle27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666666"/>
      <w:spacing w:val="0"/>
      <w:w w:val="100"/>
      <w:position w:val="0"/>
      <w:sz w:val="20"/>
      <w:szCs w:val="20"/>
      <w:u w:val="none"/>
      <w:vertAlign w:val="baseline"/>
      <w:lang w:val="cs-CZ" w:bidi="cs-CZ"/>
    </w:rPr>
  </w:style>
  <w:style w:type="numbering" w:customStyle="1" w:styleId="WW8Num1">
    <w:name w:val="WW8Num1"/>
    <w:basedOn w:val="Bezseznamu"/>
    <w:pPr>
      <w:numPr>
        <w:numId w:val="1"/>
      </w:numPr>
    </w:pPr>
  </w:style>
  <w:style w:type="numbering" w:customStyle="1" w:styleId="WW8Num2">
    <w:name w:val="WW8Num2"/>
    <w:basedOn w:val="Bezseznamu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Tereza Podhorová</cp:lastModifiedBy>
  <cp:revision>3</cp:revision>
  <cp:lastPrinted>2025-01-21T14:11:00Z</cp:lastPrinted>
  <dcterms:created xsi:type="dcterms:W3CDTF">2025-05-28T09:40:00Z</dcterms:created>
  <dcterms:modified xsi:type="dcterms:W3CDTF">2026-01-19T11:04:00Z</dcterms:modified>
</cp:coreProperties>
</file>