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4F9" w:rsidRPr="008B0DC8" w:rsidRDefault="007404F9" w:rsidP="007404F9">
      <w:pPr>
        <w:tabs>
          <w:tab w:val="left" w:pos="7155"/>
        </w:tabs>
        <w:spacing w:after="240"/>
        <w:outlineLvl w:val="0"/>
        <w:rPr>
          <w:rFonts w:ascii="Arial" w:hAnsi="Arial" w:cs="Arial"/>
          <w:b/>
          <w:bCs/>
          <w:szCs w:val="22"/>
        </w:rPr>
      </w:pPr>
      <w:r w:rsidRPr="008B0DC8">
        <w:rPr>
          <w:rFonts w:ascii="Arial" w:hAnsi="Arial" w:cs="Arial"/>
          <w:b/>
          <w:szCs w:val="22"/>
        </w:rPr>
        <w:t>Příloha</w:t>
      </w:r>
      <w:r w:rsidR="00DA0E25" w:rsidRPr="008B0DC8">
        <w:rPr>
          <w:rFonts w:ascii="Arial" w:hAnsi="Arial" w:cs="Arial"/>
          <w:b/>
          <w:szCs w:val="22"/>
        </w:rPr>
        <w:t xml:space="preserve"> č. 1</w:t>
      </w:r>
      <w:r w:rsidR="00925B39" w:rsidRPr="008B0DC8">
        <w:rPr>
          <w:rFonts w:ascii="Arial" w:hAnsi="Arial" w:cs="Arial"/>
          <w:b/>
          <w:szCs w:val="22"/>
        </w:rPr>
        <w:t xml:space="preserve"> - </w:t>
      </w:r>
      <w:r w:rsidRPr="008B0DC8">
        <w:rPr>
          <w:rFonts w:ascii="Arial" w:hAnsi="Arial" w:cs="Arial"/>
          <w:b/>
          <w:szCs w:val="22"/>
        </w:rPr>
        <w:t>Technická specifikace dodávaného zařízení</w:t>
      </w:r>
    </w:p>
    <w:p w:rsidR="007404F9" w:rsidRDefault="007404F9" w:rsidP="007404F9">
      <w:pPr>
        <w:tabs>
          <w:tab w:val="left" w:pos="7155"/>
        </w:tabs>
        <w:spacing w:after="240"/>
        <w:outlineLvl w:val="0"/>
        <w:rPr>
          <w:rFonts w:ascii="Arial" w:hAnsi="Arial" w:cs="Arial"/>
          <w:b/>
          <w:szCs w:val="22"/>
        </w:rPr>
      </w:pPr>
      <w:proofErr w:type="spellStart"/>
      <w:r w:rsidRPr="00DF7D22">
        <w:rPr>
          <w:rFonts w:ascii="Arial" w:hAnsi="Arial" w:cs="Arial"/>
          <w:b/>
          <w:bCs/>
          <w:szCs w:val="22"/>
        </w:rPr>
        <w:t>Deduplikační</w:t>
      </w:r>
      <w:proofErr w:type="spellEnd"/>
      <w:r w:rsidRPr="00DF7D22">
        <w:rPr>
          <w:rFonts w:ascii="Arial" w:hAnsi="Arial" w:cs="Arial"/>
          <w:b/>
          <w:bCs/>
          <w:szCs w:val="22"/>
        </w:rPr>
        <w:t xml:space="preserve"> </w:t>
      </w:r>
      <w:r w:rsidR="008B0DC8">
        <w:rPr>
          <w:rFonts w:ascii="Arial" w:hAnsi="Arial" w:cs="Arial"/>
          <w:b/>
          <w:bCs/>
          <w:szCs w:val="22"/>
        </w:rPr>
        <w:t>zálohové (</w:t>
      </w:r>
      <w:r w:rsidRPr="00DF7D22">
        <w:rPr>
          <w:rFonts w:ascii="Arial" w:hAnsi="Arial" w:cs="Arial"/>
          <w:b/>
          <w:bCs/>
          <w:szCs w:val="22"/>
        </w:rPr>
        <w:t>diskové</w:t>
      </w:r>
      <w:r w:rsidR="008B0DC8">
        <w:rPr>
          <w:rFonts w:ascii="Arial" w:hAnsi="Arial" w:cs="Arial"/>
          <w:b/>
          <w:bCs/>
          <w:szCs w:val="22"/>
        </w:rPr>
        <w:t>)</w:t>
      </w:r>
      <w:r w:rsidRPr="00DF7D22">
        <w:rPr>
          <w:rFonts w:ascii="Arial" w:hAnsi="Arial" w:cs="Arial"/>
          <w:b/>
          <w:bCs/>
          <w:szCs w:val="22"/>
        </w:rPr>
        <w:t xml:space="preserve"> úložiště</w:t>
      </w:r>
      <w:r w:rsidRPr="00DF7D22">
        <w:rPr>
          <w:rFonts w:ascii="Arial" w:hAnsi="Arial" w:cs="Arial"/>
          <w:b/>
          <w:szCs w:val="22"/>
        </w:rPr>
        <w:t xml:space="preserve"> (1 ks)</w:t>
      </w:r>
    </w:p>
    <w:p w:rsidR="007404F9" w:rsidRPr="00007500" w:rsidRDefault="007404F9" w:rsidP="007404F9">
      <w:pPr>
        <w:tabs>
          <w:tab w:val="left" w:pos="7155"/>
        </w:tabs>
        <w:spacing w:after="240"/>
        <w:outlineLvl w:val="0"/>
        <w:rPr>
          <w:rFonts w:ascii="Arial" w:hAnsi="Arial" w:cs="Arial"/>
          <w:szCs w:val="22"/>
        </w:rPr>
      </w:pPr>
      <w:r w:rsidRPr="00007500">
        <w:rPr>
          <w:rFonts w:ascii="Arial" w:hAnsi="Arial" w:cs="Arial"/>
          <w:szCs w:val="22"/>
        </w:rPr>
        <w:t>Uchazeč vyplní nabízenou konfiguraci tak, aby splňovala minimální požadavky zadavatele (kupujícího)</w:t>
      </w:r>
      <w:r>
        <w:rPr>
          <w:rFonts w:ascii="Arial" w:hAnsi="Arial" w:cs="Arial"/>
          <w:szCs w:val="22"/>
        </w:rPr>
        <w:t>:</w:t>
      </w:r>
    </w:p>
    <w:tbl>
      <w:tblPr>
        <w:tblStyle w:val="Mkatabulky"/>
        <w:tblW w:w="9782" w:type="dxa"/>
        <w:tblInd w:w="-289" w:type="dxa"/>
        <w:tblLook w:val="04A0"/>
      </w:tblPr>
      <w:tblGrid>
        <w:gridCol w:w="516"/>
        <w:gridCol w:w="4012"/>
        <w:gridCol w:w="5254"/>
      </w:tblGrid>
      <w:tr w:rsidR="007404F9" w:rsidRPr="00D3369C" w:rsidTr="00B40962">
        <w:tc>
          <w:tcPr>
            <w:tcW w:w="516" w:type="dxa"/>
            <w:vAlign w:val="center"/>
          </w:tcPr>
          <w:p w:rsidR="007404F9" w:rsidRPr="00D3369C" w:rsidRDefault="007404F9" w:rsidP="00B40962">
            <w:pPr>
              <w:tabs>
                <w:tab w:val="left" w:pos="7155"/>
              </w:tabs>
              <w:spacing w:after="240"/>
              <w:rPr>
                <w:rFonts w:ascii="Arial" w:hAnsi="Arial" w:cs="Arial"/>
                <w:b/>
                <w:sz w:val="22"/>
                <w:szCs w:val="22"/>
              </w:rPr>
            </w:pPr>
          </w:p>
        </w:tc>
        <w:tc>
          <w:tcPr>
            <w:tcW w:w="4012" w:type="dxa"/>
            <w:vAlign w:val="center"/>
          </w:tcPr>
          <w:p w:rsidR="007404F9" w:rsidRPr="00124136" w:rsidRDefault="007404F9" w:rsidP="00B40962">
            <w:pPr>
              <w:jc w:val="center"/>
              <w:rPr>
                <w:rFonts w:ascii="Arial" w:hAnsi="Arial" w:cs="Arial"/>
                <w:b/>
                <w:szCs w:val="20"/>
              </w:rPr>
            </w:pPr>
            <w:r w:rsidRPr="00124136">
              <w:rPr>
                <w:rFonts w:ascii="Arial" w:hAnsi="Arial" w:cs="Arial"/>
                <w:b/>
                <w:bCs/>
                <w:color w:val="000000"/>
                <w:szCs w:val="20"/>
              </w:rPr>
              <w:t>Minimální technické požadavky zadavatele (kupujícího)</w:t>
            </w:r>
          </w:p>
        </w:tc>
        <w:tc>
          <w:tcPr>
            <w:tcW w:w="5254" w:type="dxa"/>
            <w:vAlign w:val="center"/>
          </w:tcPr>
          <w:p w:rsidR="007404F9" w:rsidRPr="00124136" w:rsidRDefault="007404F9" w:rsidP="00B40962">
            <w:pPr>
              <w:jc w:val="center"/>
              <w:rPr>
                <w:rFonts w:ascii="Arial" w:hAnsi="Arial" w:cs="Arial"/>
                <w:b/>
                <w:bCs/>
                <w:color w:val="000000"/>
                <w:szCs w:val="20"/>
              </w:rPr>
            </w:pPr>
            <w:r w:rsidRPr="00124136">
              <w:rPr>
                <w:rFonts w:ascii="Arial" w:hAnsi="Arial" w:cs="Arial"/>
                <w:b/>
                <w:bCs/>
                <w:color w:val="000000"/>
                <w:szCs w:val="20"/>
              </w:rPr>
              <w:t>Technická specifikace nabízeného plnění</w:t>
            </w:r>
          </w:p>
        </w:tc>
      </w:tr>
      <w:tr w:rsidR="007404F9" w:rsidRPr="00D3369C" w:rsidTr="00B40962">
        <w:tc>
          <w:tcPr>
            <w:tcW w:w="516" w:type="dxa"/>
            <w:vAlign w:val="center"/>
          </w:tcPr>
          <w:p w:rsidR="007404F9" w:rsidRPr="00D3369C" w:rsidRDefault="007404F9" w:rsidP="00B40962">
            <w:pPr>
              <w:tabs>
                <w:tab w:val="left" w:pos="7155"/>
              </w:tabs>
              <w:spacing w:after="240"/>
              <w:rPr>
                <w:rFonts w:ascii="Arial" w:hAnsi="Arial" w:cs="Arial"/>
                <w:b/>
                <w:szCs w:val="22"/>
              </w:rPr>
            </w:pPr>
          </w:p>
        </w:tc>
        <w:tc>
          <w:tcPr>
            <w:tcW w:w="4012" w:type="dxa"/>
            <w:vAlign w:val="center"/>
          </w:tcPr>
          <w:p w:rsidR="007404F9" w:rsidRPr="00124136" w:rsidRDefault="007404F9" w:rsidP="00B40962">
            <w:pPr>
              <w:jc w:val="center"/>
              <w:rPr>
                <w:rFonts w:ascii="Arial" w:hAnsi="Arial" w:cs="Arial"/>
                <w:b/>
                <w:bCs/>
                <w:color w:val="000000"/>
                <w:szCs w:val="20"/>
              </w:rPr>
            </w:pPr>
            <w:r>
              <w:rPr>
                <w:rFonts w:ascii="Arial" w:hAnsi="Arial" w:cs="Arial"/>
                <w:b/>
                <w:bCs/>
                <w:color w:val="000000"/>
                <w:szCs w:val="20"/>
              </w:rPr>
              <w:t>MODEL (označení)</w:t>
            </w:r>
          </w:p>
        </w:tc>
        <w:tc>
          <w:tcPr>
            <w:tcW w:w="5254" w:type="dxa"/>
            <w:vAlign w:val="center"/>
          </w:tcPr>
          <w:p w:rsidR="007404F9" w:rsidRPr="00124136" w:rsidRDefault="007404F9" w:rsidP="000F4269">
            <w:pPr>
              <w:jc w:val="center"/>
              <w:rPr>
                <w:rFonts w:ascii="Arial" w:hAnsi="Arial" w:cs="Arial"/>
                <w:b/>
                <w:bCs/>
                <w:color w:val="000000"/>
                <w:szCs w:val="20"/>
              </w:rPr>
            </w:pPr>
            <w:r w:rsidRPr="00321CEF">
              <w:rPr>
                <w:rFonts w:ascii="Arial" w:hAnsi="Arial" w:cs="Arial"/>
                <w:szCs w:val="20"/>
                <w:highlight w:val="green"/>
                <w:lang w:val="en-US"/>
              </w:rPr>
              <w:t>&lt;</w:t>
            </w:r>
            <w:r w:rsidR="000F4269">
              <w:rPr>
                <w:rFonts w:ascii="Arial" w:hAnsi="Arial" w:cs="Arial"/>
                <w:szCs w:val="20"/>
                <w:highlight w:val="green"/>
              </w:rPr>
              <w:t>doplní účastník</w:t>
            </w:r>
            <w:r w:rsidRPr="00321CEF">
              <w:rPr>
                <w:rFonts w:ascii="Arial" w:hAnsi="Arial" w:cs="Arial"/>
                <w:szCs w:val="20"/>
                <w:highlight w:val="green"/>
                <w:lang w:val="en-US"/>
              </w:rPr>
              <w:t>&gt;</w:t>
            </w:r>
          </w:p>
        </w:tc>
      </w:tr>
      <w:tr w:rsidR="000F4269" w:rsidRPr="00D3369C" w:rsidTr="000F4269">
        <w:trPr>
          <w:trHeight w:val="296"/>
        </w:trPr>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1</w:t>
            </w:r>
          </w:p>
        </w:tc>
        <w:tc>
          <w:tcPr>
            <w:tcW w:w="4012" w:type="dxa"/>
          </w:tcPr>
          <w:p w:rsidR="000F4269" w:rsidRPr="0040662A" w:rsidRDefault="000F4269" w:rsidP="00B40962">
            <w:pPr>
              <w:jc w:val="both"/>
              <w:rPr>
                <w:rFonts w:ascii="Arial" w:hAnsi="Arial" w:cs="Arial"/>
                <w:szCs w:val="20"/>
              </w:rPr>
            </w:pPr>
            <w:r w:rsidRPr="0040662A">
              <w:rPr>
                <w:rFonts w:ascii="Arial" w:hAnsi="Arial" w:cs="Arial"/>
                <w:szCs w:val="20"/>
              </w:rPr>
              <w:t>Maximál</w:t>
            </w:r>
            <w:r>
              <w:rPr>
                <w:rFonts w:ascii="Arial" w:hAnsi="Arial" w:cs="Arial"/>
                <w:szCs w:val="20"/>
              </w:rPr>
              <w:t>ně alokovaný prostor v racku 8U</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2</w:t>
            </w:r>
          </w:p>
        </w:tc>
        <w:tc>
          <w:tcPr>
            <w:tcW w:w="4012" w:type="dxa"/>
          </w:tcPr>
          <w:p w:rsidR="000F4269" w:rsidRPr="0040662A" w:rsidRDefault="000F4269" w:rsidP="00B40962">
            <w:pPr>
              <w:jc w:val="both"/>
              <w:rPr>
                <w:rFonts w:ascii="Arial" w:hAnsi="Arial" w:cs="Arial"/>
                <w:szCs w:val="20"/>
                <w:highlight w:val="yellow"/>
              </w:rPr>
            </w:pPr>
            <w:proofErr w:type="spellStart"/>
            <w:r w:rsidRPr="0040662A">
              <w:rPr>
                <w:rFonts w:ascii="Arial" w:hAnsi="Arial" w:cs="Arial"/>
                <w:szCs w:val="20"/>
              </w:rPr>
              <w:t>Zalicencovaná</w:t>
            </w:r>
            <w:proofErr w:type="spellEnd"/>
            <w:r w:rsidRPr="0040662A">
              <w:rPr>
                <w:rFonts w:ascii="Arial" w:hAnsi="Arial" w:cs="Arial"/>
                <w:szCs w:val="20"/>
              </w:rPr>
              <w:t xml:space="preserve"> použitelná kapacita minimálně 140 TB</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3</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w:t>
            </w:r>
            <w:r>
              <w:rPr>
                <w:rFonts w:ascii="Arial" w:hAnsi="Arial" w:cs="Arial"/>
                <w:szCs w:val="20"/>
              </w:rPr>
              <w:t xml:space="preserve">ožiště musí umožnit rozšiřování </w:t>
            </w:r>
            <w:r w:rsidRPr="0040662A">
              <w:rPr>
                <w:rFonts w:ascii="Arial" w:hAnsi="Arial" w:cs="Arial"/>
                <w:szCs w:val="20"/>
              </w:rPr>
              <w:t>minimálně do 170TB čisté kapacity</w:t>
            </w:r>
            <w:r>
              <w:rPr>
                <w:rFonts w:ascii="Arial" w:hAnsi="Arial" w:cs="Arial"/>
                <w:szCs w:val="20"/>
              </w:rPr>
              <w:t>.</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4</w:t>
            </w:r>
          </w:p>
        </w:tc>
        <w:tc>
          <w:tcPr>
            <w:tcW w:w="4012" w:type="dxa"/>
          </w:tcPr>
          <w:p w:rsidR="000F4269" w:rsidRPr="0040662A" w:rsidRDefault="000F4269" w:rsidP="00B40962">
            <w:pPr>
              <w:jc w:val="both"/>
              <w:rPr>
                <w:rFonts w:ascii="Arial" w:hAnsi="Arial" w:cs="Arial"/>
                <w:szCs w:val="20"/>
              </w:rPr>
            </w:pPr>
            <w:r w:rsidRPr="0040662A">
              <w:rPr>
                <w:rFonts w:ascii="Arial" w:hAnsi="Arial" w:cs="Arial"/>
                <w:szCs w:val="20"/>
              </w:rPr>
              <w:t>Minimální propustnost pro zápis 12 TB/h</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5</w:t>
            </w:r>
          </w:p>
        </w:tc>
        <w:tc>
          <w:tcPr>
            <w:tcW w:w="4012" w:type="dxa"/>
          </w:tcPr>
          <w:p w:rsidR="000F4269" w:rsidRPr="0040662A" w:rsidRDefault="000F4269" w:rsidP="00B40962">
            <w:pPr>
              <w:jc w:val="both"/>
              <w:rPr>
                <w:rFonts w:ascii="Arial" w:hAnsi="Arial" w:cs="Arial"/>
                <w:szCs w:val="20"/>
              </w:rPr>
            </w:pPr>
            <w:r w:rsidRPr="0040662A">
              <w:rPr>
                <w:rFonts w:ascii="Arial" w:hAnsi="Arial" w:cs="Arial"/>
                <w:szCs w:val="20"/>
              </w:rPr>
              <w:t>Minimální propustnost pro čtení 3 TB/h</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6</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mít síťovou konektivitu minimálně 4x 10</w:t>
            </w:r>
            <w:r>
              <w:rPr>
                <w:rFonts w:ascii="Arial" w:hAnsi="Arial" w:cs="Arial"/>
                <w:szCs w:val="20"/>
              </w:rPr>
              <w:t>G</w:t>
            </w:r>
            <w:r w:rsidRPr="0040662A">
              <w:rPr>
                <w:rFonts w:ascii="Arial" w:hAnsi="Arial" w:cs="Arial"/>
                <w:szCs w:val="20"/>
              </w:rPr>
              <w:t xml:space="preserve">bE </w:t>
            </w:r>
            <w:r>
              <w:rPr>
                <w:rFonts w:ascii="Arial" w:hAnsi="Arial" w:cs="Arial"/>
                <w:szCs w:val="20"/>
              </w:rPr>
              <w:t>SFP+ (včetně 4x modul SFP+)</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7</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podporovat IPv4 a IPv6 protokol.</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8</w:t>
            </w:r>
          </w:p>
        </w:tc>
        <w:tc>
          <w:tcPr>
            <w:tcW w:w="4012" w:type="dxa"/>
          </w:tcPr>
          <w:p w:rsidR="000F4269" w:rsidRPr="0040662A" w:rsidRDefault="000F4269" w:rsidP="00B40962">
            <w:pPr>
              <w:jc w:val="both"/>
              <w:rPr>
                <w:rFonts w:ascii="Arial" w:hAnsi="Arial" w:cs="Arial"/>
                <w:szCs w:val="20"/>
              </w:rPr>
            </w:pPr>
            <w:r w:rsidRPr="0040662A">
              <w:rPr>
                <w:rFonts w:ascii="Arial" w:hAnsi="Arial" w:cs="Arial"/>
                <w:szCs w:val="20"/>
              </w:rPr>
              <w:t>Podpora minimálně 270 konkurenčních vláken pro zápis a 75 pro čtení</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9</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 xml:space="preserve">ložiště musí při ukládání dat využívat princip in-line </w:t>
            </w:r>
            <w:proofErr w:type="spellStart"/>
            <w:r w:rsidRPr="0040662A">
              <w:rPr>
                <w:rFonts w:ascii="Arial" w:hAnsi="Arial" w:cs="Arial"/>
                <w:szCs w:val="20"/>
              </w:rPr>
              <w:t>deduplikace</w:t>
            </w:r>
            <w:proofErr w:type="spellEnd"/>
            <w:r w:rsidRPr="0040662A">
              <w:rPr>
                <w:rFonts w:ascii="Arial" w:hAnsi="Arial" w:cs="Arial"/>
                <w:szCs w:val="20"/>
              </w:rPr>
              <w:t xml:space="preserve"> na cíli na principu variabilní délky bloku.</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10</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 xml:space="preserve">ložiště musí konsolidovat a centralizovat zálohovací prostředí (lokální i vzdálené) – všechna data budou </w:t>
            </w:r>
            <w:proofErr w:type="spellStart"/>
            <w:r w:rsidRPr="0040662A">
              <w:rPr>
                <w:rFonts w:ascii="Arial" w:hAnsi="Arial" w:cs="Arial"/>
                <w:szCs w:val="20"/>
              </w:rPr>
              <w:t>deduplikována</w:t>
            </w:r>
            <w:proofErr w:type="spellEnd"/>
            <w:r w:rsidRPr="0040662A">
              <w:rPr>
                <w:rFonts w:ascii="Arial" w:hAnsi="Arial" w:cs="Arial"/>
                <w:szCs w:val="20"/>
              </w:rPr>
              <w:t xml:space="preserve"> v rámci jednoho boxu (žádné separátní množiny </w:t>
            </w:r>
            <w:proofErr w:type="spellStart"/>
            <w:r w:rsidRPr="0040662A">
              <w:rPr>
                <w:rFonts w:ascii="Arial" w:hAnsi="Arial" w:cs="Arial"/>
                <w:szCs w:val="20"/>
              </w:rPr>
              <w:t>deduplikovaných</w:t>
            </w:r>
            <w:proofErr w:type="spellEnd"/>
            <w:r w:rsidRPr="0040662A">
              <w:rPr>
                <w:rFonts w:ascii="Arial" w:hAnsi="Arial" w:cs="Arial"/>
                <w:szCs w:val="20"/>
              </w:rPr>
              <w:t xml:space="preserve"> úložišť)</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11</w:t>
            </w:r>
          </w:p>
        </w:tc>
        <w:tc>
          <w:tcPr>
            <w:tcW w:w="4012" w:type="dxa"/>
          </w:tcPr>
          <w:p w:rsidR="000F4269" w:rsidRPr="0040662A" w:rsidRDefault="000F4269" w:rsidP="00B40962">
            <w:pPr>
              <w:jc w:val="both"/>
              <w:rPr>
                <w:rFonts w:ascii="Arial" w:hAnsi="Arial" w:cs="Arial"/>
                <w:szCs w:val="20"/>
              </w:rPr>
            </w:pPr>
            <w:r>
              <w:rPr>
                <w:rFonts w:ascii="Arial" w:hAnsi="Arial" w:cs="Arial"/>
                <w:szCs w:val="20"/>
              </w:rPr>
              <w:t>O</w:t>
            </w:r>
            <w:r w:rsidRPr="0040662A">
              <w:rPr>
                <w:rFonts w:ascii="Arial" w:hAnsi="Arial" w:cs="Arial"/>
                <w:szCs w:val="20"/>
              </w:rPr>
              <w:t xml:space="preserve">chrana dat úrovně RAID 6 s duální paritou, a SSD akcelerací pro </w:t>
            </w:r>
            <w:proofErr w:type="spellStart"/>
            <w:r w:rsidRPr="0040662A">
              <w:rPr>
                <w:rFonts w:ascii="Arial" w:hAnsi="Arial" w:cs="Arial"/>
                <w:szCs w:val="20"/>
              </w:rPr>
              <w:t>deduplikační</w:t>
            </w:r>
            <w:proofErr w:type="spellEnd"/>
            <w:r w:rsidRPr="0040662A">
              <w:rPr>
                <w:rFonts w:ascii="Arial" w:hAnsi="Arial" w:cs="Arial"/>
                <w:szCs w:val="20"/>
              </w:rPr>
              <w:t xml:space="preserve"> </w:t>
            </w:r>
            <w:proofErr w:type="spellStart"/>
            <w:r w:rsidRPr="0040662A">
              <w:rPr>
                <w:rFonts w:ascii="Arial" w:hAnsi="Arial" w:cs="Arial"/>
                <w:szCs w:val="20"/>
              </w:rPr>
              <w:t>metadata</w:t>
            </w:r>
            <w:proofErr w:type="spellEnd"/>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12</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Úložiště</w:t>
            </w:r>
            <w:r w:rsidRPr="0040662A">
              <w:rPr>
                <w:rFonts w:ascii="Arial" w:hAnsi="Arial" w:cs="Arial"/>
                <w:szCs w:val="20"/>
              </w:rPr>
              <w:t xml:space="preserve"> musí podporovat minimálně následující protokoly: CIFS, NFS, VTL, FC; a musí umožnit jejich současné použití</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13</w:t>
            </w:r>
          </w:p>
        </w:tc>
        <w:tc>
          <w:tcPr>
            <w:tcW w:w="4012" w:type="dxa"/>
          </w:tcPr>
          <w:p w:rsidR="000F4269" w:rsidRPr="0040662A" w:rsidRDefault="000F4269" w:rsidP="00B40962">
            <w:pPr>
              <w:jc w:val="both"/>
              <w:rPr>
                <w:rFonts w:ascii="Arial" w:hAnsi="Arial" w:cs="Arial"/>
                <w:szCs w:val="20"/>
              </w:rPr>
            </w:pPr>
            <w:r>
              <w:rPr>
                <w:rFonts w:ascii="Arial" w:hAnsi="Arial" w:cs="Arial"/>
                <w:szCs w:val="20"/>
              </w:rPr>
              <w:t xml:space="preserve">Úložiště </w:t>
            </w:r>
            <w:r w:rsidRPr="0040662A">
              <w:rPr>
                <w:rFonts w:ascii="Arial" w:hAnsi="Arial" w:cs="Arial"/>
                <w:szCs w:val="20"/>
              </w:rPr>
              <w:t xml:space="preserve">musí být umožňovat přímou integraci s různými typy zálohovacích SW (minimálně </w:t>
            </w:r>
            <w:proofErr w:type="spellStart"/>
            <w:r w:rsidRPr="0040662A">
              <w:rPr>
                <w:rFonts w:ascii="Arial" w:hAnsi="Arial" w:cs="Arial"/>
                <w:szCs w:val="20"/>
              </w:rPr>
              <w:t>Microfocus</w:t>
            </w:r>
            <w:proofErr w:type="spellEnd"/>
            <w:r w:rsidRPr="0040662A">
              <w:rPr>
                <w:rFonts w:ascii="Arial" w:hAnsi="Arial" w:cs="Arial"/>
                <w:szCs w:val="20"/>
              </w:rPr>
              <w:t xml:space="preserve"> Data </w:t>
            </w:r>
            <w:proofErr w:type="spellStart"/>
            <w:r w:rsidRPr="0040662A">
              <w:rPr>
                <w:rFonts w:ascii="Arial" w:hAnsi="Arial" w:cs="Arial"/>
                <w:szCs w:val="20"/>
              </w:rPr>
              <w:t>Protector</w:t>
            </w:r>
            <w:proofErr w:type="spellEnd"/>
            <w:r w:rsidRPr="0040662A">
              <w:rPr>
                <w:rFonts w:ascii="Arial" w:hAnsi="Arial" w:cs="Arial"/>
                <w:szCs w:val="20"/>
              </w:rPr>
              <w:t xml:space="preserve">, IBM TSM, </w:t>
            </w:r>
            <w:proofErr w:type="spellStart"/>
            <w:r w:rsidRPr="0040662A">
              <w:rPr>
                <w:rFonts w:ascii="Arial" w:hAnsi="Arial" w:cs="Arial"/>
                <w:szCs w:val="20"/>
              </w:rPr>
              <w:t>Veritas</w:t>
            </w:r>
            <w:proofErr w:type="spellEnd"/>
            <w:r w:rsidRPr="0040662A">
              <w:rPr>
                <w:rFonts w:ascii="Arial" w:hAnsi="Arial" w:cs="Arial"/>
                <w:szCs w:val="20"/>
              </w:rPr>
              <w:t xml:space="preserve"> </w:t>
            </w:r>
            <w:proofErr w:type="spellStart"/>
            <w:r w:rsidRPr="0040662A">
              <w:rPr>
                <w:rFonts w:ascii="Arial" w:hAnsi="Arial" w:cs="Arial"/>
                <w:szCs w:val="20"/>
              </w:rPr>
              <w:t>NetBackup</w:t>
            </w:r>
            <w:proofErr w:type="spellEnd"/>
            <w:r w:rsidRPr="0040662A">
              <w:rPr>
                <w:rFonts w:ascii="Arial" w:hAnsi="Arial" w:cs="Arial"/>
                <w:szCs w:val="20"/>
              </w:rPr>
              <w:t xml:space="preserve">, Dell EMC Data </w:t>
            </w:r>
            <w:proofErr w:type="spellStart"/>
            <w:r w:rsidRPr="0040662A">
              <w:rPr>
                <w:rFonts w:ascii="Arial" w:hAnsi="Arial" w:cs="Arial"/>
                <w:szCs w:val="20"/>
              </w:rPr>
              <w:t>Protection</w:t>
            </w:r>
            <w:proofErr w:type="spellEnd"/>
            <w:r w:rsidRPr="0040662A">
              <w:rPr>
                <w:rFonts w:ascii="Arial" w:hAnsi="Arial" w:cs="Arial"/>
                <w:szCs w:val="20"/>
              </w:rPr>
              <w:t xml:space="preserve"> </w:t>
            </w:r>
            <w:proofErr w:type="spellStart"/>
            <w:r w:rsidRPr="0040662A">
              <w:rPr>
                <w:rFonts w:ascii="Arial" w:hAnsi="Arial" w:cs="Arial"/>
                <w:szCs w:val="20"/>
              </w:rPr>
              <w:t>Suite</w:t>
            </w:r>
            <w:proofErr w:type="spellEnd"/>
            <w:r w:rsidRPr="0040662A">
              <w:rPr>
                <w:rFonts w:ascii="Arial" w:hAnsi="Arial" w:cs="Arial"/>
                <w:szCs w:val="20"/>
              </w:rPr>
              <w:t xml:space="preserve">, </w:t>
            </w:r>
            <w:proofErr w:type="spellStart"/>
            <w:r w:rsidRPr="0040662A">
              <w:rPr>
                <w:rFonts w:ascii="Arial" w:hAnsi="Arial" w:cs="Arial"/>
                <w:szCs w:val="20"/>
              </w:rPr>
              <w:t>Quest</w:t>
            </w:r>
            <w:proofErr w:type="spellEnd"/>
            <w:r w:rsidRPr="0040662A">
              <w:rPr>
                <w:rFonts w:ascii="Arial" w:hAnsi="Arial" w:cs="Arial"/>
                <w:szCs w:val="20"/>
              </w:rPr>
              <w:t>, Microsoft DPM, Oracle RMAN, MS SQL Studio)</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14</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být použitelné jako NAS systém (</w:t>
            </w:r>
            <w:proofErr w:type="spellStart"/>
            <w:r w:rsidRPr="0040662A">
              <w:rPr>
                <w:rFonts w:ascii="Arial" w:hAnsi="Arial" w:cs="Arial"/>
                <w:szCs w:val="20"/>
              </w:rPr>
              <w:t>file</w:t>
            </w:r>
            <w:proofErr w:type="spellEnd"/>
            <w:r w:rsidRPr="0040662A">
              <w:rPr>
                <w:rFonts w:ascii="Arial" w:hAnsi="Arial" w:cs="Arial"/>
                <w:szCs w:val="20"/>
              </w:rPr>
              <w:t xml:space="preserve"> server).</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15</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nesmí vynutit změnu stávajícího zálohovacího schématu.</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16</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 xml:space="preserve">ložiště musí umožnit komprimaci ukládaných </w:t>
            </w:r>
            <w:proofErr w:type="spellStart"/>
            <w:r w:rsidRPr="0040662A">
              <w:rPr>
                <w:rFonts w:ascii="Arial" w:hAnsi="Arial" w:cs="Arial"/>
                <w:szCs w:val="20"/>
              </w:rPr>
              <w:t>deduplikovaných</w:t>
            </w:r>
            <w:proofErr w:type="spellEnd"/>
            <w:r w:rsidRPr="0040662A">
              <w:rPr>
                <w:rFonts w:ascii="Arial" w:hAnsi="Arial" w:cs="Arial"/>
                <w:szCs w:val="20"/>
              </w:rPr>
              <w:t xml:space="preserve"> dat.</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17</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 xml:space="preserve">ložiště musí být kompatibilní se standardem </w:t>
            </w:r>
            <w:proofErr w:type="spellStart"/>
            <w:r w:rsidRPr="0040662A">
              <w:rPr>
                <w:rFonts w:ascii="Arial" w:hAnsi="Arial" w:cs="Arial"/>
                <w:szCs w:val="20"/>
              </w:rPr>
              <w:t>OpenStorage</w:t>
            </w:r>
            <w:proofErr w:type="spellEnd"/>
            <w:r w:rsidRPr="0040662A">
              <w:rPr>
                <w:rFonts w:ascii="Arial" w:hAnsi="Arial" w:cs="Arial"/>
                <w:szCs w:val="20"/>
              </w:rPr>
              <w:t>.</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6F4B4A"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18</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 xml:space="preserve">ložiště musí umožnit případnou distribuci </w:t>
            </w:r>
            <w:r w:rsidRPr="0040662A">
              <w:rPr>
                <w:rFonts w:ascii="Arial" w:hAnsi="Arial" w:cs="Arial"/>
                <w:szCs w:val="20"/>
              </w:rPr>
              <w:lastRenderedPageBreak/>
              <w:t>deduplikačního algoritmu z cílového (deduplikačního úložiště) na zdrojové zařízení (</w:t>
            </w:r>
            <w:proofErr w:type="spellStart"/>
            <w:r w:rsidRPr="0040662A">
              <w:rPr>
                <w:rFonts w:ascii="Arial" w:hAnsi="Arial" w:cs="Arial"/>
                <w:szCs w:val="20"/>
              </w:rPr>
              <w:t>backup</w:t>
            </w:r>
            <w:proofErr w:type="spellEnd"/>
            <w:r w:rsidRPr="0040662A">
              <w:rPr>
                <w:rFonts w:ascii="Arial" w:hAnsi="Arial" w:cs="Arial"/>
                <w:szCs w:val="20"/>
              </w:rPr>
              <w:t xml:space="preserve"> klienta nebo </w:t>
            </w:r>
            <w:proofErr w:type="spellStart"/>
            <w:r w:rsidRPr="0040662A">
              <w:rPr>
                <w:rFonts w:ascii="Arial" w:hAnsi="Arial" w:cs="Arial"/>
                <w:szCs w:val="20"/>
              </w:rPr>
              <w:t>backup</w:t>
            </w:r>
            <w:proofErr w:type="spellEnd"/>
            <w:r w:rsidRPr="0040662A">
              <w:rPr>
                <w:rFonts w:ascii="Arial" w:hAnsi="Arial" w:cs="Arial"/>
                <w:szCs w:val="20"/>
              </w:rPr>
              <w:t xml:space="preserve"> server) z důvodu výkonu a škálovatelnosti prostředí a z důvodu úspor na slabých datových linkách</w:t>
            </w:r>
          </w:p>
        </w:tc>
        <w:tc>
          <w:tcPr>
            <w:tcW w:w="5254" w:type="dxa"/>
            <w:vAlign w:val="center"/>
          </w:tcPr>
          <w:p w:rsidR="000F4269" w:rsidRDefault="000F4269" w:rsidP="000F4269">
            <w:pPr>
              <w:jc w:val="center"/>
            </w:pPr>
            <w:r w:rsidRPr="00AC0346">
              <w:rPr>
                <w:rFonts w:ascii="Arial" w:hAnsi="Arial" w:cs="Arial"/>
                <w:szCs w:val="20"/>
                <w:highlight w:val="green"/>
                <w:lang w:val="en-US"/>
              </w:rPr>
              <w:lastRenderedPageBreak/>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lastRenderedPageBreak/>
              <w:t>19</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 xml:space="preserve">ložiště musí být univerzální z hlediska podpory datových typů zálohovaných dat, musí podporovat všechny datové typy, používané v produkčním prostředí – soubor, databáze, emaily, </w:t>
            </w:r>
            <w:proofErr w:type="spellStart"/>
            <w:r w:rsidRPr="0040662A">
              <w:rPr>
                <w:rFonts w:ascii="Arial" w:hAnsi="Arial" w:cs="Arial"/>
                <w:szCs w:val="20"/>
              </w:rPr>
              <w:t>VMware</w:t>
            </w:r>
            <w:proofErr w:type="spellEnd"/>
            <w:r w:rsidRPr="0040662A">
              <w:rPr>
                <w:rFonts w:ascii="Arial" w:hAnsi="Arial" w:cs="Arial"/>
                <w:szCs w:val="20"/>
              </w:rPr>
              <w:t xml:space="preserve">, </w:t>
            </w:r>
            <w:proofErr w:type="spellStart"/>
            <w:r w:rsidRPr="0040662A">
              <w:rPr>
                <w:rFonts w:ascii="Arial" w:hAnsi="Arial" w:cs="Arial"/>
                <w:szCs w:val="20"/>
              </w:rPr>
              <w:t>Oracle</w:t>
            </w:r>
            <w:proofErr w:type="spellEnd"/>
            <w:r w:rsidRPr="0040662A">
              <w:rPr>
                <w:rFonts w:ascii="Arial" w:hAnsi="Arial" w:cs="Arial"/>
                <w:szCs w:val="20"/>
              </w:rPr>
              <w:t>, MS Exchange,</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20</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 xml:space="preserve">ložiště musí disponovat funkcí </w:t>
            </w:r>
            <w:proofErr w:type="spellStart"/>
            <w:r w:rsidRPr="0040662A">
              <w:rPr>
                <w:rFonts w:ascii="Arial" w:hAnsi="Arial" w:cs="Arial"/>
                <w:szCs w:val="20"/>
              </w:rPr>
              <w:t>multitenancy</w:t>
            </w:r>
            <w:proofErr w:type="spellEnd"/>
            <w:r w:rsidRPr="0040662A">
              <w:rPr>
                <w:rFonts w:ascii="Arial" w:hAnsi="Arial" w:cs="Arial"/>
                <w:szCs w:val="20"/>
              </w:rPr>
              <w:t xml:space="preserve"> (logické dělení diskového prostoru pro různé skupiny uživatelů s právy pouze na tyto logické jednotky s možností definice </w:t>
            </w:r>
            <w:proofErr w:type="spellStart"/>
            <w:r w:rsidRPr="0040662A">
              <w:rPr>
                <w:rFonts w:ascii="Arial" w:hAnsi="Arial" w:cs="Arial"/>
                <w:szCs w:val="20"/>
              </w:rPr>
              <w:t>tenant</w:t>
            </w:r>
            <w:proofErr w:type="spellEnd"/>
            <w:r w:rsidRPr="0040662A">
              <w:rPr>
                <w:rFonts w:ascii="Arial" w:hAnsi="Arial" w:cs="Arial"/>
                <w:szCs w:val="20"/>
              </w:rPr>
              <w:t xml:space="preserve"> </w:t>
            </w:r>
            <w:proofErr w:type="spellStart"/>
            <w:r w:rsidRPr="0040662A">
              <w:rPr>
                <w:rFonts w:ascii="Arial" w:hAnsi="Arial" w:cs="Arial"/>
                <w:szCs w:val="20"/>
              </w:rPr>
              <w:t>administrator</w:t>
            </w:r>
            <w:proofErr w:type="spellEnd"/>
            <w:r w:rsidRPr="0040662A">
              <w:rPr>
                <w:rFonts w:ascii="Arial" w:hAnsi="Arial" w:cs="Arial"/>
                <w:szCs w:val="20"/>
              </w:rPr>
              <w:t>).</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21</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 xml:space="preserve">ložiště musí umožnit rychlou a snadnou tvorbu R/W </w:t>
            </w:r>
            <w:proofErr w:type="spellStart"/>
            <w:r w:rsidRPr="0040662A">
              <w:rPr>
                <w:rFonts w:ascii="Arial" w:hAnsi="Arial" w:cs="Arial"/>
                <w:szCs w:val="20"/>
              </w:rPr>
              <w:t>snapů</w:t>
            </w:r>
            <w:proofErr w:type="spellEnd"/>
            <w:r w:rsidRPr="0040662A">
              <w:rPr>
                <w:rFonts w:ascii="Arial" w:hAnsi="Arial" w:cs="Arial"/>
                <w:szCs w:val="20"/>
              </w:rPr>
              <w:t xml:space="preserve"> zálohovaných dat pro potřeby testování scénářů </w:t>
            </w:r>
            <w:proofErr w:type="spellStart"/>
            <w:r w:rsidRPr="0040662A">
              <w:rPr>
                <w:rFonts w:ascii="Arial" w:hAnsi="Arial" w:cs="Arial"/>
                <w:szCs w:val="20"/>
              </w:rPr>
              <w:t>Disaster</w:t>
            </w:r>
            <w:proofErr w:type="spellEnd"/>
            <w:r w:rsidRPr="0040662A">
              <w:rPr>
                <w:rFonts w:ascii="Arial" w:hAnsi="Arial" w:cs="Arial"/>
                <w:szCs w:val="20"/>
              </w:rPr>
              <w:t xml:space="preserve"> </w:t>
            </w:r>
            <w:proofErr w:type="spellStart"/>
            <w:r w:rsidRPr="0040662A">
              <w:rPr>
                <w:rFonts w:ascii="Arial" w:hAnsi="Arial" w:cs="Arial"/>
                <w:szCs w:val="20"/>
              </w:rPr>
              <w:t>Recovery</w:t>
            </w:r>
            <w:proofErr w:type="spellEnd"/>
            <w:r w:rsidRPr="0040662A">
              <w:rPr>
                <w:rFonts w:ascii="Arial" w:hAnsi="Arial" w:cs="Arial"/>
                <w:szCs w:val="20"/>
              </w:rPr>
              <w:t>.</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22</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mít licencované replikace do záložní lokality (pokud je licence vyžadována). Požadavkem je replikace na stávající DataDomain6300.</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23</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 xml:space="preserve">ložiště musí replikovat pouze </w:t>
            </w:r>
            <w:proofErr w:type="spellStart"/>
            <w:r w:rsidRPr="0040662A">
              <w:rPr>
                <w:rFonts w:ascii="Arial" w:hAnsi="Arial" w:cs="Arial"/>
                <w:szCs w:val="20"/>
              </w:rPr>
              <w:t>deduplikovaná</w:t>
            </w:r>
            <w:proofErr w:type="spellEnd"/>
            <w:r w:rsidRPr="0040662A">
              <w:rPr>
                <w:rFonts w:ascii="Arial" w:hAnsi="Arial" w:cs="Arial"/>
                <w:szCs w:val="20"/>
              </w:rPr>
              <w:t xml:space="preserve"> zkomprimovaná data.</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24</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podporovat následující scénáře pro replikaci: 1:1, N:1 a kaskádovou replikaci.</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25</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umožnit funkcionalitu šifrování replikačního toku data-in-</w:t>
            </w:r>
            <w:proofErr w:type="spellStart"/>
            <w:r w:rsidRPr="0040662A">
              <w:rPr>
                <w:rFonts w:ascii="Arial" w:hAnsi="Arial" w:cs="Arial"/>
                <w:szCs w:val="20"/>
              </w:rPr>
              <w:t>flight</w:t>
            </w:r>
            <w:proofErr w:type="spellEnd"/>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26</w:t>
            </w:r>
          </w:p>
        </w:tc>
        <w:tc>
          <w:tcPr>
            <w:tcW w:w="4012" w:type="dxa"/>
          </w:tcPr>
          <w:p w:rsidR="000F4269" w:rsidRPr="0040662A" w:rsidRDefault="000F4269" w:rsidP="00B40962">
            <w:pPr>
              <w:jc w:val="both"/>
              <w:rPr>
                <w:rFonts w:ascii="Arial" w:hAnsi="Arial" w:cs="Arial"/>
                <w:szCs w:val="20"/>
              </w:rPr>
            </w:pPr>
            <w:r w:rsidRPr="0040662A">
              <w:rPr>
                <w:rFonts w:ascii="Arial" w:hAnsi="Arial" w:cs="Arial"/>
                <w:szCs w:val="20"/>
              </w:rPr>
              <w:t>Replikaci musí být možno spustit ve stejném čase jako zálohu bez dopadu na výkon zálohy.</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27</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umožnit řízení replikace v prostředí zálohovacího SW.</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28</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umožnit funkcionalitu šifrování replikačního toku.</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29</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umožnit kontrolu a správu využití pásma pro replikace dat.</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30</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disponovat interním algoritmem pro neustálou kontrolu zdraví uložených dat a v případě poškození provést jejich automatickou obnovu.</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31</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disponovat funkcionalitou pro šifrování ukládaných data metodou data-</w:t>
            </w:r>
            <w:proofErr w:type="spellStart"/>
            <w:r w:rsidRPr="0040662A">
              <w:rPr>
                <w:rFonts w:ascii="Arial" w:hAnsi="Arial" w:cs="Arial"/>
                <w:szCs w:val="20"/>
              </w:rPr>
              <w:t>at</w:t>
            </w:r>
            <w:proofErr w:type="spellEnd"/>
            <w:r w:rsidRPr="0040662A">
              <w:rPr>
                <w:rFonts w:ascii="Arial" w:hAnsi="Arial" w:cs="Arial"/>
                <w:szCs w:val="20"/>
              </w:rPr>
              <w:t>-rest</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32</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 xml:space="preserve">ložiště je možné osadit </w:t>
            </w:r>
            <w:proofErr w:type="spellStart"/>
            <w:r w:rsidRPr="0040662A">
              <w:rPr>
                <w:rFonts w:ascii="Arial" w:hAnsi="Arial" w:cs="Arial"/>
                <w:szCs w:val="20"/>
              </w:rPr>
              <w:t>HotSpare</w:t>
            </w:r>
            <w:proofErr w:type="spellEnd"/>
            <w:r w:rsidRPr="0040662A">
              <w:rPr>
                <w:rFonts w:ascii="Arial" w:hAnsi="Arial" w:cs="Arial"/>
                <w:szCs w:val="20"/>
              </w:rPr>
              <w:t xml:space="preserve"> diskem</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33</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umožňovat šifrovat data a musí disponovat i nástroji pro správu klíčů.</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34</w:t>
            </w:r>
          </w:p>
        </w:tc>
        <w:tc>
          <w:tcPr>
            <w:tcW w:w="4012" w:type="dxa"/>
          </w:tcPr>
          <w:p w:rsidR="000F4269" w:rsidRPr="0040662A" w:rsidRDefault="000F4269" w:rsidP="00B40962">
            <w:pPr>
              <w:jc w:val="both"/>
              <w:rPr>
                <w:rFonts w:ascii="Arial" w:hAnsi="Arial" w:cs="Arial"/>
                <w:szCs w:val="20"/>
              </w:rPr>
            </w:pPr>
            <w:r w:rsidRPr="0040662A">
              <w:rPr>
                <w:rFonts w:ascii="Arial" w:hAnsi="Arial" w:cs="Arial"/>
                <w:szCs w:val="20"/>
              </w:rPr>
              <w:t>Úložiště musí umožňovat nastavit retenční lhůty uložených data, granulárně podle definovaných politik řízených zálohovacím SW.</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35</w:t>
            </w:r>
          </w:p>
        </w:tc>
        <w:tc>
          <w:tcPr>
            <w:tcW w:w="4012" w:type="dxa"/>
          </w:tcPr>
          <w:p w:rsidR="000F4269" w:rsidRPr="0040662A" w:rsidRDefault="000F4269" w:rsidP="00B40962">
            <w:pPr>
              <w:jc w:val="both"/>
              <w:rPr>
                <w:rFonts w:ascii="Arial" w:hAnsi="Arial" w:cs="Arial"/>
                <w:szCs w:val="20"/>
              </w:rPr>
            </w:pPr>
            <w:r w:rsidRPr="0040662A">
              <w:rPr>
                <w:rFonts w:ascii="Arial" w:hAnsi="Arial" w:cs="Arial"/>
                <w:szCs w:val="20"/>
              </w:rPr>
              <w:t xml:space="preserve">Retenční zámek úložiště musí ochránit data před změnou, nebo smazáním před </w:t>
            </w:r>
            <w:r w:rsidRPr="0040662A">
              <w:rPr>
                <w:rFonts w:ascii="Arial" w:hAnsi="Arial" w:cs="Arial"/>
                <w:szCs w:val="20"/>
              </w:rPr>
              <w:lastRenderedPageBreak/>
              <w:t>vypršením retenční lhůty.</w:t>
            </w:r>
          </w:p>
        </w:tc>
        <w:tc>
          <w:tcPr>
            <w:tcW w:w="5254" w:type="dxa"/>
            <w:vAlign w:val="center"/>
          </w:tcPr>
          <w:p w:rsidR="000F4269" w:rsidRDefault="000F4269" w:rsidP="000F4269">
            <w:pPr>
              <w:jc w:val="center"/>
            </w:pPr>
            <w:r w:rsidRPr="00AC0346">
              <w:rPr>
                <w:rFonts w:ascii="Arial" w:hAnsi="Arial" w:cs="Arial"/>
                <w:szCs w:val="20"/>
                <w:highlight w:val="green"/>
                <w:lang w:val="en-US"/>
              </w:rPr>
              <w:lastRenderedPageBreak/>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lastRenderedPageBreak/>
              <w:t>36</w:t>
            </w:r>
          </w:p>
        </w:tc>
        <w:tc>
          <w:tcPr>
            <w:tcW w:w="4012" w:type="dxa"/>
          </w:tcPr>
          <w:p w:rsidR="000F4269" w:rsidRPr="0040662A" w:rsidRDefault="000F4269" w:rsidP="00B40962">
            <w:pPr>
              <w:jc w:val="both"/>
              <w:rPr>
                <w:rFonts w:ascii="Arial" w:hAnsi="Arial" w:cs="Arial"/>
                <w:szCs w:val="20"/>
              </w:rPr>
            </w:pPr>
            <w:r w:rsidRPr="0040662A">
              <w:rPr>
                <w:rFonts w:ascii="Arial" w:hAnsi="Arial" w:cs="Arial"/>
                <w:szCs w:val="20"/>
              </w:rPr>
              <w:t>Úložiště musí disponovat mechanismem ochrany dat a samotného úložiště před napadením útočníkem z prostředí zadavatele i mimo toto prostředí (např. hackerský útok, ransomware, apod.).</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37</w:t>
            </w:r>
          </w:p>
        </w:tc>
        <w:tc>
          <w:tcPr>
            <w:tcW w:w="4012" w:type="dxa"/>
          </w:tcPr>
          <w:p w:rsidR="000F4269" w:rsidRPr="0040662A" w:rsidRDefault="000F4269" w:rsidP="00B40962">
            <w:pPr>
              <w:jc w:val="both"/>
              <w:rPr>
                <w:rFonts w:ascii="Arial" w:hAnsi="Arial" w:cs="Arial"/>
                <w:szCs w:val="20"/>
              </w:rPr>
            </w:pPr>
            <w:r w:rsidRPr="0040662A">
              <w:rPr>
                <w:rFonts w:ascii="Arial" w:hAnsi="Arial" w:cs="Arial"/>
                <w:szCs w:val="20"/>
              </w:rPr>
              <w:t xml:space="preserve">Úložiště musí umožnit tzv. HW </w:t>
            </w:r>
            <w:proofErr w:type="spellStart"/>
            <w:r w:rsidRPr="0040662A">
              <w:rPr>
                <w:rFonts w:ascii="Arial" w:hAnsi="Arial" w:cs="Arial"/>
                <w:szCs w:val="20"/>
              </w:rPr>
              <w:t>hardening</w:t>
            </w:r>
            <w:proofErr w:type="spellEnd"/>
            <w:r w:rsidRPr="0040662A">
              <w:rPr>
                <w:rFonts w:ascii="Arial" w:hAnsi="Arial" w:cs="Arial"/>
                <w:szCs w:val="20"/>
              </w:rPr>
              <w:t xml:space="preserve"> – tedy takové nastavení, aby nebylo možno jedním uživatelem s dostatečnými právy manipulovat</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38</w:t>
            </w:r>
          </w:p>
        </w:tc>
        <w:tc>
          <w:tcPr>
            <w:tcW w:w="4012" w:type="dxa"/>
          </w:tcPr>
          <w:p w:rsidR="000F4269" w:rsidRPr="0040662A" w:rsidRDefault="000F4269" w:rsidP="00B40962">
            <w:pPr>
              <w:jc w:val="both"/>
              <w:rPr>
                <w:rFonts w:ascii="Arial" w:hAnsi="Arial" w:cs="Arial"/>
                <w:szCs w:val="20"/>
              </w:rPr>
            </w:pPr>
            <w:r w:rsidRPr="0040662A">
              <w:rPr>
                <w:rFonts w:ascii="Arial" w:hAnsi="Arial" w:cs="Arial"/>
                <w:szCs w:val="20"/>
              </w:rPr>
              <w:t>Řešení musí podporovat automatickou kontrolu zdraví ukládaných dat (zda neobsahují např. škodlivý ransomware, zda nejsou šifrována útočníkem, apod.) a musí být schopno automatizovat kontrolu obnovitelnosti těchto dat ve fyzicky odděleném prostředí od produkčního prostředí zadavatele</w:t>
            </w:r>
            <w:r>
              <w:rPr>
                <w:rFonts w:ascii="Arial" w:hAnsi="Arial" w:cs="Arial"/>
                <w:szCs w:val="20"/>
              </w:rPr>
              <w:t xml:space="preserve"> (kupujícího)</w:t>
            </w:r>
            <w:r w:rsidRPr="0040662A">
              <w:rPr>
                <w:rFonts w:ascii="Arial" w:hAnsi="Arial" w:cs="Arial"/>
                <w:szCs w:val="20"/>
              </w:rPr>
              <w:t>.</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39</w:t>
            </w:r>
          </w:p>
        </w:tc>
        <w:tc>
          <w:tcPr>
            <w:tcW w:w="4012" w:type="dxa"/>
          </w:tcPr>
          <w:p w:rsidR="000F4269" w:rsidRPr="0040662A" w:rsidRDefault="000F4269" w:rsidP="00B40962">
            <w:pPr>
              <w:jc w:val="both"/>
              <w:rPr>
                <w:rFonts w:ascii="Arial" w:hAnsi="Arial" w:cs="Arial"/>
                <w:szCs w:val="20"/>
              </w:rPr>
            </w:pPr>
            <w:r w:rsidRPr="0040662A">
              <w:rPr>
                <w:rFonts w:ascii="Arial" w:hAnsi="Arial" w:cs="Arial"/>
                <w:szCs w:val="20"/>
              </w:rPr>
              <w:t>Řešení musí být schopno zajistit sadu dat k obnově tak, aby v případě úspěšného hackerského útoku na prostředí zadavatele</w:t>
            </w:r>
            <w:r>
              <w:rPr>
                <w:rFonts w:ascii="Arial" w:hAnsi="Arial" w:cs="Arial"/>
                <w:szCs w:val="20"/>
              </w:rPr>
              <w:t xml:space="preserve"> (kupujícího)</w:t>
            </w:r>
            <w:r w:rsidRPr="0040662A">
              <w:rPr>
                <w:rFonts w:ascii="Arial" w:hAnsi="Arial" w:cs="Arial"/>
                <w:szCs w:val="20"/>
              </w:rPr>
              <w:t>, nebyla data uložená v tomto zařízení kompromitována a mohla být použita – řešení musí disponovat centrální konzolí (rozhraním) pro tuto obnovu, které je nezávislé na SW pro zálohování.</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40</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být možno instalovat na separátním segmentu sítě, který je určen pouze pro replikaci dat pro ochranu proti ransomware. Tento segment musí být možno automaticky zpřístupnit pouze pro potřeby replikace dat a řízení tohoto přístupu bude probíhat nezávisle na zbytku běžné infrastruktury pro zálohování a obnovu z bezpečného místa prostřednictvím speciální management konzole.</w:t>
            </w:r>
            <w:r w:rsidRPr="0040662A">
              <w:rPr>
                <w:rFonts w:ascii="Arial" w:hAnsi="Arial" w:cs="Arial"/>
                <w:szCs w:val="20"/>
              </w:rPr>
              <w:tab/>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41</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ložiště musí být certifikováno podle SEC 17a-4f nebo ekvivalentní evropské nebo české normy</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42</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 xml:space="preserve">ložiště musí obnovovat data vždy z </w:t>
            </w:r>
            <w:proofErr w:type="spellStart"/>
            <w:r w:rsidRPr="0040662A">
              <w:rPr>
                <w:rFonts w:ascii="Arial" w:hAnsi="Arial" w:cs="Arial"/>
                <w:szCs w:val="20"/>
              </w:rPr>
              <w:t>deduplikovaného</w:t>
            </w:r>
            <w:proofErr w:type="spellEnd"/>
            <w:r w:rsidRPr="0040662A">
              <w:rPr>
                <w:rFonts w:ascii="Arial" w:hAnsi="Arial" w:cs="Arial"/>
                <w:szCs w:val="20"/>
              </w:rPr>
              <w:t xml:space="preserve"> a komprimovaného stavu, není přípustný mezikrok (např. externí disková </w:t>
            </w:r>
            <w:proofErr w:type="spellStart"/>
            <w:r w:rsidRPr="0040662A">
              <w:rPr>
                <w:rFonts w:ascii="Arial" w:hAnsi="Arial" w:cs="Arial"/>
                <w:szCs w:val="20"/>
              </w:rPr>
              <w:t>cache</w:t>
            </w:r>
            <w:proofErr w:type="spellEnd"/>
            <w:r w:rsidRPr="0040662A">
              <w:rPr>
                <w:rFonts w:ascii="Arial" w:hAnsi="Arial" w:cs="Arial"/>
                <w:szCs w:val="20"/>
              </w:rPr>
              <w:t>).</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43</w:t>
            </w:r>
          </w:p>
        </w:tc>
        <w:tc>
          <w:tcPr>
            <w:tcW w:w="4012" w:type="dxa"/>
          </w:tcPr>
          <w:p w:rsidR="000F4269" w:rsidRPr="0040662A" w:rsidRDefault="000F4269" w:rsidP="00B40962">
            <w:pPr>
              <w:jc w:val="both"/>
              <w:rPr>
                <w:rFonts w:ascii="Arial" w:hAnsi="Arial" w:cs="Arial"/>
                <w:szCs w:val="20"/>
              </w:rPr>
            </w:pPr>
            <w:r>
              <w:rPr>
                <w:rFonts w:ascii="Arial" w:hAnsi="Arial" w:cs="Arial"/>
                <w:szCs w:val="20"/>
              </w:rPr>
              <w:t>Ú</w:t>
            </w:r>
            <w:r w:rsidRPr="0040662A">
              <w:rPr>
                <w:rFonts w:ascii="Arial" w:hAnsi="Arial" w:cs="Arial"/>
                <w:szCs w:val="20"/>
              </w:rPr>
              <w:t xml:space="preserve">ložiště musí umožnit </w:t>
            </w:r>
            <w:proofErr w:type="spellStart"/>
            <w:r w:rsidRPr="0040662A">
              <w:rPr>
                <w:rFonts w:ascii="Arial" w:hAnsi="Arial" w:cs="Arial"/>
                <w:szCs w:val="20"/>
              </w:rPr>
              <w:t>shreding</w:t>
            </w:r>
            <w:proofErr w:type="spellEnd"/>
            <w:r w:rsidRPr="0040662A">
              <w:rPr>
                <w:rFonts w:ascii="Arial" w:hAnsi="Arial" w:cs="Arial"/>
                <w:szCs w:val="20"/>
              </w:rPr>
              <w:t xml:space="preserve"> smazaných dat – vícenásobný přepis smazaných bloků.</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44</w:t>
            </w:r>
          </w:p>
        </w:tc>
        <w:tc>
          <w:tcPr>
            <w:tcW w:w="4012" w:type="dxa"/>
          </w:tcPr>
          <w:p w:rsidR="000F4269" w:rsidRPr="001E27DD" w:rsidRDefault="000F4269" w:rsidP="00B40962">
            <w:pPr>
              <w:jc w:val="both"/>
              <w:rPr>
                <w:rFonts w:ascii="Arial" w:hAnsi="Arial" w:cs="Arial"/>
                <w:szCs w:val="20"/>
              </w:rPr>
            </w:pPr>
            <w:r w:rsidRPr="001E27DD">
              <w:rPr>
                <w:rFonts w:ascii="Arial" w:hAnsi="Arial" w:cs="Arial"/>
                <w:szCs w:val="20"/>
              </w:rPr>
              <w:t xml:space="preserve">Úložiště musí poskytovat funkcionalitu automatického reportingu, automatický </w:t>
            </w:r>
            <w:proofErr w:type="spellStart"/>
            <w:r w:rsidRPr="001E27DD">
              <w:rPr>
                <w:rFonts w:ascii="Arial" w:hAnsi="Arial" w:cs="Arial"/>
                <w:szCs w:val="20"/>
              </w:rPr>
              <w:t>call</w:t>
            </w:r>
            <w:proofErr w:type="spellEnd"/>
            <w:r w:rsidRPr="001E27DD">
              <w:rPr>
                <w:rFonts w:ascii="Arial" w:hAnsi="Arial" w:cs="Arial"/>
                <w:szCs w:val="20"/>
              </w:rPr>
              <w:t>-</w:t>
            </w:r>
            <w:proofErr w:type="spellStart"/>
            <w:r w:rsidRPr="001E27DD">
              <w:rPr>
                <w:rFonts w:ascii="Arial" w:hAnsi="Arial" w:cs="Arial"/>
                <w:szCs w:val="20"/>
              </w:rPr>
              <w:t>home</w:t>
            </w:r>
            <w:proofErr w:type="spellEnd"/>
            <w:r w:rsidRPr="001E27DD">
              <w:rPr>
                <w:rFonts w:ascii="Arial" w:hAnsi="Arial" w:cs="Arial"/>
                <w:szCs w:val="20"/>
              </w:rPr>
              <w:t>.</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sidRPr="0040662A">
              <w:rPr>
                <w:rFonts w:ascii="Arial" w:hAnsi="Arial" w:cs="Arial"/>
                <w:szCs w:val="20"/>
              </w:rPr>
              <w:t>45</w:t>
            </w:r>
          </w:p>
        </w:tc>
        <w:tc>
          <w:tcPr>
            <w:tcW w:w="4012" w:type="dxa"/>
          </w:tcPr>
          <w:p w:rsidR="000F4269" w:rsidRPr="001E27DD" w:rsidRDefault="000F4269" w:rsidP="00B40962">
            <w:pPr>
              <w:jc w:val="both"/>
              <w:rPr>
                <w:rFonts w:ascii="Arial" w:hAnsi="Arial" w:cs="Arial"/>
                <w:szCs w:val="20"/>
              </w:rPr>
            </w:pPr>
            <w:r w:rsidRPr="001E27DD">
              <w:rPr>
                <w:rFonts w:ascii="Arial" w:hAnsi="Arial" w:cs="Arial"/>
                <w:szCs w:val="20"/>
              </w:rPr>
              <w:t>Úložiště musí umožnit správu na principu rolí s různými typy oprávnění.</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1E27DD" w:rsidRDefault="000F4269" w:rsidP="00B40962">
            <w:pPr>
              <w:jc w:val="both"/>
              <w:rPr>
                <w:rFonts w:ascii="Arial" w:hAnsi="Arial" w:cs="Arial"/>
                <w:szCs w:val="20"/>
              </w:rPr>
            </w:pPr>
            <w:r w:rsidRPr="001E27DD">
              <w:rPr>
                <w:rFonts w:ascii="Arial" w:hAnsi="Arial" w:cs="Arial"/>
                <w:szCs w:val="20"/>
              </w:rPr>
              <w:t>46</w:t>
            </w:r>
          </w:p>
        </w:tc>
        <w:tc>
          <w:tcPr>
            <w:tcW w:w="4012" w:type="dxa"/>
          </w:tcPr>
          <w:p w:rsidR="000F4269" w:rsidRPr="0062218F" w:rsidRDefault="000F4269" w:rsidP="00B40962">
            <w:pPr>
              <w:spacing w:after="120"/>
              <w:jc w:val="both"/>
              <w:rPr>
                <w:rFonts w:ascii="Arial" w:hAnsi="Arial" w:cs="Arial"/>
                <w:b/>
                <w:bCs/>
                <w:szCs w:val="20"/>
                <w:u w:val="single"/>
              </w:rPr>
            </w:pPr>
            <w:r w:rsidRPr="0062218F">
              <w:rPr>
                <w:rFonts w:ascii="Arial" w:hAnsi="Arial" w:cs="Arial"/>
                <w:b/>
                <w:bCs/>
                <w:szCs w:val="20"/>
                <w:u w:val="single"/>
              </w:rPr>
              <w:t>Záruka a záruční podpora:</w:t>
            </w:r>
          </w:p>
          <w:p w:rsidR="000F4269" w:rsidRPr="001E27DD" w:rsidRDefault="000F4269" w:rsidP="007404F9">
            <w:pPr>
              <w:pStyle w:val="Odstavecseseznamem"/>
              <w:numPr>
                <w:ilvl w:val="0"/>
                <w:numId w:val="3"/>
              </w:numPr>
              <w:spacing w:after="120"/>
              <w:rPr>
                <w:rFonts w:ascii="Arial" w:hAnsi="Arial" w:cs="Arial"/>
                <w:szCs w:val="20"/>
              </w:rPr>
            </w:pPr>
            <w:r w:rsidRPr="001E27DD">
              <w:rPr>
                <w:rFonts w:ascii="Arial" w:hAnsi="Arial" w:cs="Arial"/>
                <w:szCs w:val="20"/>
              </w:rPr>
              <w:t xml:space="preserve">60 měsíců od převzetí </w:t>
            </w:r>
            <w:r>
              <w:rPr>
                <w:rFonts w:ascii="Arial" w:hAnsi="Arial" w:cs="Arial"/>
                <w:szCs w:val="20"/>
              </w:rPr>
              <w:t>úložiště</w:t>
            </w:r>
            <w:r w:rsidRPr="001E27DD">
              <w:rPr>
                <w:rFonts w:ascii="Arial" w:hAnsi="Arial" w:cs="Arial"/>
                <w:szCs w:val="20"/>
              </w:rPr>
              <w:t xml:space="preserve"> kupujícím </w:t>
            </w:r>
          </w:p>
          <w:p w:rsidR="000F4269" w:rsidRPr="001E27DD" w:rsidRDefault="000F4269" w:rsidP="007404F9">
            <w:pPr>
              <w:pStyle w:val="Odstavecseseznamem"/>
              <w:numPr>
                <w:ilvl w:val="0"/>
                <w:numId w:val="3"/>
              </w:numPr>
              <w:spacing w:after="120"/>
              <w:rPr>
                <w:rFonts w:ascii="Arial" w:hAnsi="Arial" w:cs="Arial"/>
                <w:szCs w:val="20"/>
              </w:rPr>
            </w:pPr>
            <w:r w:rsidRPr="001E27DD">
              <w:rPr>
                <w:rFonts w:ascii="Arial" w:hAnsi="Arial" w:cs="Arial"/>
                <w:szCs w:val="20"/>
              </w:rPr>
              <w:lastRenderedPageBreak/>
              <w:t>Součástí kompletní podpor</w:t>
            </w:r>
            <w:r>
              <w:rPr>
                <w:rFonts w:ascii="Arial" w:hAnsi="Arial" w:cs="Arial"/>
                <w:szCs w:val="20"/>
              </w:rPr>
              <w:t>y</w:t>
            </w:r>
            <w:r w:rsidRPr="001E27DD">
              <w:rPr>
                <w:rFonts w:ascii="Arial" w:hAnsi="Arial" w:cs="Arial"/>
                <w:szCs w:val="20"/>
              </w:rPr>
              <w:t xml:space="preserve"> výrobce jak na veškerý HW, tak i na SW (zejm. aktualizace SW a další součásti kompletní podpory výrobce)</w:t>
            </w:r>
          </w:p>
          <w:p w:rsidR="000F4269" w:rsidRPr="001E27DD" w:rsidRDefault="000F4269" w:rsidP="007404F9">
            <w:pPr>
              <w:pStyle w:val="Odstavecseseznamem"/>
              <w:numPr>
                <w:ilvl w:val="0"/>
                <w:numId w:val="3"/>
              </w:numPr>
              <w:spacing w:after="120"/>
              <w:rPr>
                <w:rFonts w:ascii="Arial" w:hAnsi="Arial" w:cs="Arial"/>
                <w:szCs w:val="20"/>
              </w:rPr>
            </w:pPr>
            <w:r w:rsidRPr="001E27DD">
              <w:rPr>
                <w:rFonts w:ascii="Arial" w:hAnsi="Arial" w:cs="Arial"/>
                <w:szCs w:val="20"/>
              </w:rPr>
              <w:t xml:space="preserve">Povinnost prodávajícího k odstraňování vad: Prodávající je povinen potvrdit nahlášenou vadu nejpozději do 4 hodin od nahlášení. Nahlášenou vadu je prodávající povinen odstranit nejpozději do konce následujícího </w:t>
            </w:r>
            <w:r>
              <w:rPr>
                <w:rFonts w:ascii="Arial" w:hAnsi="Arial" w:cs="Arial"/>
                <w:szCs w:val="20"/>
              </w:rPr>
              <w:t xml:space="preserve">(kalendářního) </w:t>
            </w:r>
            <w:r w:rsidRPr="001E27DD">
              <w:rPr>
                <w:rFonts w:ascii="Arial" w:hAnsi="Arial" w:cs="Arial"/>
                <w:szCs w:val="20"/>
              </w:rPr>
              <w:t>dne od nahlášení vady kupujícím. Nebude-li možné vadu odstranit ve stanovené lhůtě, je prodávající povinen ve stejné lhůtě poskytnout kupujícímu náhradní plnění stejné kvality až do doby odstranění vady. To vše dle čl. VI. smlouvy.</w:t>
            </w:r>
          </w:p>
          <w:p w:rsidR="000F4269" w:rsidRPr="001E27DD" w:rsidRDefault="000F4269" w:rsidP="007404F9">
            <w:pPr>
              <w:pStyle w:val="Odstavecseseznamem"/>
              <w:numPr>
                <w:ilvl w:val="0"/>
                <w:numId w:val="3"/>
              </w:numPr>
              <w:spacing w:after="120"/>
              <w:rPr>
                <w:rFonts w:ascii="Arial" w:hAnsi="Arial" w:cs="Arial"/>
                <w:szCs w:val="20"/>
              </w:rPr>
            </w:pPr>
            <w:r w:rsidRPr="001E27DD">
              <w:rPr>
                <w:rFonts w:ascii="Arial" w:hAnsi="Arial" w:cs="Arial"/>
                <w:szCs w:val="20"/>
              </w:rPr>
              <w:t>Dostupnost pracovníků supportu v rámci ČR.</w:t>
            </w:r>
          </w:p>
        </w:tc>
        <w:tc>
          <w:tcPr>
            <w:tcW w:w="5254" w:type="dxa"/>
            <w:vAlign w:val="center"/>
          </w:tcPr>
          <w:p w:rsidR="000F4269" w:rsidRDefault="000F4269" w:rsidP="000F4269">
            <w:pPr>
              <w:jc w:val="center"/>
            </w:pPr>
            <w:r w:rsidRPr="00AC0346">
              <w:rPr>
                <w:rFonts w:ascii="Arial" w:hAnsi="Arial" w:cs="Arial"/>
                <w:szCs w:val="20"/>
                <w:highlight w:val="green"/>
                <w:lang w:val="en-US"/>
              </w:rPr>
              <w:lastRenderedPageBreak/>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Pr>
                <w:rFonts w:ascii="Arial" w:hAnsi="Arial" w:cs="Arial"/>
                <w:szCs w:val="20"/>
              </w:rPr>
              <w:lastRenderedPageBreak/>
              <w:t>47</w:t>
            </w:r>
          </w:p>
        </w:tc>
        <w:tc>
          <w:tcPr>
            <w:tcW w:w="4012" w:type="dxa"/>
          </w:tcPr>
          <w:p w:rsidR="000F4269" w:rsidRPr="0062218F" w:rsidRDefault="000F4269" w:rsidP="00B40962">
            <w:pPr>
              <w:jc w:val="both"/>
              <w:rPr>
                <w:rFonts w:ascii="Arial" w:hAnsi="Arial" w:cs="Arial"/>
                <w:b/>
                <w:bCs/>
                <w:szCs w:val="20"/>
                <w:u w:val="single"/>
              </w:rPr>
            </w:pPr>
            <w:r w:rsidRPr="0062218F">
              <w:rPr>
                <w:rFonts w:ascii="Arial" w:hAnsi="Arial" w:cs="Arial"/>
                <w:b/>
                <w:bCs/>
                <w:szCs w:val="20"/>
                <w:u w:val="single"/>
              </w:rPr>
              <w:t>Fáze I – požadované (instalační) práce:</w:t>
            </w:r>
          </w:p>
          <w:p w:rsidR="000F4269" w:rsidRPr="001E27DD" w:rsidRDefault="000F4269" w:rsidP="00B40962">
            <w:pPr>
              <w:jc w:val="both"/>
              <w:rPr>
                <w:rFonts w:ascii="Arial" w:hAnsi="Arial" w:cs="Arial"/>
                <w:szCs w:val="20"/>
              </w:rPr>
            </w:pPr>
          </w:p>
          <w:p w:rsidR="000F4269" w:rsidRPr="001E27DD" w:rsidRDefault="000F4269" w:rsidP="00B40962">
            <w:pPr>
              <w:jc w:val="both"/>
              <w:rPr>
                <w:rFonts w:ascii="Arial" w:hAnsi="Arial" w:cs="Arial"/>
                <w:szCs w:val="20"/>
              </w:rPr>
            </w:pPr>
            <w:r w:rsidRPr="001E27DD">
              <w:rPr>
                <w:rFonts w:ascii="Arial" w:hAnsi="Arial" w:cs="Arial"/>
                <w:szCs w:val="20"/>
              </w:rPr>
              <w:t>Dodání a následná instalace + inicializace:</w:t>
            </w:r>
          </w:p>
          <w:p w:rsidR="000F4269" w:rsidRPr="001E27DD" w:rsidRDefault="000F4269" w:rsidP="007404F9">
            <w:pPr>
              <w:pStyle w:val="Odstavecseseznamem"/>
              <w:numPr>
                <w:ilvl w:val="0"/>
                <w:numId w:val="2"/>
              </w:numPr>
              <w:rPr>
                <w:rFonts w:ascii="Arial" w:hAnsi="Arial" w:cs="Arial"/>
                <w:szCs w:val="20"/>
              </w:rPr>
            </w:pPr>
            <w:r w:rsidRPr="001E27DD">
              <w:rPr>
                <w:rFonts w:ascii="Arial" w:hAnsi="Arial" w:cs="Arial"/>
                <w:szCs w:val="20"/>
              </w:rPr>
              <w:t>fyzická montáž, kabeláž</w:t>
            </w:r>
          </w:p>
          <w:p w:rsidR="000F4269" w:rsidRPr="001E27DD" w:rsidRDefault="000F4269" w:rsidP="007404F9">
            <w:pPr>
              <w:pStyle w:val="Odstavecseseznamem"/>
              <w:numPr>
                <w:ilvl w:val="0"/>
                <w:numId w:val="2"/>
              </w:numPr>
              <w:rPr>
                <w:rFonts w:ascii="Arial" w:hAnsi="Arial" w:cs="Arial"/>
                <w:szCs w:val="20"/>
              </w:rPr>
            </w:pPr>
            <w:r w:rsidRPr="001E27DD">
              <w:rPr>
                <w:rFonts w:ascii="Arial" w:hAnsi="Arial" w:cs="Arial"/>
                <w:szCs w:val="20"/>
              </w:rPr>
              <w:t>nastavení switch, včetně připojení do sítě kupujícího</w:t>
            </w:r>
          </w:p>
          <w:p w:rsidR="000F4269" w:rsidRPr="001E27DD" w:rsidRDefault="000F4269" w:rsidP="007404F9">
            <w:pPr>
              <w:pStyle w:val="Odstavecseseznamem"/>
              <w:numPr>
                <w:ilvl w:val="0"/>
                <w:numId w:val="2"/>
              </w:numPr>
              <w:rPr>
                <w:rFonts w:ascii="Arial" w:hAnsi="Arial" w:cs="Arial"/>
                <w:szCs w:val="20"/>
              </w:rPr>
            </w:pPr>
            <w:r w:rsidRPr="001E27DD">
              <w:rPr>
                <w:rFonts w:ascii="Arial" w:hAnsi="Arial" w:cs="Arial"/>
                <w:szCs w:val="20"/>
              </w:rPr>
              <w:t>instalace softwarového vybavení úložiště</w:t>
            </w:r>
          </w:p>
          <w:p w:rsidR="000F4269" w:rsidRPr="001E27DD" w:rsidRDefault="000F4269" w:rsidP="007404F9">
            <w:pPr>
              <w:pStyle w:val="Odstavecseseznamem"/>
              <w:numPr>
                <w:ilvl w:val="0"/>
                <w:numId w:val="2"/>
              </w:numPr>
              <w:rPr>
                <w:rFonts w:ascii="Arial" w:hAnsi="Arial" w:cs="Arial"/>
                <w:szCs w:val="20"/>
              </w:rPr>
            </w:pPr>
            <w:r w:rsidRPr="001E27DD">
              <w:rPr>
                <w:rFonts w:ascii="Arial" w:hAnsi="Arial" w:cs="Arial"/>
                <w:szCs w:val="20"/>
              </w:rPr>
              <w:t xml:space="preserve">instalace úložiště do racku, zprovoznění úložiště v prostředí zálohovacího systému </w:t>
            </w:r>
            <w:proofErr w:type="spellStart"/>
            <w:r w:rsidRPr="001E27DD">
              <w:rPr>
                <w:rFonts w:ascii="Arial" w:hAnsi="Arial" w:cs="Arial"/>
                <w:szCs w:val="20"/>
              </w:rPr>
              <w:t>NetWorker</w:t>
            </w:r>
            <w:proofErr w:type="spellEnd"/>
            <w:r>
              <w:rPr>
                <w:rFonts w:ascii="Arial" w:hAnsi="Arial" w:cs="Arial"/>
                <w:szCs w:val="20"/>
              </w:rPr>
              <w:t>.</w:t>
            </w:r>
            <w:r w:rsidRPr="001E27DD">
              <w:rPr>
                <w:rFonts w:ascii="Arial" w:hAnsi="Arial" w:cs="Arial"/>
                <w:szCs w:val="20"/>
              </w:rPr>
              <w:t xml:space="preserve"> </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r w:rsidR="000F4269" w:rsidRPr="00D3369C" w:rsidTr="000F4269">
        <w:tc>
          <w:tcPr>
            <w:tcW w:w="516" w:type="dxa"/>
            <w:vAlign w:val="center"/>
          </w:tcPr>
          <w:p w:rsidR="000F4269" w:rsidRPr="0040662A" w:rsidRDefault="000F4269" w:rsidP="00B40962">
            <w:pPr>
              <w:jc w:val="both"/>
              <w:rPr>
                <w:rFonts w:ascii="Arial" w:hAnsi="Arial" w:cs="Arial"/>
                <w:szCs w:val="20"/>
              </w:rPr>
            </w:pPr>
            <w:r>
              <w:rPr>
                <w:rFonts w:ascii="Arial" w:hAnsi="Arial" w:cs="Arial"/>
                <w:szCs w:val="20"/>
              </w:rPr>
              <w:t>48</w:t>
            </w:r>
          </w:p>
        </w:tc>
        <w:tc>
          <w:tcPr>
            <w:tcW w:w="4012" w:type="dxa"/>
          </w:tcPr>
          <w:p w:rsidR="000F4269" w:rsidRPr="0062218F" w:rsidRDefault="000F4269" w:rsidP="00B40962">
            <w:pPr>
              <w:jc w:val="both"/>
              <w:rPr>
                <w:rFonts w:ascii="Arial" w:hAnsi="Arial" w:cs="Arial"/>
                <w:b/>
                <w:bCs/>
                <w:szCs w:val="20"/>
                <w:u w:val="single"/>
              </w:rPr>
            </w:pPr>
            <w:r w:rsidRPr="0062218F">
              <w:rPr>
                <w:rFonts w:ascii="Arial" w:hAnsi="Arial" w:cs="Arial"/>
                <w:b/>
                <w:bCs/>
                <w:szCs w:val="20"/>
                <w:u w:val="single"/>
              </w:rPr>
              <w:t>Fáze II –- implementace a migrace dat:</w:t>
            </w:r>
          </w:p>
          <w:p w:rsidR="000F4269" w:rsidRPr="001E27DD" w:rsidRDefault="000F4269" w:rsidP="00B40962">
            <w:pPr>
              <w:jc w:val="both"/>
              <w:rPr>
                <w:rFonts w:ascii="Arial" w:hAnsi="Arial" w:cs="Arial"/>
                <w:szCs w:val="20"/>
              </w:rPr>
            </w:pPr>
          </w:p>
          <w:p w:rsidR="000F4269" w:rsidRPr="001E27DD" w:rsidRDefault="000F4269" w:rsidP="007404F9">
            <w:pPr>
              <w:pStyle w:val="xmsonormal"/>
              <w:numPr>
                <w:ilvl w:val="0"/>
                <w:numId w:val="1"/>
              </w:numPr>
              <w:ind w:left="57" w:hanging="142"/>
              <w:jc w:val="both"/>
              <w:rPr>
                <w:rFonts w:ascii="Arial" w:hAnsi="Arial" w:cs="Arial"/>
                <w:szCs w:val="20"/>
              </w:rPr>
            </w:pPr>
            <w:r w:rsidRPr="001E27DD">
              <w:rPr>
                <w:rFonts w:ascii="Arial" w:hAnsi="Arial" w:cs="Arial"/>
                <w:szCs w:val="20"/>
              </w:rPr>
              <w:t>začlenění úložiště do systému zálohování kupujícího</w:t>
            </w:r>
          </w:p>
          <w:p w:rsidR="000F4269" w:rsidRPr="001E27DD" w:rsidRDefault="000F4269" w:rsidP="0051087D">
            <w:pPr>
              <w:pStyle w:val="xmsonormal"/>
              <w:numPr>
                <w:ilvl w:val="0"/>
                <w:numId w:val="1"/>
              </w:numPr>
              <w:ind w:left="57" w:hanging="142"/>
              <w:jc w:val="both"/>
              <w:rPr>
                <w:rFonts w:ascii="Arial" w:hAnsi="Arial" w:cs="Arial"/>
                <w:szCs w:val="20"/>
              </w:rPr>
            </w:pPr>
            <w:r w:rsidRPr="001E27DD">
              <w:rPr>
                <w:rFonts w:ascii="Arial" w:hAnsi="Arial" w:cs="Arial"/>
                <w:szCs w:val="20"/>
              </w:rPr>
              <w:t>příprava prostředí kupujícího</w:t>
            </w:r>
          </w:p>
          <w:p w:rsidR="000F4269" w:rsidRPr="001E27DD" w:rsidRDefault="000F4269" w:rsidP="007404F9">
            <w:pPr>
              <w:pStyle w:val="xmsonormal"/>
              <w:numPr>
                <w:ilvl w:val="0"/>
                <w:numId w:val="1"/>
              </w:numPr>
              <w:ind w:left="57" w:hanging="142"/>
              <w:jc w:val="both"/>
              <w:rPr>
                <w:rFonts w:ascii="Arial" w:hAnsi="Arial" w:cs="Arial"/>
                <w:szCs w:val="20"/>
              </w:rPr>
            </w:pPr>
            <w:r w:rsidRPr="001E27DD">
              <w:rPr>
                <w:rFonts w:ascii="Arial" w:hAnsi="Arial" w:cs="Arial"/>
                <w:szCs w:val="20"/>
              </w:rPr>
              <w:t>nastavení / logické rozdělení prostor</w:t>
            </w:r>
          </w:p>
          <w:p w:rsidR="000F4269" w:rsidRPr="001E27DD" w:rsidRDefault="000F4269" w:rsidP="007404F9">
            <w:pPr>
              <w:pStyle w:val="xmsonormal"/>
              <w:numPr>
                <w:ilvl w:val="0"/>
                <w:numId w:val="1"/>
              </w:numPr>
              <w:ind w:left="57" w:hanging="142"/>
              <w:jc w:val="both"/>
              <w:rPr>
                <w:rFonts w:ascii="Arial" w:hAnsi="Arial" w:cs="Arial"/>
                <w:szCs w:val="20"/>
              </w:rPr>
            </w:pPr>
            <w:r w:rsidRPr="001E27DD">
              <w:rPr>
                <w:rFonts w:ascii="Arial" w:hAnsi="Arial" w:cs="Arial"/>
                <w:szCs w:val="20"/>
              </w:rPr>
              <w:t>zprovoznění služeb úložiště</w:t>
            </w:r>
          </w:p>
          <w:p w:rsidR="000F4269" w:rsidRDefault="000F4269" w:rsidP="007404F9">
            <w:pPr>
              <w:pStyle w:val="xmsonormal"/>
              <w:numPr>
                <w:ilvl w:val="0"/>
                <w:numId w:val="1"/>
              </w:numPr>
              <w:ind w:left="57" w:hanging="142"/>
              <w:jc w:val="both"/>
              <w:rPr>
                <w:rFonts w:ascii="Arial" w:hAnsi="Arial" w:cs="Arial"/>
                <w:szCs w:val="20"/>
              </w:rPr>
            </w:pPr>
            <w:r>
              <w:rPr>
                <w:rFonts w:ascii="Arial" w:hAnsi="Arial" w:cs="Arial"/>
                <w:szCs w:val="20"/>
              </w:rPr>
              <w:t xml:space="preserve">návrh </w:t>
            </w:r>
            <w:r w:rsidRPr="001E27DD">
              <w:rPr>
                <w:rFonts w:ascii="Arial" w:hAnsi="Arial" w:cs="Arial"/>
                <w:szCs w:val="20"/>
              </w:rPr>
              <w:t>změn</w:t>
            </w:r>
            <w:r>
              <w:rPr>
                <w:rFonts w:ascii="Arial" w:hAnsi="Arial" w:cs="Arial"/>
                <w:szCs w:val="20"/>
              </w:rPr>
              <w:t>y</w:t>
            </w:r>
            <w:r w:rsidRPr="001E27DD">
              <w:rPr>
                <w:rFonts w:ascii="Arial" w:hAnsi="Arial" w:cs="Arial"/>
                <w:szCs w:val="20"/>
              </w:rPr>
              <w:t xml:space="preserve"> stávající topologie </w:t>
            </w:r>
            <w:proofErr w:type="spellStart"/>
            <w:r w:rsidRPr="001E27DD">
              <w:rPr>
                <w:rFonts w:ascii="Arial" w:hAnsi="Arial" w:cs="Arial"/>
                <w:szCs w:val="20"/>
              </w:rPr>
              <w:t>backupu</w:t>
            </w:r>
            <w:proofErr w:type="spellEnd"/>
            <w:r w:rsidRPr="001E27DD">
              <w:rPr>
                <w:rFonts w:ascii="Arial" w:hAnsi="Arial" w:cs="Arial"/>
                <w:szCs w:val="20"/>
              </w:rPr>
              <w:t xml:space="preserve"> systému</w:t>
            </w:r>
            <w:r>
              <w:rPr>
                <w:rFonts w:ascii="Arial" w:hAnsi="Arial" w:cs="Arial"/>
                <w:szCs w:val="20"/>
              </w:rPr>
              <w:t xml:space="preserve"> (</w:t>
            </w:r>
            <w:r w:rsidRPr="001E27DD">
              <w:rPr>
                <w:rFonts w:ascii="Arial" w:hAnsi="Arial" w:cs="Arial"/>
                <w:szCs w:val="20"/>
              </w:rPr>
              <w:t>vytvoření nových a optimalizace stávajících zálohovacích úloh</w:t>
            </w:r>
            <w:r>
              <w:rPr>
                <w:rFonts w:ascii="Arial" w:hAnsi="Arial" w:cs="Arial"/>
                <w:szCs w:val="20"/>
              </w:rPr>
              <w:t>)</w:t>
            </w:r>
          </w:p>
          <w:p w:rsidR="000F4269" w:rsidRDefault="000F4269" w:rsidP="0051087D">
            <w:pPr>
              <w:pStyle w:val="xmsonormal"/>
              <w:numPr>
                <w:ilvl w:val="0"/>
                <w:numId w:val="1"/>
              </w:numPr>
              <w:ind w:left="57" w:hanging="142"/>
              <w:rPr>
                <w:rFonts w:ascii="Arial" w:hAnsi="Arial" w:cs="Arial"/>
                <w:szCs w:val="20"/>
              </w:rPr>
            </w:pPr>
            <w:r>
              <w:rPr>
                <w:rFonts w:ascii="Arial" w:hAnsi="Arial" w:cs="Arial"/>
                <w:szCs w:val="20"/>
              </w:rPr>
              <w:t xml:space="preserve"> rozložení zátěže </w:t>
            </w:r>
            <w:proofErr w:type="spellStart"/>
            <w:r>
              <w:rPr>
                <w:rFonts w:ascii="Arial" w:hAnsi="Arial" w:cs="Arial"/>
                <w:szCs w:val="20"/>
              </w:rPr>
              <w:t>backup</w:t>
            </w:r>
            <w:proofErr w:type="spellEnd"/>
            <w:r>
              <w:rPr>
                <w:rFonts w:ascii="Arial" w:hAnsi="Arial" w:cs="Arial"/>
                <w:szCs w:val="20"/>
              </w:rPr>
              <w:t xml:space="preserve"> </w:t>
            </w:r>
            <w:proofErr w:type="spellStart"/>
            <w:r>
              <w:rPr>
                <w:rFonts w:ascii="Arial" w:hAnsi="Arial" w:cs="Arial"/>
                <w:szCs w:val="20"/>
              </w:rPr>
              <w:t>jobů</w:t>
            </w:r>
            <w:proofErr w:type="spellEnd"/>
            <w:r>
              <w:rPr>
                <w:rFonts w:ascii="Arial" w:hAnsi="Arial" w:cs="Arial"/>
                <w:szCs w:val="20"/>
              </w:rPr>
              <w:t xml:space="preserve"> mezi stávající ú</w:t>
            </w:r>
            <w:r w:rsidRPr="001E27DD">
              <w:rPr>
                <w:rFonts w:ascii="Arial" w:hAnsi="Arial" w:cs="Arial"/>
                <w:szCs w:val="20"/>
              </w:rPr>
              <w:t xml:space="preserve">ložiště </w:t>
            </w:r>
            <w:r>
              <w:rPr>
                <w:rFonts w:ascii="Arial" w:hAnsi="Arial" w:cs="Arial"/>
                <w:szCs w:val="20"/>
              </w:rPr>
              <w:t>D</w:t>
            </w:r>
            <w:r w:rsidRPr="001E27DD">
              <w:rPr>
                <w:rFonts w:ascii="Arial" w:hAnsi="Arial" w:cs="Arial"/>
                <w:szCs w:val="20"/>
              </w:rPr>
              <w:t>ataDomain6</w:t>
            </w:r>
            <w:r>
              <w:rPr>
                <w:rFonts w:ascii="Arial" w:hAnsi="Arial" w:cs="Arial"/>
                <w:szCs w:val="20"/>
              </w:rPr>
              <w:t>4</w:t>
            </w:r>
            <w:r w:rsidRPr="001E27DD">
              <w:rPr>
                <w:rFonts w:ascii="Arial" w:hAnsi="Arial" w:cs="Arial"/>
                <w:szCs w:val="20"/>
              </w:rPr>
              <w:t>00</w:t>
            </w:r>
            <w:r>
              <w:rPr>
                <w:rFonts w:ascii="Arial" w:hAnsi="Arial" w:cs="Arial"/>
                <w:szCs w:val="20"/>
              </w:rPr>
              <w:t xml:space="preserve"> a nové úložiště</w:t>
            </w:r>
          </w:p>
          <w:p w:rsidR="000F4269" w:rsidRPr="001E27DD" w:rsidRDefault="000F4269" w:rsidP="0051087D">
            <w:pPr>
              <w:pStyle w:val="xmsonormal"/>
              <w:numPr>
                <w:ilvl w:val="0"/>
                <w:numId w:val="1"/>
              </w:numPr>
              <w:ind w:left="57" w:hanging="142"/>
              <w:jc w:val="both"/>
              <w:rPr>
                <w:rFonts w:ascii="Arial" w:hAnsi="Arial" w:cs="Arial"/>
                <w:szCs w:val="20"/>
              </w:rPr>
            </w:pPr>
            <w:r w:rsidRPr="001E27DD">
              <w:rPr>
                <w:rFonts w:ascii="Arial" w:hAnsi="Arial" w:cs="Arial"/>
                <w:szCs w:val="20"/>
              </w:rPr>
              <w:t>konfigurace zálohovacích služeb</w:t>
            </w:r>
            <w:r>
              <w:rPr>
                <w:rFonts w:ascii="Arial" w:hAnsi="Arial" w:cs="Arial"/>
                <w:szCs w:val="20"/>
              </w:rPr>
              <w:t xml:space="preserve"> a jejich začlenění do monitoringu</w:t>
            </w:r>
          </w:p>
          <w:p w:rsidR="000F4269" w:rsidRPr="0051087D" w:rsidRDefault="000F4269" w:rsidP="007404F9">
            <w:pPr>
              <w:pStyle w:val="xmsonormal"/>
              <w:numPr>
                <w:ilvl w:val="0"/>
                <w:numId w:val="1"/>
              </w:numPr>
              <w:ind w:left="57" w:hanging="142"/>
              <w:jc w:val="both"/>
              <w:rPr>
                <w:rFonts w:ascii="Arial" w:hAnsi="Arial" w:cs="Arial"/>
                <w:szCs w:val="20"/>
              </w:rPr>
            </w:pPr>
            <w:r w:rsidRPr="0051087D">
              <w:rPr>
                <w:rFonts w:ascii="Arial" w:hAnsi="Arial" w:cs="Arial"/>
                <w:szCs w:val="20"/>
              </w:rPr>
              <w:t xml:space="preserve">Propojení stávajícího úložiště </w:t>
            </w:r>
            <w:proofErr w:type="spellStart"/>
            <w:r w:rsidRPr="0051087D">
              <w:rPr>
                <w:rFonts w:ascii="Arial" w:hAnsi="Arial" w:cs="Arial"/>
                <w:szCs w:val="20"/>
              </w:rPr>
              <w:t>DataDomain</w:t>
            </w:r>
            <w:proofErr w:type="spellEnd"/>
            <w:r w:rsidRPr="0051087D">
              <w:rPr>
                <w:rFonts w:ascii="Arial" w:hAnsi="Arial" w:cs="Arial"/>
                <w:szCs w:val="20"/>
              </w:rPr>
              <w:t xml:space="preserve"> 6400 s dodávaným úložištěm a instalace replikace dat</w:t>
            </w:r>
          </w:p>
          <w:p w:rsidR="000F4269" w:rsidRPr="001E27DD" w:rsidRDefault="000F4269" w:rsidP="007404F9">
            <w:pPr>
              <w:pStyle w:val="xmsonormal"/>
              <w:numPr>
                <w:ilvl w:val="0"/>
                <w:numId w:val="1"/>
              </w:numPr>
              <w:ind w:left="57" w:hanging="142"/>
              <w:jc w:val="both"/>
              <w:rPr>
                <w:rFonts w:ascii="Arial" w:hAnsi="Arial" w:cs="Arial"/>
                <w:szCs w:val="20"/>
              </w:rPr>
            </w:pPr>
            <w:r w:rsidRPr="001E27DD">
              <w:rPr>
                <w:rFonts w:ascii="Arial" w:hAnsi="Arial" w:cs="Arial"/>
                <w:szCs w:val="20"/>
              </w:rPr>
              <w:t>akceptační testy včetně testovacích záloh a obnov</w:t>
            </w:r>
            <w:r>
              <w:rPr>
                <w:rFonts w:ascii="Arial" w:hAnsi="Arial" w:cs="Arial"/>
                <w:szCs w:val="20"/>
              </w:rPr>
              <w:t xml:space="preserve">y dat </w:t>
            </w:r>
          </w:p>
          <w:p w:rsidR="000F4269" w:rsidRPr="0051087D" w:rsidRDefault="000F4269" w:rsidP="0051087D">
            <w:pPr>
              <w:pStyle w:val="xmsonormal"/>
              <w:numPr>
                <w:ilvl w:val="0"/>
                <w:numId w:val="1"/>
              </w:numPr>
              <w:ind w:left="57" w:hanging="142"/>
              <w:jc w:val="both"/>
              <w:rPr>
                <w:rFonts w:ascii="Arial" w:hAnsi="Arial" w:cs="Arial"/>
                <w:szCs w:val="20"/>
              </w:rPr>
            </w:pPr>
            <w:r w:rsidRPr="001E27DD">
              <w:rPr>
                <w:rFonts w:ascii="Arial" w:hAnsi="Arial" w:cs="Arial"/>
                <w:szCs w:val="20"/>
              </w:rPr>
              <w:t>proškolení administrátorů kupujícího v nezbytném rozsahu</w:t>
            </w:r>
          </w:p>
          <w:p w:rsidR="000F4269" w:rsidRPr="001E27DD" w:rsidRDefault="000F4269" w:rsidP="007404F9">
            <w:pPr>
              <w:pStyle w:val="xmsonormal"/>
              <w:numPr>
                <w:ilvl w:val="0"/>
                <w:numId w:val="1"/>
              </w:numPr>
              <w:ind w:left="57" w:hanging="142"/>
              <w:jc w:val="both"/>
              <w:rPr>
                <w:rFonts w:ascii="Arial" w:hAnsi="Arial" w:cs="Arial"/>
                <w:szCs w:val="20"/>
              </w:rPr>
            </w:pPr>
            <w:r w:rsidRPr="001E27DD">
              <w:rPr>
                <w:rFonts w:ascii="Arial" w:hAnsi="Arial" w:cs="Arial"/>
                <w:szCs w:val="20"/>
              </w:rPr>
              <w:t>dokumentace řešení</w:t>
            </w:r>
          </w:p>
        </w:tc>
        <w:tc>
          <w:tcPr>
            <w:tcW w:w="5254" w:type="dxa"/>
            <w:vAlign w:val="center"/>
          </w:tcPr>
          <w:p w:rsidR="000F4269" w:rsidRDefault="000F4269" w:rsidP="000F4269">
            <w:pPr>
              <w:jc w:val="center"/>
            </w:pPr>
            <w:r w:rsidRPr="00AC0346">
              <w:rPr>
                <w:rFonts w:ascii="Arial" w:hAnsi="Arial" w:cs="Arial"/>
                <w:szCs w:val="20"/>
                <w:highlight w:val="green"/>
                <w:lang w:val="en-US"/>
              </w:rPr>
              <w:t>&lt;</w:t>
            </w:r>
            <w:r w:rsidRPr="00AC0346">
              <w:rPr>
                <w:rFonts w:ascii="Arial" w:hAnsi="Arial" w:cs="Arial"/>
                <w:szCs w:val="20"/>
                <w:highlight w:val="green"/>
              </w:rPr>
              <w:t>doplní účastník</w:t>
            </w:r>
            <w:r w:rsidRPr="00AC0346">
              <w:rPr>
                <w:rFonts w:ascii="Arial" w:hAnsi="Arial" w:cs="Arial"/>
                <w:szCs w:val="20"/>
                <w:highlight w:val="green"/>
                <w:lang w:val="en-US"/>
              </w:rPr>
              <w:t>&gt;</w:t>
            </w:r>
          </w:p>
        </w:tc>
      </w:tr>
    </w:tbl>
    <w:p w:rsidR="001528FB" w:rsidRPr="007404F9" w:rsidRDefault="001528FB" w:rsidP="007404F9"/>
    <w:sectPr w:rsidR="001528FB" w:rsidRPr="007404F9" w:rsidSect="00EB7BB7">
      <w:headerReference w:type="default" r:id="rId10"/>
      <w:footerReference w:type="default" r:id="rId11"/>
      <w:pgSz w:w="11906" w:h="16838" w:code="9"/>
      <w:pgMar w:top="1418" w:right="566" w:bottom="1418" w:left="1418" w:header="720" w:footer="5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8C5" w:rsidRDefault="004438C5">
      <w:r>
        <w:separator/>
      </w:r>
    </w:p>
  </w:endnote>
  <w:endnote w:type="continuationSeparator" w:id="0">
    <w:p w:rsidR="004438C5" w:rsidRDefault="0044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tblBorders>
      <w:tblLook w:val="01E0"/>
    </w:tblPr>
    <w:tblGrid>
      <w:gridCol w:w="756"/>
      <w:gridCol w:w="1276"/>
      <w:gridCol w:w="3402"/>
      <w:gridCol w:w="2234"/>
    </w:tblGrid>
    <w:tr w:rsidR="0014424C" w:rsidRPr="00532E7E" w:rsidTr="00B0499F">
      <w:trPr>
        <w:trHeight w:val="139"/>
        <w:jc w:val="center"/>
      </w:trPr>
      <w:tc>
        <w:tcPr>
          <w:tcW w:w="756" w:type="dxa"/>
          <w:vAlign w:val="center"/>
        </w:tcPr>
        <w:p w:rsidR="00A95488" w:rsidRPr="00D57C2B" w:rsidRDefault="00A95488" w:rsidP="00B0499F">
          <w:pPr>
            <w:pStyle w:val="Zpat"/>
            <w:tabs>
              <w:tab w:val="left" w:pos="540"/>
              <w:tab w:val="left" w:pos="1080"/>
            </w:tabs>
            <w:rPr>
              <w:rFonts w:ascii="Arial" w:hAnsi="Arial" w:cs="Arial"/>
              <w:sz w:val="14"/>
              <w:szCs w:val="14"/>
            </w:rPr>
          </w:pPr>
        </w:p>
      </w:tc>
      <w:tc>
        <w:tcPr>
          <w:tcW w:w="1276" w:type="dxa"/>
          <w:vAlign w:val="center"/>
        </w:tcPr>
        <w:p w:rsidR="00A95488" w:rsidRPr="00D57C2B" w:rsidRDefault="00A95488" w:rsidP="00B0499F">
          <w:pPr>
            <w:pStyle w:val="Zpat"/>
            <w:tabs>
              <w:tab w:val="left" w:pos="540"/>
              <w:tab w:val="left" w:pos="1080"/>
            </w:tabs>
            <w:rPr>
              <w:rFonts w:ascii="Arial" w:hAnsi="Arial" w:cs="Arial"/>
              <w:sz w:val="14"/>
              <w:szCs w:val="14"/>
            </w:rPr>
          </w:pPr>
        </w:p>
      </w:tc>
      <w:tc>
        <w:tcPr>
          <w:tcW w:w="3402" w:type="dxa"/>
          <w:vAlign w:val="center"/>
        </w:tcPr>
        <w:p w:rsidR="00A95488" w:rsidRPr="00D57C2B" w:rsidRDefault="00A95488" w:rsidP="00B0499F">
          <w:pPr>
            <w:pStyle w:val="Zpat"/>
            <w:tabs>
              <w:tab w:val="left" w:pos="540"/>
              <w:tab w:val="left" w:pos="1080"/>
            </w:tabs>
            <w:rPr>
              <w:rFonts w:ascii="Arial" w:hAnsi="Arial" w:cs="Arial"/>
              <w:sz w:val="14"/>
              <w:szCs w:val="14"/>
            </w:rPr>
          </w:pPr>
        </w:p>
      </w:tc>
      <w:tc>
        <w:tcPr>
          <w:tcW w:w="2234" w:type="dxa"/>
          <w:vAlign w:val="center"/>
        </w:tcPr>
        <w:p w:rsidR="00A95488" w:rsidRPr="00D57C2B" w:rsidRDefault="00D83CC3"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00622251" w:rsidRPr="009B456C">
            <w:rPr>
              <w:rFonts w:ascii="Arial" w:hAnsi="Arial" w:cs="Arial"/>
              <w:sz w:val="14"/>
              <w:szCs w:val="14"/>
            </w:rPr>
            <w:fldChar w:fldCharType="begin"/>
          </w:r>
          <w:r w:rsidR="009B456C" w:rsidRPr="009B456C">
            <w:rPr>
              <w:rFonts w:ascii="Arial" w:hAnsi="Arial" w:cs="Arial"/>
              <w:sz w:val="14"/>
              <w:szCs w:val="14"/>
            </w:rPr>
            <w:instrText>PAGE   \* MERGEFORMAT</w:instrText>
          </w:r>
          <w:r w:rsidR="00622251" w:rsidRPr="009B456C">
            <w:rPr>
              <w:rFonts w:ascii="Arial" w:hAnsi="Arial" w:cs="Arial"/>
              <w:sz w:val="14"/>
              <w:szCs w:val="14"/>
            </w:rPr>
            <w:fldChar w:fldCharType="separate"/>
          </w:r>
          <w:r w:rsidR="000F4269">
            <w:rPr>
              <w:rFonts w:ascii="Arial" w:hAnsi="Arial" w:cs="Arial"/>
              <w:noProof/>
              <w:sz w:val="14"/>
              <w:szCs w:val="14"/>
            </w:rPr>
            <w:t>4</w:t>
          </w:r>
          <w:r w:rsidR="00622251" w:rsidRPr="009B456C">
            <w:rPr>
              <w:rFonts w:ascii="Arial" w:hAnsi="Arial" w:cs="Arial"/>
              <w:sz w:val="14"/>
              <w:szCs w:val="14"/>
            </w:rPr>
            <w:fldChar w:fldCharType="end"/>
          </w:r>
          <w:r w:rsidRPr="00D57C2B">
            <w:rPr>
              <w:rFonts w:ascii="Arial" w:hAnsi="Arial" w:cs="Arial"/>
              <w:sz w:val="14"/>
              <w:szCs w:val="14"/>
            </w:rPr>
            <w:t xml:space="preserve"> (celkem </w:t>
          </w:r>
          <w:fldSimple w:instr=" NUMPAGES   \* MERGEFORMAT ">
            <w:r w:rsidR="000F4269" w:rsidRPr="000F4269">
              <w:rPr>
                <w:rFonts w:ascii="Arial" w:hAnsi="Arial" w:cs="Arial"/>
                <w:noProof/>
                <w:sz w:val="14"/>
                <w:szCs w:val="14"/>
              </w:rPr>
              <w:t>4</w:t>
            </w:r>
          </w:fldSimple>
          <w:r w:rsidRPr="00D57C2B">
            <w:rPr>
              <w:rFonts w:ascii="Arial" w:hAnsi="Arial" w:cs="Arial"/>
              <w:sz w:val="14"/>
              <w:szCs w:val="14"/>
            </w:rPr>
            <w:t>)</w:t>
          </w:r>
        </w:p>
      </w:tc>
    </w:tr>
  </w:tbl>
  <w:p w:rsidR="00A95488" w:rsidRDefault="00A95488" w:rsidP="00B0499F">
    <w:pPr>
      <w:pStyle w:val="Zpat"/>
      <w:tabs>
        <w:tab w:val="left" w:pos="540"/>
      </w:tabs>
      <w:rPr>
        <w:rFonts w:ascii="Arial" w:hAnsi="Arial" w:cs="Arial"/>
        <w:sz w:val="16"/>
        <w:szCs w:val="16"/>
      </w:rPr>
    </w:pPr>
  </w:p>
  <w:p w:rsidR="00A95488" w:rsidRDefault="00A95488" w:rsidP="00B0499F">
    <w:pPr>
      <w:pStyle w:val="Zpat"/>
      <w:tabs>
        <w:tab w:val="left" w:pos="540"/>
      </w:tabs>
      <w:rPr>
        <w:rFonts w:ascii="Arial" w:hAnsi="Arial" w:cs="Arial"/>
        <w:sz w:val="16"/>
        <w:szCs w:val="16"/>
      </w:rPr>
    </w:pPr>
  </w:p>
  <w:p w:rsidR="00A95488" w:rsidRPr="000B1AEC" w:rsidRDefault="00D83CC3"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8C5" w:rsidRDefault="004438C5">
      <w:r>
        <w:separator/>
      </w:r>
    </w:p>
  </w:footnote>
  <w:footnote w:type="continuationSeparator" w:id="0">
    <w:p w:rsidR="004438C5" w:rsidRDefault="0044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88" w:rsidRDefault="003B0A39" w:rsidP="00B0499F">
    <w:pPr>
      <w:pStyle w:val="Zhlav"/>
      <w:tabs>
        <w:tab w:val="clear" w:pos="9072"/>
        <w:tab w:val="left" w:pos="4395"/>
        <w:tab w:val="right" w:pos="9498"/>
      </w:tabs>
      <w:rPr>
        <w:b/>
      </w:rPr>
    </w:pPr>
    <w:r>
      <w:rPr>
        <w:noProof/>
      </w:rPr>
      <w:drawing>
        <wp:inline distT="0" distB="0" distL="0" distR="0">
          <wp:extent cx="2590165" cy="733425"/>
          <wp:effectExtent l="0" t="0" r="63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0165" cy="733425"/>
                  </a:xfrm>
                  <a:prstGeom prst="rect">
                    <a:avLst/>
                  </a:prstGeom>
                  <a:noFill/>
                </pic:spPr>
              </pic:pic>
            </a:graphicData>
          </a:graphic>
        </wp:inline>
      </w:drawing>
    </w:r>
    <w:r w:rsidR="00D83CC3">
      <w:tab/>
    </w:r>
    <w:r w:rsidR="00D83CC3">
      <w:tab/>
    </w:r>
  </w:p>
  <w:p w:rsidR="00A95488" w:rsidRPr="001554F4" w:rsidRDefault="00A95488"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75E16"/>
    <w:multiLevelType w:val="hybridMultilevel"/>
    <w:tmpl w:val="55A2A9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6A9F14C3"/>
    <w:multiLevelType w:val="hybridMultilevel"/>
    <w:tmpl w:val="3DA0869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7F1D4404"/>
    <w:multiLevelType w:val="hybridMultilevel"/>
    <w:tmpl w:val="1E06234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D83CC3"/>
    <w:rsid w:val="000451D7"/>
    <w:rsid w:val="000F4269"/>
    <w:rsid w:val="00112DB8"/>
    <w:rsid w:val="001410C5"/>
    <w:rsid w:val="001528FB"/>
    <w:rsid w:val="00156822"/>
    <w:rsid w:val="001B5E68"/>
    <w:rsid w:val="001D53FB"/>
    <w:rsid w:val="002134DC"/>
    <w:rsid w:val="003165AF"/>
    <w:rsid w:val="003B0A39"/>
    <w:rsid w:val="003F4B8D"/>
    <w:rsid w:val="00400F93"/>
    <w:rsid w:val="004039E5"/>
    <w:rsid w:val="004438C5"/>
    <w:rsid w:val="00483E44"/>
    <w:rsid w:val="0051087D"/>
    <w:rsid w:val="00561B0E"/>
    <w:rsid w:val="005650C9"/>
    <w:rsid w:val="005F2552"/>
    <w:rsid w:val="0062218F"/>
    <w:rsid w:val="00622251"/>
    <w:rsid w:val="006662B0"/>
    <w:rsid w:val="006F6000"/>
    <w:rsid w:val="00721BC6"/>
    <w:rsid w:val="007404F9"/>
    <w:rsid w:val="00847B2F"/>
    <w:rsid w:val="00873B80"/>
    <w:rsid w:val="008942BB"/>
    <w:rsid w:val="008B0DC8"/>
    <w:rsid w:val="008D768A"/>
    <w:rsid w:val="009120CC"/>
    <w:rsid w:val="00925B39"/>
    <w:rsid w:val="00927FD8"/>
    <w:rsid w:val="0096424B"/>
    <w:rsid w:val="009A3E45"/>
    <w:rsid w:val="009A6D70"/>
    <w:rsid w:val="009B456C"/>
    <w:rsid w:val="009D10F6"/>
    <w:rsid w:val="009E0E0B"/>
    <w:rsid w:val="00A418FD"/>
    <w:rsid w:val="00A95488"/>
    <w:rsid w:val="00BC3EF8"/>
    <w:rsid w:val="00C34870"/>
    <w:rsid w:val="00C354C6"/>
    <w:rsid w:val="00CE21B8"/>
    <w:rsid w:val="00D20C44"/>
    <w:rsid w:val="00D45139"/>
    <w:rsid w:val="00D53100"/>
    <w:rsid w:val="00D83CC3"/>
    <w:rsid w:val="00DA0E25"/>
    <w:rsid w:val="00DD5859"/>
    <w:rsid w:val="00EB6FE6"/>
    <w:rsid w:val="00F11219"/>
    <w:rsid w:val="00F24ADC"/>
    <w:rsid w:val="00F7480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ind w:right="61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3CC3"/>
    <w:pPr>
      <w:ind w:right="0"/>
      <w:jc w:val="left"/>
    </w:pPr>
    <w:rPr>
      <w:rFonts w:ascii="Calibri" w:eastAsia="Times New Roman" w:hAnsi="Calibri"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83CC3"/>
    <w:pPr>
      <w:tabs>
        <w:tab w:val="center" w:pos="4536"/>
        <w:tab w:val="right" w:pos="9072"/>
      </w:tabs>
    </w:pPr>
  </w:style>
  <w:style w:type="character" w:customStyle="1" w:styleId="ZhlavChar">
    <w:name w:val="Záhlaví Char"/>
    <w:basedOn w:val="Standardnpsmoodstavce"/>
    <w:link w:val="Zhlav"/>
    <w:rsid w:val="00D83CC3"/>
    <w:rPr>
      <w:rFonts w:ascii="Calibri" w:eastAsia="Times New Roman" w:hAnsi="Calibri" w:cs="Times New Roman"/>
      <w:szCs w:val="24"/>
      <w:lang w:eastAsia="cs-CZ"/>
    </w:rPr>
  </w:style>
  <w:style w:type="paragraph" w:styleId="Zpat">
    <w:name w:val="footer"/>
    <w:basedOn w:val="Normln"/>
    <w:link w:val="ZpatChar"/>
    <w:rsid w:val="00D83CC3"/>
    <w:pPr>
      <w:tabs>
        <w:tab w:val="center" w:pos="4536"/>
        <w:tab w:val="right" w:pos="9072"/>
      </w:tabs>
    </w:pPr>
  </w:style>
  <w:style w:type="character" w:customStyle="1" w:styleId="ZpatChar">
    <w:name w:val="Zápatí Char"/>
    <w:basedOn w:val="Standardnpsmoodstavce"/>
    <w:link w:val="Zpat"/>
    <w:rsid w:val="00D83CC3"/>
    <w:rPr>
      <w:rFonts w:ascii="Calibri" w:eastAsia="Times New Roman" w:hAnsi="Calibri" w:cs="Times New Roman"/>
      <w:szCs w:val="24"/>
      <w:lang w:eastAsia="cs-CZ"/>
    </w:rPr>
  </w:style>
  <w:style w:type="table" w:styleId="Mkatabulky">
    <w:name w:val="Table Grid"/>
    <w:basedOn w:val="Normlntabulka"/>
    <w:uiPriority w:val="99"/>
    <w:rsid w:val="007404F9"/>
    <w:pPr>
      <w:ind w:right="0"/>
      <w:jc w:val="left"/>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aliases w:val="List Paragraph (Czech Tourism),Odrážky - Arial 12,Číslovaný odstavec se seznamem,Odrážka vínová"/>
    <w:basedOn w:val="Normln"/>
    <w:link w:val="OdstavecseseznamemChar"/>
    <w:qFormat/>
    <w:rsid w:val="007404F9"/>
    <w:pPr>
      <w:ind w:left="720"/>
      <w:contextualSpacing/>
      <w:jc w:val="both"/>
    </w:pPr>
    <w:rPr>
      <w:rFonts w:eastAsia="Calibri"/>
      <w:szCs w:val="22"/>
      <w:lang w:eastAsia="en-US"/>
    </w:rPr>
  </w:style>
  <w:style w:type="character" w:customStyle="1" w:styleId="OdstavecseseznamemChar">
    <w:name w:val="Odstavec se seznamem Char"/>
    <w:aliases w:val="List Paragraph (Czech Tourism) Char,Odrážky - Arial 12 Char,Číslovaný odstavec se seznamem Char,Odrážka vínová Char"/>
    <w:basedOn w:val="Standardnpsmoodstavce"/>
    <w:link w:val="Odstavecseseznamem"/>
    <w:rsid w:val="007404F9"/>
    <w:rPr>
      <w:rFonts w:ascii="Calibri" w:eastAsia="Calibri" w:hAnsi="Calibri" w:cs="Times New Roman"/>
    </w:rPr>
  </w:style>
  <w:style w:type="paragraph" w:customStyle="1" w:styleId="xmsonormal">
    <w:name w:val="x_msonormal"/>
    <w:basedOn w:val="Normln"/>
    <w:rsid w:val="007404F9"/>
    <w:rPr>
      <w:rFonts w:eastAsiaTheme="minorHAnsi" w:cs="Calibri"/>
      <w:szCs w:val="22"/>
    </w:rPr>
  </w:style>
  <w:style w:type="paragraph" w:styleId="Revize">
    <w:name w:val="Revision"/>
    <w:hidden/>
    <w:uiPriority w:val="99"/>
    <w:semiHidden/>
    <w:rsid w:val="009B456C"/>
    <w:pPr>
      <w:ind w:right="0"/>
      <w:jc w:val="left"/>
    </w:pPr>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5650C9"/>
    <w:rPr>
      <w:rFonts w:ascii="Tahoma" w:hAnsi="Tahoma" w:cs="Tahoma"/>
      <w:sz w:val="16"/>
      <w:szCs w:val="16"/>
    </w:rPr>
  </w:style>
  <w:style w:type="character" w:customStyle="1" w:styleId="TextbublinyChar">
    <w:name w:val="Text bubliny Char"/>
    <w:basedOn w:val="Standardnpsmoodstavce"/>
    <w:link w:val="Textbubliny"/>
    <w:uiPriority w:val="99"/>
    <w:semiHidden/>
    <w:rsid w:val="005650C9"/>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37099F115F314FB98C3FED27104E71" ma:contentTypeVersion="2" ma:contentTypeDescription="Vytvoří nový dokument" ma:contentTypeScope="" ma:versionID="d011481debd7471a08c45400af8a6816">
  <xsd:schema xmlns:xsd="http://www.w3.org/2001/XMLSchema" xmlns:xs="http://www.w3.org/2001/XMLSchema" xmlns:p="http://schemas.microsoft.com/office/2006/metadata/properties" xmlns:ns2="34a5ffe5-9792-4032-9d48-b063af02d430" targetNamespace="http://schemas.microsoft.com/office/2006/metadata/properties" ma:root="true" ma:fieldsID="aba2cc0a262f84c21d8e0a7fea0cf7f5" ns2:_="">
    <xsd:import namespace="34a5ffe5-9792-4032-9d48-b063af02d430"/>
    <xsd:element name="properties">
      <xsd:complexType>
        <xsd:sequence>
          <xsd:element name="documentManagement">
            <xsd:complexType>
              <xsd:all>
                <xsd:element ref="ns2:Ukon_x010d_eno" minOccurs="0"/>
                <xsd:element ref="ns2:Typ_x0020_VZ" minOccurs="0"/>
                <xsd:element ref="ns2:Smlouva" minOccurs="0"/>
                <xsd:element ref="ns2:SharedWithUser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5ffe5-9792-4032-9d48-b063af02d430"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ma:readOnly="false">
      <xsd:simpleType>
        <xsd:restriction base="dms:Boolean"/>
      </xsd:simpleType>
    </xsd:element>
    <xsd:element name="Typ_x0020_VZ" ma:index="9" nillable="true" ma:displayName="Typ VZ" ma:default="ZMR" ma:format="Dropdown" ma:internalName="Typ_x0020_VZ" ma:readOnly="false">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ma:readOnly="false">
      <xsd:simpleType>
        <xsd:restriction base="dms:Text">
          <xsd:maxLength value="255"/>
        </xsd:restriction>
      </xsd:simpleType>
    </xsd:element>
    <xsd:element name="SharedWithUsers" ma:index="11"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mlouva xmlns="34a5ffe5-9792-4032-9d48-b063af02d430" xsi:nil="true"/>
    <Typ_x0020_VZ xmlns="34a5ffe5-9792-4032-9d48-b063af02d430">ZMR</Typ_x0020_VZ>
    <Ukon_x010d_eno xmlns="34a5ffe5-9792-4032-9d48-b063af02d430">false</Ukon_x010d_eno>
    <SharedWithUsers xmlns="34a5ffe5-9792-4032-9d48-b063af02d430">
      <UserInfo>
        <DisplayName/>
        <AccountId xsi:nil="true"/>
        <AccountType/>
      </UserInfo>
    </SharedWithUsers>
  </documentManagement>
</p:properties>
</file>

<file path=customXml/itemProps1.xml><?xml version="1.0" encoding="utf-8"?>
<ds:datastoreItem xmlns:ds="http://schemas.openxmlformats.org/officeDocument/2006/customXml" ds:itemID="{B1BDBB6D-F90F-4D71-95C8-0A7C3E4292C5}">
  <ds:schemaRefs>
    <ds:schemaRef ds:uri="http://schemas.microsoft.com/sharepoint/v3/contenttype/forms"/>
  </ds:schemaRefs>
</ds:datastoreItem>
</file>

<file path=customXml/itemProps2.xml><?xml version="1.0" encoding="utf-8"?>
<ds:datastoreItem xmlns:ds="http://schemas.openxmlformats.org/officeDocument/2006/customXml" ds:itemID="{828474B6-40AE-4FB9-9273-F4A1E24A9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5ffe5-9792-4032-9d48-b063af02d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52794-57F2-4677-A549-D7DD388B7B22}">
  <ds:schemaRefs>
    <ds:schemaRef ds:uri="http://schemas.microsoft.com/office/2006/metadata/properties"/>
    <ds:schemaRef ds:uri="http://schemas.microsoft.com/office/infopath/2007/PartnerControls"/>
    <ds:schemaRef ds:uri="34a5ffe5-9792-4032-9d48-b063af02d43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1204</Words>
  <Characters>7107</Characters>
  <Application>Microsoft Office Word</Application>
  <DocSecurity>0</DocSecurity>
  <Lines>59</Lines>
  <Paragraphs>16</Paragraphs>
  <ScaleCrop>false</ScaleCrop>
  <Company/>
  <LinksUpToDate>false</LinksUpToDate>
  <CharactersWithSpaces>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Devetter Jan</dc:creator>
  <cp:lastModifiedBy>lukas</cp:lastModifiedBy>
  <cp:revision>7</cp:revision>
  <dcterms:created xsi:type="dcterms:W3CDTF">2025-02-14T10:21:00Z</dcterms:created>
  <dcterms:modified xsi:type="dcterms:W3CDTF">2025-04-07T09:32:00Z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2f003c-d4d5-43b8-9b51-0327f8145908_Enabled">
    <vt:lpwstr>true</vt:lpwstr>
  </property>
  <property fmtid="{D5CDD505-2E9C-101B-9397-08002B2CF9AE}" pid="3" name="MSIP_Label_1c2f003c-d4d5-43b8-9b51-0327f8145908_SetDate">
    <vt:lpwstr>2025-02-14T10:21:59Z</vt:lpwstr>
  </property>
  <property fmtid="{D5CDD505-2E9C-101B-9397-08002B2CF9AE}" pid="4" name="MSIP_Label_1c2f003c-d4d5-43b8-9b51-0327f8145908_Method">
    <vt:lpwstr>Standard</vt:lpwstr>
  </property>
  <property fmtid="{D5CDD505-2E9C-101B-9397-08002B2CF9AE}" pid="5" name="MSIP_Label_1c2f003c-d4d5-43b8-9b51-0327f8145908_Name">
    <vt:lpwstr>INTERNI</vt:lpwstr>
  </property>
  <property fmtid="{D5CDD505-2E9C-101B-9397-08002B2CF9AE}" pid="6" name="MSIP_Label_1c2f003c-d4d5-43b8-9b51-0327f8145908_SiteId">
    <vt:lpwstr>85ebed7f-a4f3-442d-8c7f-a8890bf41f63</vt:lpwstr>
  </property>
  <property fmtid="{D5CDD505-2E9C-101B-9397-08002B2CF9AE}" pid="7" name="MSIP_Label_1c2f003c-d4d5-43b8-9b51-0327f8145908_ActionId">
    <vt:lpwstr>24f620ca-33b9-4dad-8f13-a786b16d73ba</vt:lpwstr>
  </property>
  <property fmtid="{D5CDD505-2E9C-101B-9397-08002B2CF9AE}" pid="8" name="MSIP_Label_1c2f003c-d4d5-43b8-9b51-0327f8145908_ContentBits">
    <vt:lpwstr>0</vt:lpwstr>
  </property>
  <property fmtid="{D5CDD505-2E9C-101B-9397-08002B2CF9AE}" pid="9" name="ContentTypeId">
    <vt:lpwstr>0x0101006637099F115F314FB98C3FED27104E71</vt:lpwstr>
  </property>
</Properties>
</file>