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F672" w14:textId="139EB49E" w:rsidR="00D66D16" w:rsidRPr="006901D5" w:rsidRDefault="00D66D16" w:rsidP="00D66D16">
      <w:pPr>
        <w:widowControl w:val="0"/>
        <w:autoSpaceDE w:val="0"/>
        <w:autoSpaceDN w:val="0"/>
        <w:adjustRightInd w:val="0"/>
        <w:spacing w:before="120" w:after="0" w:line="240" w:lineRule="auto"/>
        <w:ind w:left="6"/>
        <w:jc w:val="center"/>
        <w:rPr>
          <w:rFonts w:ascii="Arial" w:hAnsi="Arial" w:cs="Arial"/>
          <w:b/>
          <w:sz w:val="20"/>
          <w:szCs w:val="20"/>
          <w:u w:val="single"/>
        </w:rPr>
      </w:pPr>
      <w:r w:rsidRPr="006901D5">
        <w:rPr>
          <w:rFonts w:ascii="Arial" w:hAnsi="Arial" w:cs="Arial"/>
          <w:b/>
          <w:sz w:val="20"/>
          <w:szCs w:val="20"/>
          <w:u w:val="single"/>
        </w:rPr>
        <w:t>Smlouva o dodávce – požadavky zadavatele</w:t>
      </w:r>
    </w:p>
    <w:p w14:paraId="1560FD1B" w14:textId="5E697182" w:rsidR="006901D5" w:rsidRPr="006901D5" w:rsidRDefault="006901D5" w:rsidP="006901D5">
      <w:pPr>
        <w:widowControl w:val="0"/>
        <w:autoSpaceDE w:val="0"/>
        <w:autoSpaceDN w:val="0"/>
        <w:adjustRightInd w:val="0"/>
        <w:spacing w:before="240" w:after="0"/>
        <w:jc w:val="both"/>
        <w:rPr>
          <w:rFonts w:ascii="Arial" w:hAnsi="Arial" w:cs="Arial"/>
          <w:sz w:val="20"/>
          <w:szCs w:val="20"/>
        </w:rPr>
      </w:pPr>
      <w:r w:rsidRPr="006901D5">
        <w:rPr>
          <w:rFonts w:ascii="Arial" w:hAnsi="Arial" w:cs="Arial"/>
          <w:sz w:val="20"/>
          <w:szCs w:val="20"/>
        </w:rPr>
        <w:t xml:space="preserve">Účastník je povinen předložit </w:t>
      </w:r>
      <w:r w:rsidRPr="006901D5">
        <w:rPr>
          <w:rFonts w:ascii="Arial" w:hAnsi="Arial" w:cs="Arial"/>
          <w:sz w:val="20"/>
          <w:szCs w:val="20"/>
          <w:u w:val="single"/>
        </w:rPr>
        <w:t>vlastní návrh smlouvy o dodávce</w:t>
      </w:r>
      <w:r w:rsidRPr="006901D5">
        <w:rPr>
          <w:rFonts w:ascii="Arial" w:hAnsi="Arial" w:cs="Arial"/>
          <w:sz w:val="20"/>
          <w:szCs w:val="20"/>
        </w:rPr>
        <w:t xml:space="preserve">, ve kterém budou zahrnuty </w:t>
      </w:r>
      <w:r>
        <w:rPr>
          <w:rFonts w:ascii="Arial" w:hAnsi="Arial" w:cs="Arial"/>
          <w:sz w:val="20"/>
          <w:szCs w:val="20"/>
        </w:rPr>
        <w:t xml:space="preserve">níže uvedené </w:t>
      </w:r>
      <w:r w:rsidRPr="006901D5">
        <w:rPr>
          <w:rFonts w:ascii="Arial" w:hAnsi="Arial" w:cs="Arial"/>
          <w:sz w:val="20"/>
          <w:szCs w:val="20"/>
        </w:rPr>
        <w:t xml:space="preserve">požadavky </w:t>
      </w:r>
      <w:r>
        <w:rPr>
          <w:rFonts w:ascii="Arial" w:hAnsi="Arial" w:cs="Arial"/>
          <w:sz w:val="20"/>
          <w:szCs w:val="20"/>
        </w:rPr>
        <w:t>zadavatele</w:t>
      </w:r>
      <w:r w:rsidRPr="006901D5">
        <w:rPr>
          <w:rFonts w:ascii="Arial" w:hAnsi="Arial" w:cs="Arial"/>
          <w:sz w:val="20"/>
          <w:szCs w:val="20"/>
        </w:rPr>
        <w:t xml:space="preserve"> (účastník předloží smlouvu též v editovatelném formátu např. word nebo obdobném výstupu z počítačového softwaru, v případě listinné nabídky bude smlouva předložena na CD)</w:t>
      </w:r>
      <w:r>
        <w:rPr>
          <w:rFonts w:ascii="Arial" w:hAnsi="Arial" w:cs="Arial"/>
          <w:sz w:val="20"/>
          <w:szCs w:val="20"/>
        </w:rPr>
        <w:t>:</w:t>
      </w:r>
    </w:p>
    <w:p w14:paraId="18F236A1" w14:textId="77777777" w:rsidR="00D66D16" w:rsidRPr="006901D5" w:rsidRDefault="00D66D16" w:rsidP="00D66D16">
      <w:pPr>
        <w:pStyle w:val="Odstavecseseznamem"/>
        <w:widowControl w:val="0"/>
        <w:numPr>
          <w:ilvl w:val="0"/>
          <w:numId w:val="1"/>
        </w:numPr>
        <w:autoSpaceDE w:val="0"/>
        <w:autoSpaceDN w:val="0"/>
        <w:adjustRightInd w:val="0"/>
        <w:spacing w:before="120" w:after="0"/>
        <w:rPr>
          <w:rFonts w:ascii="Arial" w:hAnsi="Arial" w:cs="Arial"/>
          <w:sz w:val="20"/>
          <w:szCs w:val="20"/>
        </w:rPr>
      </w:pPr>
      <w:r w:rsidRPr="006901D5">
        <w:rPr>
          <w:rFonts w:ascii="Arial" w:hAnsi="Arial" w:cs="Arial"/>
          <w:sz w:val="20"/>
          <w:szCs w:val="20"/>
        </w:rPr>
        <w:t>Smlouva bude uzavřena s městem Jičín, IČ: 00271632, Žižkovo nám. 18, 506 01 Jičín zastoupené starostou JUDr. Janem Malým;</w:t>
      </w:r>
    </w:p>
    <w:p w14:paraId="1F267F01" w14:textId="77777777" w:rsidR="00D66D16" w:rsidRPr="006901D5" w:rsidRDefault="00D66D16" w:rsidP="00D66D16">
      <w:pPr>
        <w:pStyle w:val="Odstavecseseznamem"/>
        <w:widowControl w:val="0"/>
        <w:autoSpaceDE w:val="0"/>
        <w:autoSpaceDN w:val="0"/>
        <w:adjustRightInd w:val="0"/>
        <w:spacing w:before="120" w:after="0"/>
        <w:rPr>
          <w:rFonts w:ascii="Arial" w:hAnsi="Arial" w:cs="Arial"/>
          <w:sz w:val="20"/>
          <w:szCs w:val="20"/>
        </w:rPr>
      </w:pPr>
    </w:p>
    <w:p w14:paraId="22E30BE7" w14:textId="77777777" w:rsidR="00D66D16" w:rsidRPr="006901D5" w:rsidRDefault="00D66D16" w:rsidP="00D66D16">
      <w:pPr>
        <w:pStyle w:val="Odstavecseseznamem"/>
        <w:widowControl w:val="0"/>
        <w:numPr>
          <w:ilvl w:val="0"/>
          <w:numId w:val="1"/>
        </w:numPr>
        <w:autoSpaceDE w:val="0"/>
        <w:autoSpaceDN w:val="0"/>
        <w:adjustRightInd w:val="0"/>
        <w:spacing w:before="120" w:after="0"/>
        <w:rPr>
          <w:rFonts w:ascii="Arial" w:hAnsi="Arial" w:cs="Arial"/>
          <w:sz w:val="20"/>
          <w:szCs w:val="20"/>
          <w:u w:val="single"/>
        </w:rPr>
      </w:pPr>
      <w:r w:rsidRPr="006901D5">
        <w:rPr>
          <w:rFonts w:ascii="Arial" w:hAnsi="Arial" w:cs="Arial"/>
          <w:iCs/>
          <w:sz w:val="20"/>
          <w:szCs w:val="20"/>
          <w:u w:val="single"/>
        </w:rPr>
        <w:t>Pracovní doba na stavbě:</w:t>
      </w:r>
    </w:p>
    <w:p w14:paraId="7B4C5BC8" w14:textId="77777777" w:rsidR="00D66D16" w:rsidRPr="000B1086" w:rsidRDefault="00D66D16" w:rsidP="00D66D16">
      <w:pPr>
        <w:pStyle w:val="Styl1"/>
        <w:tabs>
          <w:tab w:val="left" w:pos="360"/>
        </w:tabs>
        <w:jc w:val="both"/>
        <w:rPr>
          <w:rFonts w:cs="Arial"/>
          <w:iCs/>
          <w:sz w:val="20"/>
        </w:rPr>
      </w:pPr>
      <w:r w:rsidRPr="006901D5">
        <w:rPr>
          <w:rFonts w:cs="Arial"/>
          <w:iCs/>
          <w:sz w:val="20"/>
        </w:rPr>
        <w:tab/>
      </w:r>
      <w:r w:rsidRPr="006901D5">
        <w:rPr>
          <w:rFonts w:cs="Arial"/>
          <w:iCs/>
          <w:sz w:val="20"/>
        </w:rPr>
        <w:tab/>
      </w:r>
      <w:r w:rsidRPr="000B1086">
        <w:rPr>
          <w:rFonts w:cs="Arial"/>
          <w:iCs/>
          <w:sz w:val="20"/>
        </w:rPr>
        <w:t>Zadavatel stanovuje, že pracovní doba je časově omezená a to:</w:t>
      </w:r>
    </w:p>
    <w:p w14:paraId="3B69F0B5" w14:textId="77777777" w:rsidR="00D66D16" w:rsidRPr="000B1086" w:rsidRDefault="00D66D16" w:rsidP="00D66D16">
      <w:pPr>
        <w:pStyle w:val="Styl1"/>
        <w:tabs>
          <w:tab w:val="left" w:pos="0"/>
        </w:tabs>
        <w:ind w:left="708"/>
        <w:jc w:val="both"/>
        <w:rPr>
          <w:rFonts w:cs="Arial"/>
          <w:iCs/>
          <w:sz w:val="20"/>
        </w:rPr>
      </w:pPr>
      <w:r w:rsidRPr="000B1086">
        <w:rPr>
          <w:rFonts w:cs="Arial"/>
          <w:iCs/>
          <w:sz w:val="20"/>
        </w:rPr>
        <w:t xml:space="preserve">všední dny a dny pracovního volna (SO) – od 7:00 do 18:00 - provoz všech prostor není možné přerušit a omezit pouze minimálně, pokud se smluvní strany nedohodnou jinak </w:t>
      </w:r>
    </w:p>
    <w:p w14:paraId="6A441CB4" w14:textId="77777777" w:rsidR="00D66D16" w:rsidRPr="006901D5" w:rsidRDefault="00D66D16" w:rsidP="00D66D16">
      <w:pPr>
        <w:pStyle w:val="Styl1"/>
        <w:tabs>
          <w:tab w:val="left" w:pos="0"/>
        </w:tabs>
        <w:ind w:left="708"/>
        <w:jc w:val="both"/>
        <w:rPr>
          <w:rFonts w:cs="Arial"/>
          <w:iCs/>
          <w:sz w:val="20"/>
        </w:rPr>
      </w:pPr>
      <w:r w:rsidRPr="000B1086">
        <w:rPr>
          <w:rFonts w:cs="Arial"/>
          <w:iCs/>
          <w:sz w:val="20"/>
        </w:rPr>
        <w:t>dny pracovního klidu (Ne) a svátky - není dovoleno provádět žádné hlučné a prašné práce, pokud se smluvní strany nedohodnou jinak;</w:t>
      </w:r>
    </w:p>
    <w:p w14:paraId="520E1422" w14:textId="77777777" w:rsidR="00D66D16" w:rsidRPr="006901D5" w:rsidRDefault="00D66D16" w:rsidP="00D66D16">
      <w:pPr>
        <w:pStyle w:val="Styl1"/>
        <w:tabs>
          <w:tab w:val="left" w:pos="0"/>
        </w:tabs>
        <w:ind w:left="708"/>
        <w:jc w:val="both"/>
        <w:rPr>
          <w:rFonts w:cs="Arial"/>
          <w:iCs/>
          <w:sz w:val="20"/>
        </w:rPr>
      </w:pPr>
    </w:p>
    <w:p w14:paraId="01274807" w14:textId="77777777" w:rsidR="00D66D16" w:rsidRPr="006901D5" w:rsidRDefault="00D66D16" w:rsidP="00D66D16">
      <w:pPr>
        <w:pStyle w:val="Styl1"/>
        <w:numPr>
          <w:ilvl w:val="0"/>
          <w:numId w:val="1"/>
        </w:numPr>
        <w:tabs>
          <w:tab w:val="left" w:pos="0"/>
        </w:tabs>
        <w:jc w:val="both"/>
        <w:rPr>
          <w:rFonts w:cs="Arial"/>
          <w:iCs/>
          <w:sz w:val="20"/>
          <w:u w:val="single"/>
        </w:rPr>
      </w:pPr>
      <w:r w:rsidRPr="006901D5">
        <w:rPr>
          <w:rFonts w:cs="Arial"/>
          <w:sz w:val="20"/>
          <w:u w:val="single"/>
        </w:rPr>
        <w:t>Platební podmínky:</w:t>
      </w:r>
    </w:p>
    <w:p w14:paraId="5B02E8B1" w14:textId="77777777" w:rsidR="00D66D16" w:rsidRPr="006901D5" w:rsidRDefault="00D66D16" w:rsidP="006901D5">
      <w:pPr>
        <w:pStyle w:val="Styl1"/>
        <w:tabs>
          <w:tab w:val="left" w:pos="360"/>
        </w:tabs>
        <w:spacing w:before="120"/>
        <w:ind w:left="709"/>
        <w:jc w:val="both"/>
        <w:rPr>
          <w:rFonts w:cs="Arial"/>
          <w:iCs/>
          <w:sz w:val="20"/>
        </w:rPr>
      </w:pPr>
      <w:r w:rsidRPr="006901D5">
        <w:rPr>
          <w:rFonts w:cs="Arial"/>
          <w:iCs/>
          <w:sz w:val="20"/>
        </w:rPr>
        <w:t>Kupní cena je stanovena dohodou smluvních stran jako cena pevná, neměnná a nejvýše přípustná, která zahrnuje veškeré náklady dodavatele spojené s plněním předmětu této smlouvy. Kupní cena zahrnuje celý předmět smlouvy.</w:t>
      </w:r>
    </w:p>
    <w:p w14:paraId="19A5B854" w14:textId="77777777" w:rsidR="00D66D16" w:rsidRPr="006901D5" w:rsidRDefault="00D66D16" w:rsidP="006901D5">
      <w:pPr>
        <w:pStyle w:val="Styl1"/>
        <w:tabs>
          <w:tab w:val="left" w:pos="360"/>
        </w:tabs>
        <w:spacing w:before="120"/>
        <w:ind w:left="709"/>
        <w:jc w:val="both"/>
        <w:rPr>
          <w:rFonts w:cs="Arial"/>
          <w:iCs/>
          <w:sz w:val="20"/>
        </w:rPr>
      </w:pPr>
      <w:r w:rsidRPr="006901D5">
        <w:rPr>
          <w:rFonts w:cs="Arial"/>
          <w:iCs/>
          <w:sz w:val="20"/>
        </w:rPr>
        <w:t xml:space="preserve">Kupní cena bude uhrazena po dodání předmětu koupě, potvrzeném podepsaným předávacím protokolem. </w:t>
      </w:r>
    </w:p>
    <w:p w14:paraId="059D2E49" w14:textId="77777777" w:rsidR="00D66D16" w:rsidRPr="006901D5" w:rsidRDefault="00D66D16" w:rsidP="006901D5">
      <w:pPr>
        <w:pStyle w:val="Styl1"/>
        <w:tabs>
          <w:tab w:val="left" w:pos="360"/>
        </w:tabs>
        <w:spacing w:before="120"/>
        <w:ind w:left="709"/>
        <w:jc w:val="both"/>
        <w:rPr>
          <w:rFonts w:cs="Arial"/>
          <w:iCs/>
          <w:sz w:val="20"/>
        </w:rPr>
      </w:pPr>
      <w:r w:rsidRPr="006901D5">
        <w:rPr>
          <w:rFonts w:cs="Arial"/>
          <w:iCs/>
          <w:sz w:val="20"/>
        </w:rPr>
        <w:t xml:space="preserve">Kupní cenu zaplatí kupující bezhotovostně na účet prodávajícího vedeného u ………, číslo účtu: …………….  a to do 30 dnů od doručení faktury kupujícímu. Variabilním symbolem je číslo faktury. Faktura musí mít veškeré náležitosti daňového dokladu ve smyslu zákona č. 235/2004 Sb., o dani z přidané hodnoty, v platném znění a musí být označena číslem projektu: ……………… V případě, že faktura vystavená dodavatelem nebude mít předepsané náležitosti stanovené pro daňový doklad, nebo bude obsahovat údaje v rozporu s touto smlouvou, nebude kupujícím proplacena a kupující jí vrátí zpět dodavateli k doplnění či opravě. Doba splatnosti opravené, resp. doplněné faktury je stejná jako původní lhůta a její běh počíná dnem doručení opravené nebo doplněné faktury. </w:t>
      </w:r>
    </w:p>
    <w:p w14:paraId="7A0549BC" w14:textId="77777777" w:rsidR="00D66D16" w:rsidRPr="006901D5" w:rsidRDefault="00D66D16" w:rsidP="006901D5">
      <w:pPr>
        <w:pStyle w:val="Styl1"/>
        <w:tabs>
          <w:tab w:val="left" w:pos="360"/>
        </w:tabs>
        <w:spacing w:before="120" w:after="120"/>
        <w:ind w:left="709"/>
        <w:jc w:val="both"/>
        <w:rPr>
          <w:rFonts w:cs="Arial"/>
          <w:color w:val="000000"/>
          <w:sz w:val="20"/>
        </w:rPr>
      </w:pPr>
      <w:r w:rsidRPr="006901D5">
        <w:rPr>
          <w:rFonts w:cs="Arial"/>
          <w:color w:val="000000"/>
          <w:sz w:val="20"/>
        </w:rPr>
        <w:t>Smluvní strany se dohodly, že objednatel neposkytuje zhotoviteli zálohy.</w:t>
      </w:r>
    </w:p>
    <w:p w14:paraId="37EA9960" w14:textId="21419A3B" w:rsidR="00D66D16" w:rsidRPr="006901D5" w:rsidRDefault="00D66D16" w:rsidP="00D66D16">
      <w:pPr>
        <w:pStyle w:val="Styl1"/>
        <w:tabs>
          <w:tab w:val="left" w:pos="360"/>
        </w:tabs>
        <w:ind w:left="708"/>
        <w:jc w:val="both"/>
        <w:rPr>
          <w:rFonts w:cs="Arial"/>
          <w:sz w:val="20"/>
        </w:rPr>
      </w:pPr>
      <w:r w:rsidRPr="006901D5">
        <w:rPr>
          <w:rFonts w:cs="Arial"/>
          <w:sz w:val="20"/>
        </w:rPr>
        <w:t xml:space="preserve">Objednatel upozorňuje zhotovitele, že u této zakázky </w:t>
      </w:r>
      <w:r w:rsidR="003A5C71">
        <w:rPr>
          <w:rFonts w:cs="Arial"/>
          <w:sz w:val="20"/>
        </w:rPr>
        <w:t>ne</w:t>
      </w:r>
      <w:r w:rsidRPr="003A5C71">
        <w:rPr>
          <w:rFonts w:cs="Arial"/>
          <w:sz w:val="20"/>
        </w:rPr>
        <w:t>dojde</w:t>
      </w:r>
      <w:r w:rsidRPr="006901D5">
        <w:rPr>
          <w:rFonts w:cs="Arial"/>
          <w:sz w:val="20"/>
        </w:rPr>
        <w:t xml:space="preserve"> k uplatnění režimu přenesené daňové povinnosti dle § 92e zákona č. 235/2004 Sb., o dani z přidané hodnoty, ve znění pozdějších předpisů (dále jen „zákon o DPH“).</w:t>
      </w:r>
    </w:p>
    <w:p w14:paraId="3E0AB6E4" w14:textId="77777777" w:rsidR="00D66D16" w:rsidRPr="006901D5" w:rsidRDefault="00D66D16" w:rsidP="006901D5">
      <w:pPr>
        <w:pStyle w:val="Styl1"/>
        <w:tabs>
          <w:tab w:val="left" w:pos="360"/>
        </w:tabs>
        <w:spacing w:before="120" w:after="120"/>
        <w:ind w:left="709"/>
        <w:jc w:val="both"/>
        <w:rPr>
          <w:rFonts w:cs="Arial"/>
          <w:iCs/>
          <w:sz w:val="20"/>
        </w:rPr>
      </w:pPr>
      <w:r w:rsidRPr="006901D5">
        <w:rPr>
          <w:rFonts w:cs="Arial"/>
          <w:color w:val="000000"/>
          <w:sz w:val="20"/>
        </w:rPr>
        <w:t>Platby budou probíhat výhradně v Kč a rovněž veškeré cenové údaje budou v této měně.</w:t>
      </w:r>
    </w:p>
    <w:p w14:paraId="3C171974" w14:textId="456A5825" w:rsidR="00D66D16" w:rsidRPr="006901D5" w:rsidRDefault="00D66D16" w:rsidP="00D66D16">
      <w:pPr>
        <w:pStyle w:val="Styl1"/>
        <w:tabs>
          <w:tab w:val="left" w:pos="360"/>
        </w:tabs>
        <w:ind w:left="708"/>
        <w:jc w:val="both"/>
        <w:rPr>
          <w:rFonts w:cs="Arial"/>
          <w:color w:val="000000"/>
          <w:sz w:val="20"/>
        </w:rPr>
      </w:pPr>
      <w:r w:rsidRPr="006901D5">
        <w:rPr>
          <w:rFonts w:cs="Arial"/>
          <w:color w:val="000000"/>
          <w:sz w:val="20"/>
        </w:rPr>
        <w:t>Daňové doklady budou opatřené názvem:</w:t>
      </w:r>
      <w:r w:rsidRPr="006901D5">
        <w:rPr>
          <w:rFonts w:cs="Arial"/>
          <w:sz w:val="20"/>
        </w:rPr>
        <w:t xml:space="preserve"> </w:t>
      </w:r>
      <w:r w:rsidR="00A32A78">
        <w:rPr>
          <w:rFonts w:cs="Arial"/>
          <w:sz w:val="20"/>
        </w:rPr>
        <w:t>„</w:t>
      </w:r>
      <w:r w:rsidR="006901D5">
        <w:rPr>
          <w:rFonts w:cs="Arial"/>
          <w:sz w:val="20"/>
        </w:rPr>
        <w:t>Výměna výtahu</w:t>
      </w:r>
      <w:r w:rsidR="00A32A78">
        <w:rPr>
          <w:rFonts w:cs="Arial"/>
          <w:sz w:val="20"/>
        </w:rPr>
        <w:t xml:space="preserve">, </w:t>
      </w:r>
      <w:r w:rsidR="006901D5">
        <w:rPr>
          <w:rFonts w:cs="Arial"/>
          <w:sz w:val="20"/>
        </w:rPr>
        <w:t>Hofmanova 574</w:t>
      </w:r>
      <w:r w:rsidRPr="006901D5">
        <w:rPr>
          <w:rFonts w:cs="Arial"/>
          <w:sz w:val="20"/>
        </w:rPr>
        <w:t>, Jičín</w:t>
      </w:r>
      <w:r w:rsidR="00A32A78">
        <w:rPr>
          <w:rFonts w:cs="Arial"/>
          <w:color w:val="000000"/>
          <w:sz w:val="20"/>
        </w:rPr>
        <w:t>“</w:t>
      </w:r>
      <w:r w:rsidRPr="006901D5">
        <w:rPr>
          <w:rFonts w:cs="Arial"/>
          <w:color w:val="000000"/>
          <w:sz w:val="20"/>
        </w:rPr>
        <w:t xml:space="preserve"> a budou adresovány na objednatele a budou mít náležitosti podle příslušných předpisů (např. zákon o DPH). Nebude-li mít faktura příslušné náležitosti, je objednavatel oprávněn doklad vrátit, aniž by běžela lhůta splatnosti;</w:t>
      </w:r>
    </w:p>
    <w:p w14:paraId="5D383BB3" w14:textId="77777777" w:rsidR="00D66D16" w:rsidRPr="006901D5" w:rsidRDefault="00D66D16" w:rsidP="00D66D16">
      <w:pPr>
        <w:pStyle w:val="Styl1"/>
        <w:tabs>
          <w:tab w:val="left" w:pos="360"/>
        </w:tabs>
        <w:ind w:left="708"/>
        <w:jc w:val="both"/>
        <w:rPr>
          <w:rFonts w:cs="Arial"/>
          <w:color w:val="000000"/>
          <w:sz w:val="20"/>
        </w:rPr>
      </w:pPr>
    </w:p>
    <w:p w14:paraId="51572395" w14:textId="77777777" w:rsidR="00D66D16" w:rsidRPr="006901D5" w:rsidRDefault="00D66D16" w:rsidP="00D66D16">
      <w:pPr>
        <w:pStyle w:val="Styl1"/>
        <w:tabs>
          <w:tab w:val="left" w:pos="360"/>
        </w:tabs>
        <w:ind w:left="426" w:hanging="426"/>
        <w:jc w:val="both"/>
        <w:rPr>
          <w:rFonts w:cs="Arial"/>
          <w:color w:val="000000"/>
          <w:sz w:val="20"/>
        </w:rPr>
      </w:pPr>
      <w:r w:rsidRPr="006901D5">
        <w:rPr>
          <w:rFonts w:cs="Arial"/>
          <w:sz w:val="20"/>
        </w:rPr>
        <w:tab/>
        <w:t xml:space="preserve">d) </w:t>
      </w:r>
      <w:r w:rsidRPr="006901D5">
        <w:rPr>
          <w:rFonts w:cs="Arial"/>
          <w:sz w:val="20"/>
        </w:rPr>
        <w:tab/>
      </w:r>
      <w:r w:rsidRPr="006901D5">
        <w:rPr>
          <w:rFonts w:cs="Arial"/>
          <w:sz w:val="20"/>
          <w:u w:val="single"/>
        </w:rPr>
        <w:t>Vlastnictví a nebezpečí škody</w:t>
      </w:r>
    </w:p>
    <w:p w14:paraId="16FCF801" w14:textId="77777777" w:rsidR="00D66D16" w:rsidRPr="006901D5" w:rsidRDefault="00D66D16" w:rsidP="006901D5">
      <w:pPr>
        <w:spacing w:before="120" w:after="0"/>
        <w:ind w:left="709"/>
        <w:jc w:val="both"/>
        <w:rPr>
          <w:rFonts w:ascii="Arial" w:hAnsi="Arial" w:cs="Arial"/>
          <w:sz w:val="20"/>
          <w:szCs w:val="20"/>
        </w:rPr>
      </w:pPr>
      <w:r w:rsidRPr="006901D5">
        <w:rPr>
          <w:rFonts w:ascii="Arial" w:hAnsi="Arial" w:cs="Arial"/>
          <w:sz w:val="20"/>
          <w:szCs w:val="20"/>
        </w:rPr>
        <w:t>Zhotovitel nese od doby předání staveniště do předání a převzetí hotového díla nebezpečí škody a jiné nebezpečí:</w:t>
      </w:r>
    </w:p>
    <w:p w14:paraId="01C2EEEC" w14:textId="19ABAC27" w:rsidR="00D66D16" w:rsidRPr="006901D5" w:rsidRDefault="00D66D16" w:rsidP="006901D5">
      <w:pPr>
        <w:pStyle w:val="Odstavecseseznamem"/>
        <w:numPr>
          <w:ilvl w:val="0"/>
          <w:numId w:val="3"/>
        </w:numPr>
        <w:spacing w:after="0"/>
        <w:rPr>
          <w:rFonts w:ascii="Arial" w:hAnsi="Arial" w:cs="Arial"/>
          <w:sz w:val="20"/>
          <w:szCs w:val="20"/>
        </w:rPr>
      </w:pPr>
      <w:r w:rsidRPr="006901D5">
        <w:rPr>
          <w:rFonts w:ascii="Arial" w:hAnsi="Arial" w:cs="Arial"/>
          <w:sz w:val="20"/>
          <w:szCs w:val="20"/>
        </w:rPr>
        <w:t>na díle a všech jeho zhotovovaných, upravovaných, dalších částech,</w:t>
      </w:r>
    </w:p>
    <w:p w14:paraId="2E547BD3" w14:textId="4F461142" w:rsidR="00D66D16" w:rsidRPr="006901D5" w:rsidRDefault="00D66D16" w:rsidP="006901D5">
      <w:pPr>
        <w:pStyle w:val="Odstavecseseznamem"/>
        <w:numPr>
          <w:ilvl w:val="0"/>
          <w:numId w:val="3"/>
        </w:numPr>
        <w:spacing w:after="0"/>
        <w:rPr>
          <w:rFonts w:ascii="Arial" w:hAnsi="Arial" w:cs="Arial"/>
          <w:sz w:val="20"/>
          <w:szCs w:val="20"/>
        </w:rPr>
      </w:pPr>
      <w:r w:rsidRPr="006901D5">
        <w:rPr>
          <w:rFonts w:ascii="Arial" w:hAnsi="Arial" w:cs="Arial"/>
          <w:sz w:val="20"/>
          <w:szCs w:val="20"/>
        </w:rPr>
        <w:t>na částech či součástech díla, které jsou na staveništi uskladněny,</w:t>
      </w:r>
    </w:p>
    <w:p w14:paraId="7A1F07F2" w14:textId="1AA31687" w:rsidR="00D66D16" w:rsidRPr="006901D5" w:rsidRDefault="00D66D16" w:rsidP="006901D5">
      <w:pPr>
        <w:pStyle w:val="Odstavecseseznamem"/>
        <w:numPr>
          <w:ilvl w:val="0"/>
          <w:numId w:val="3"/>
        </w:numPr>
        <w:spacing w:after="0"/>
        <w:rPr>
          <w:rFonts w:ascii="Arial" w:hAnsi="Arial" w:cs="Arial"/>
          <w:sz w:val="20"/>
          <w:szCs w:val="20"/>
        </w:rPr>
      </w:pPr>
      <w:r w:rsidRPr="006901D5">
        <w:rPr>
          <w:rFonts w:ascii="Arial" w:hAnsi="Arial" w:cs="Arial"/>
          <w:sz w:val="20"/>
          <w:szCs w:val="20"/>
        </w:rPr>
        <w:t>na plochách, stávajících prostorech a budovách, a to ode dne jejich převzetí zhotovitelem do doby ukončení díla, pokud v jednotlivých případech nebude dohodnuto jinak,</w:t>
      </w:r>
    </w:p>
    <w:p w14:paraId="1380CBE6" w14:textId="632CBE82" w:rsidR="00D66D16" w:rsidRPr="006901D5" w:rsidRDefault="00D66D16" w:rsidP="006901D5">
      <w:pPr>
        <w:pStyle w:val="Odstavecseseznamem"/>
        <w:numPr>
          <w:ilvl w:val="0"/>
          <w:numId w:val="3"/>
        </w:numPr>
        <w:spacing w:after="0"/>
        <w:rPr>
          <w:rFonts w:ascii="Arial" w:hAnsi="Arial" w:cs="Arial"/>
          <w:sz w:val="20"/>
          <w:szCs w:val="20"/>
        </w:rPr>
      </w:pPr>
      <w:r w:rsidRPr="006901D5">
        <w:rPr>
          <w:rFonts w:ascii="Arial" w:hAnsi="Arial" w:cs="Arial"/>
          <w:sz w:val="20"/>
          <w:szCs w:val="20"/>
        </w:rPr>
        <w:t>na majetku, zdraví a právech třetích osob v souvislosti s prováděním díla.</w:t>
      </w:r>
    </w:p>
    <w:p w14:paraId="4F1AE921" w14:textId="77777777" w:rsidR="00D66D16" w:rsidRPr="006901D5" w:rsidRDefault="00D66D16" w:rsidP="00D66D16">
      <w:pPr>
        <w:spacing w:after="0"/>
        <w:ind w:left="708"/>
        <w:jc w:val="both"/>
        <w:rPr>
          <w:rFonts w:ascii="Arial" w:hAnsi="Arial" w:cs="Arial"/>
          <w:sz w:val="20"/>
          <w:szCs w:val="20"/>
        </w:rPr>
      </w:pPr>
      <w:r w:rsidRPr="006901D5">
        <w:rPr>
          <w:rFonts w:ascii="Arial" w:hAnsi="Arial" w:cs="Arial"/>
          <w:sz w:val="20"/>
          <w:szCs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566E8821" w14:textId="77777777" w:rsidR="00D66D16" w:rsidRPr="006901D5" w:rsidRDefault="00D66D16" w:rsidP="00D66D16">
      <w:pPr>
        <w:spacing w:after="0"/>
        <w:ind w:left="708"/>
        <w:jc w:val="both"/>
        <w:rPr>
          <w:rFonts w:ascii="Arial" w:hAnsi="Arial" w:cs="Arial"/>
          <w:sz w:val="20"/>
          <w:szCs w:val="20"/>
        </w:rPr>
      </w:pPr>
    </w:p>
    <w:p w14:paraId="69693E77" w14:textId="77777777" w:rsidR="00D66D16" w:rsidRPr="006901D5" w:rsidRDefault="00D66D16" w:rsidP="006901D5">
      <w:pPr>
        <w:spacing w:before="120" w:after="0"/>
        <w:ind w:left="709"/>
        <w:jc w:val="both"/>
        <w:rPr>
          <w:rFonts w:ascii="Arial" w:hAnsi="Arial" w:cs="Arial"/>
          <w:sz w:val="20"/>
          <w:szCs w:val="20"/>
        </w:rPr>
      </w:pPr>
      <w:r w:rsidRPr="006901D5">
        <w:rPr>
          <w:rFonts w:ascii="Arial" w:hAnsi="Arial" w:cs="Arial"/>
          <w:sz w:val="20"/>
          <w:szCs w:val="20"/>
        </w:rPr>
        <w:lastRenderedPageBreak/>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58E4B54" w14:textId="73A3315C" w:rsidR="00D66D16" w:rsidRPr="006901D5" w:rsidRDefault="00D66D16" w:rsidP="006901D5">
      <w:pPr>
        <w:pStyle w:val="Odstavecseseznamem"/>
        <w:numPr>
          <w:ilvl w:val="0"/>
          <w:numId w:val="4"/>
        </w:numPr>
        <w:spacing w:after="0"/>
        <w:rPr>
          <w:rFonts w:ascii="Arial" w:hAnsi="Arial" w:cs="Arial"/>
          <w:sz w:val="20"/>
          <w:szCs w:val="20"/>
        </w:rPr>
      </w:pPr>
      <w:r w:rsidRPr="006901D5">
        <w:rPr>
          <w:rFonts w:ascii="Arial" w:hAnsi="Arial" w:cs="Arial"/>
          <w:sz w:val="20"/>
          <w:szCs w:val="20"/>
        </w:rPr>
        <w:t>pomocné stavební konstrukce všeho druhu nutné k provedení díla (lešení, podpěrné konstrukce atp.),</w:t>
      </w:r>
    </w:p>
    <w:p w14:paraId="3EEC7ECD" w14:textId="052FA39E" w:rsidR="00D66D16" w:rsidRPr="006901D5" w:rsidRDefault="00D66D16" w:rsidP="006901D5">
      <w:pPr>
        <w:pStyle w:val="Odstavecseseznamem"/>
        <w:numPr>
          <w:ilvl w:val="0"/>
          <w:numId w:val="4"/>
        </w:numPr>
        <w:spacing w:after="0"/>
        <w:rPr>
          <w:rFonts w:ascii="Arial" w:hAnsi="Arial" w:cs="Arial"/>
          <w:sz w:val="20"/>
          <w:szCs w:val="20"/>
        </w:rPr>
      </w:pPr>
      <w:r w:rsidRPr="006901D5">
        <w:rPr>
          <w:rFonts w:ascii="Arial" w:hAnsi="Arial" w:cs="Arial"/>
          <w:sz w:val="20"/>
          <w:szCs w:val="20"/>
        </w:rPr>
        <w:t>zařízení staveniště provozního, výrobního i sociálního charakteru,</w:t>
      </w:r>
    </w:p>
    <w:p w14:paraId="74C9612C" w14:textId="4C4A6094" w:rsidR="00D66D16" w:rsidRPr="006901D5" w:rsidRDefault="00D66D16" w:rsidP="006901D5">
      <w:pPr>
        <w:pStyle w:val="Odstavecseseznamem"/>
        <w:numPr>
          <w:ilvl w:val="0"/>
          <w:numId w:val="4"/>
        </w:numPr>
        <w:spacing w:after="0"/>
        <w:ind w:left="1423" w:hanging="357"/>
        <w:contextualSpacing w:val="0"/>
        <w:rPr>
          <w:rFonts w:ascii="Arial" w:hAnsi="Arial" w:cs="Arial"/>
          <w:sz w:val="20"/>
          <w:szCs w:val="20"/>
        </w:rPr>
      </w:pPr>
      <w:r w:rsidRPr="006901D5">
        <w:rPr>
          <w:rFonts w:ascii="Arial" w:hAnsi="Arial" w:cs="Arial"/>
          <w:sz w:val="20"/>
          <w:szCs w:val="20"/>
        </w:rPr>
        <w:t>ostatní provizorní konstrukce a objekty v rozsahu vymezeném příslušnou dokumentací a smlouvou, a to jak vůči objednateli, tak vůči třetím osobám.</w:t>
      </w:r>
    </w:p>
    <w:p w14:paraId="6CA1BCFC" w14:textId="77777777" w:rsidR="00D66D16" w:rsidRPr="006901D5" w:rsidRDefault="00D66D16" w:rsidP="006901D5">
      <w:pPr>
        <w:spacing w:before="120" w:after="0"/>
        <w:ind w:left="709"/>
        <w:jc w:val="both"/>
        <w:rPr>
          <w:rFonts w:ascii="Arial" w:hAnsi="Arial" w:cs="Arial"/>
          <w:sz w:val="20"/>
          <w:szCs w:val="20"/>
        </w:rPr>
      </w:pPr>
      <w:r w:rsidRPr="006901D5">
        <w:rPr>
          <w:rFonts w:ascii="Arial" w:hAnsi="Arial" w:cs="Arial"/>
          <w:sz w:val="20"/>
          <w:szCs w:val="20"/>
        </w:rPr>
        <w:t>Předání a převzetí staveniště nemá vliv na odpovědnost za škodu podle obecně závazných předpisů, jakož i škodu způsobenou vadným provedením díla nebo jiným porušením závazku zhotovitele.</w:t>
      </w:r>
    </w:p>
    <w:p w14:paraId="13DBEDE2" w14:textId="77777777" w:rsidR="00D66D16" w:rsidRPr="006901D5" w:rsidRDefault="00D66D16" w:rsidP="00486FED">
      <w:pPr>
        <w:spacing w:before="120" w:after="120"/>
        <w:ind w:left="709"/>
        <w:jc w:val="both"/>
        <w:rPr>
          <w:rFonts w:ascii="Arial" w:hAnsi="Arial" w:cs="Arial"/>
          <w:sz w:val="20"/>
          <w:szCs w:val="20"/>
        </w:rPr>
      </w:pPr>
      <w:r w:rsidRPr="006901D5">
        <w:rPr>
          <w:rFonts w:ascii="Arial" w:hAnsi="Arial" w:cs="Arial"/>
          <w:sz w:val="20"/>
          <w:szCs w:val="20"/>
        </w:rPr>
        <w:t>Smluvní strany se dohodly, že vlastníkem zhotovovaného díla a jeho oddělitelných částí i součástí a příslušenství je od počátku objednatel.</w:t>
      </w:r>
    </w:p>
    <w:p w14:paraId="312D93EA" w14:textId="2712294E" w:rsidR="00D66D16" w:rsidRPr="006901D5" w:rsidRDefault="00D66D16" w:rsidP="00486FED">
      <w:pPr>
        <w:ind w:left="708"/>
        <w:jc w:val="both"/>
        <w:rPr>
          <w:rFonts w:ascii="Arial" w:hAnsi="Arial" w:cs="Arial"/>
          <w:sz w:val="20"/>
          <w:szCs w:val="20"/>
        </w:rPr>
      </w:pPr>
      <w:r w:rsidRPr="006901D5">
        <w:rPr>
          <w:rFonts w:ascii="Arial" w:hAnsi="Arial" w:cs="Arial"/>
          <w:sz w:val="20"/>
          <w:szCs w:val="20"/>
        </w:rPr>
        <w:t xml:space="preserve">Zhotovitel odpovídá za poškození stávajících inženýrských sítí a cizích zařízení, k němuž došlo činností či nečinností zhotovitele nebo jeho subdodavatelů. </w:t>
      </w:r>
    </w:p>
    <w:p w14:paraId="3C9058BE" w14:textId="189093BC" w:rsidR="00D66D16" w:rsidRPr="006901D5" w:rsidRDefault="00D66D16" w:rsidP="00D66D16">
      <w:pPr>
        <w:ind w:left="708"/>
        <w:jc w:val="both"/>
        <w:rPr>
          <w:rFonts w:ascii="Arial" w:hAnsi="Arial" w:cs="Arial"/>
          <w:sz w:val="20"/>
          <w:szCs w:val="20"/>
        </w:rPr>
      </w:pPr>
      <w:r w:rsidRPr="006901D5">
        <w:rPr>
          <w:rFonts w:ascii="Arial" w:hAnsi="Arial" w:cs="Arial"/>
          <w:sz w:val="20"/>
          <w:szCs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ve výši 0,</w:t>
      </w:r>
      <w:r w:rsidR="005825B2">
        <w:rPr>
          <w:rFonts w:ascii="Arial" w:hAnsi="Arial" w:cs="Arial"/>
          <w:sz w:val="20"/>
          <w:szCs w:val="20"/>
        </w:rPr>
        <w:t>1</w:t>
      </w:r>
      <w:r w:rsidRPr="006901D5">
        <w:rPr>
          <w:rFonts w:ascii="Arial" w:hAnsi="Arial" w:cs="Arial"/>
          <w:sz w:val="20"/>
          <w:szCs w:val="20"/>
        </w:rPr>
        <w:t>% z celkových nákladů díla.</w:t>
      </w:r>
    </w:p>
    <w:p w14:paraId="08A9379C" w14:textId="77777777" w:rsidR="00D66D16" w:rsidRPr="006901D5" w:rsidRDefault="00D66D16" w:rsidP="00D66D16">
      <w:pPr>
        <w:ind w:left="708"/>
        <w:jc w:val="both"/>
        <w:rPr>
          <w:rFonts w:ascii="Arial" w:hAnsi="Arial" w:cs="Arial"/>
          <w:sz w:val="20"/>
          <w:szCs w:val="20"/>
        </w:rPr>
      </w:pPr>
      <w:r w:rsidRPr="006901D5">
        <w:rPr>
          <w:rFonts w:ascii="Arial" w:hAnsi="Arial" w:cs="Arial"/>
          <w:color w:val="000000"/>
          <w:sz w:val="20"/>
          <w:szCs w:val="20"/>
        </w:rPr>
        <w:t xml:space="preserve">Zhotovitel je povinen být pojištěn proti škodám způsobeným jeho činností včetně možných škod způsobených pracovníky zhotovitele. </w:t>
      </w:r>
      <w:r w:rsidRPr="006901D5">
        <w:rPr>
          <w:rFonts w:ascii="Arial" w:hAnsi="Arial" w:cs="Arial"/>
          <w:bCs/>
          <w:color w:val="000000"/>
          <w:sz w:val="20"/>
          <w:szCs w:val="20"/>
        </w:rPr>
        <w:t xml:space="preserve">Zhotovitel v této souvislosti prohlašuje, že má uzavřené pojištění odpovědnosti za škodu způsobenou třetím osobám při výkonu povolání. </w:t>
      </w:r>
      <w:r w:rsidRPr="006901D5">
        <w:rPr>
          <w:rFonts w:ascii="Arial" w:hAnsi="Arial"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5EC71331" w14:textId="77777777" w:rsidR="00D66D16" w:rsidRPr="006901D5" w:rsidRDefault="00D66D16" w:rsidP="00D66D16">
      <w:pPr>
        <w:ind w:left="708"/>
        <w:jc w:val="both"/>
        <w:rPr>
          <w:rFonts w:ascii="Arial" w:hAnsi="Arial" w:cs="Arial"/>
          <w:sz w:val="20"/>
          <w:szCs w:val="20"/>
        </w:rPr>
      </w:pPr>
      <w:r w:rsidRPr="006901D5">
        <w:rPr>
          <w:rFonts w:ascii="Arial" w:hAnsi="Arial" w:cs="Arial"/>
          <w:color w:val="000000"/>
          <w:sz w:val="20"/>
          <w:szCs w:val="20"/>
        </w:rPr>
        <w:t>Zhotovitel odpovídá i za škodu na díle způsobenou činností těch, kteří pro něj dílo a s tím související činnosti provádějí.</w:t>
      </w:r>
    </w:p>
    <w:p w14:paraId="16382F7F" w14:textId="77777777" w:rsidR="00D66D16" w:rsidRPr="006901D5" w:rsidRDefault="00D66D16" w:rsidP="00D66D16">
      <w:pPr>
        <w:pStyle w:val="Styl1"/>
        <w:tabs>
          <w:tab w:val="left" w:pos="0"/>
        </w:tabs>
        <w:jc w:val="both"/>
        <w:rPr>
          <w:rFonts w:cs="Arial"/>
          <w:color w:val="000000"/>
          <w:sz w:val="20"/>
          <w:u w:val="single"/>
        </w:rPr>
      </w:pPr>
    </w:p>
    <w:p w14:paraId="0482D5CF" w14:textId="77777777" w:rsidR="00D66D16" w:rsidRPr="006901D5" w:rsidRDefault="00D66D16" w:rsidP="00D66D16">
      <w:pPr>
        <w:pStyle w:val="Odstavecseseznamem"/>
        <w:numPr>
          <w:ilvl w:val="0"/>
          <w:numId w:val="2"/>
        </w:numPr>
        <w:rPr>
          <w:rFonts w:ascii="Arial" w:hAnsi="Arial" w:cs="Arial"/>
          <w:sz w:val="20"/>
          <w:szCs w:val="20"/>
          <w:u w:val="single"/>
        </w:rPr>
      </w:pPr>
      <w:r w:rsidRPr="006901D5">
        <w:rPr>
          <w:rFonts w:ascii="Arial" w:hAnsi="Arial" w:cs="Arial"/>
          <w:sz w:val="20"/>
          <w:szCs w:val="20"/>
          <w:u w:val="single"/>
        </w:rPr>
        <w:t>Smluvní pokuty</w:t>
      </w:r>
    </w:p>
    <w:p w14:paraId="2A51224B" w14:textId="77777777" w:rsidR="00D66D16" w:rsidRPr="006901D5" w:rsidRDefault="00D66D16" w:rsidP="00D66D16">
      <w:pPr>
        <w:ind w:left="708"/>
        <w:jc w:val="both"/>
        <w:rPr>
          <w:rFonts w:ascii="Arial" w:hAnsi="Arial" w:cs="Arial"/>
          <w:sz w:val="20"/>
          <w:szCs w:val="20"/>
        </w:rPr>
      </w:pPr>
      <w:r w:rsidRPr="006901D5">
        <w:rPr>
          <w:rFonts w:ascii="Arial" w:hAnsi="Arial" w:cs="Arial"/>
          <w:sz w:val="20"/>
          <w:szCs w:val="20"/>
        </w:rPr>
        <w:t>V případě nesplnění závazků vyplývajících z této smlouvy, vzniká straně oprávněné právo požadovat na straně povinné tyto smluvní pokuty:</w:t>
      </w:r>
    </w:p>
    <w:p w14:paraId="059D64A7" w14:textId="77777777" w:rsidR="00D66D16" w:rsidRPr="006901D5" w:rsidRDefault="00D66D16" w:rsidP="00486FED">
      <w:pPr>
        <w:spacing w:after="0"/>
        <w:ind w:firstLine="709"/>
        <w:jc w:val="both"/>
        <w:rPr>
          <w:rFonts w:ascii="Arial" w:hAnsi="Arial" w:cs="Arial"/>
          <w:b/>
          <w:sz w:val="20"/>
          <w:szCs w:val="20"/>
        </w:rPr>
      </w:pPr>
      <w:r w:rsidRPr="006901D5">
        <w:rPr>
          <w:rFonts w:ascii="Arial" w:hAnsi="Arial" w:cs="Arial"/>
          <w:snapToGrid w:val="0"/>
          <w:sz w:val="20"/>
          <w:szCs w:val="20"/>
        </w:rPr>
        <w:t>Objednatel má právo požadovat na zhotoviteli smluvní pokutu:</w:t>
      </w:r>
    </w:p>
    <w:p w14:paraId="022B0023" w14:textId="3E0DE142" w:rsidR="00D66D16" w:rsidRPr="006901D5" w:rsidRDefault="00D66D16" w:rsidP="00486FED">
      <w:pPr>
        <w:pStyle w:val="Odstavecseseznamem"/>
        <w:numPr>
          <w:ilvl w:val="0"/>
          <w:numId w:val="5"/>
        </w:numPr>
        <w:spacing w:after="0"/>
        <w:ind w:left="1423" w:hanging="357"/>
        <w:contextualSpacing w:val="0"/>
        <w:rPr>
          <w:rFonts w:ascii="Arial" w:hAnsi="Arial" w:cs="Arial"/>
          <w:sz w:val="20"/>
          <w:szCs w:val="20"/>
        </w:rPr>
      </w:pPr>
      <w:r w:rsidRPr="006901D5">
        <w:rPr>
          <w:rFonts w:ascii="Arial" w:hAnsi="Arial" w:cs="Arial"/>
          <w:snapToGrid w:val="0"/>
          <w:sz w:val="20"/>
          <w:szCs w:val="20"/>
        </w:rPr>
        <w:t xml:space="preserve">pro případ prodlení zhotovitele s termíny ve výši </w:t>
      </w:r>
      <w:r w:rsidR="005825B2">
        <w:rPr>
          <w:rFonts w:ascii="Arial" w:hAnsi="Arial" w:cs="Arial"/>
          <w:snapToGrid w:val="0"/>
          <w:sz w:val="20"/>
          <w:szCs w:val="20"/>
        </w:rPr>
        <w:t>1</w:t>
      </w:r>
      <w:r w:rsidRPr="006901D5">
        <w:rPr>
          <w:rFonts w:ascii="Arial" w:hAnsi="Arial" w:cs="Arial"/>
          <w:snapToGrid w:val="0"/>
          <w:sz w:val="20"/>
          <w:szCs w:val="20"/>
        </w:rPr>
        <w:t>.000,- Kč za každý i započatý den</w:t>
      </w:r>
    </w:p>
    <w:p w14:paraId="46B0EB4C" w14:textId="3B563A35" w:rsidR="00D66D16" w:rsidRPr="006901D5" w:rsidRDefault="00D66D16" w:rsidP="00486FED">
      <w:pPr>
        <w:pStyle w:val="Odstavecseseznamem"/>
        <w:numPr>
          <w:ilvl w:val="0"/>
          <w:numId w:val="5"/>
        </w:numPr>
        <w:spacing w:after="0"/>
        <w:rPr>
          <w:rFonts w:ascii="Arial" w:hAnsi="Arial" w:cs="Arial"/>
          <w:sz w:val="20"/>
          <w:szCs w:val="20"/>
        </w:rPr>
      </w:pPr>
      <w:r w:rsidRPr="006901D5">
        <w:rPr>
          <w:rFonts w:ascii="Arial" w:hAnsi="Arial" w:cs="Arial"/>
          <w:snapToGrid w:val="0"/>
          <w:sz w:val="20"/>
          <w:szCs w:val="20"/>
        </w:rPr>
        <w:t>pro případ nedodržení termínu vyklizení staveniště zhotovitelem ve výši 500,- Kč za každý i započatý den</w:t>
      </w:r>
    </w:p>
    <w:p w14:paraId="0C3F9F60" w14:textId="48386B3B" w:rsidR="00D66D16" w:rsidRPr="006901D5" w:rsidRDefault="00D66D16" w:rsidP="00486FED">
      <w:pPr>
        <w:pStyle w:val="Odstavecseseznamem"/>
        <w:numPr>
          <w:ilvl w:val="0"/>
          <w:numId w:val="5"/>
        </w:numPr>
        <w:spacing w:after="0"/>
        <w:rPr>
          <w:rFonts w:ascii="Arial" w:hAnsi="Arial" w:cs="Arial"/>
          <w:sz w:val="20"/>
          <w:szCs w:val="20"/>
        </w:rPr>
      </w:pPr>
      <w:r w:rsidRPr="006901D5">
        <w:rPr>
          <w:rFonts w:ascii="Arial" w:hAnsi="Arial" w:cs="Arial"/>
          <w:color w:val="000000"/>
          <w:sz w:val="20"/>
          <w:szCs w:val="20"/>
        </w:rPr>
        <w:t xml:space="preserve">pro případ prodlení zhotovitele s odstraněním vad a nedodělků v dohodnuté lhůtě, dojde-li k převzetí díla s vadami a nedodělky, ve výši </w:t>
      </w:r>
      <w:r w:rsidR="005825B2">
        <w:rPr>
          <w:rFonts w:ascii="Arial" w:hAnsi="Arial" w:cs="Arial"/>
          <w:color w:val="000000"/>
          <w:sz w:val="20"/>
          <w:szCs w:val="20"/>
        </w:rPr>
        <w:t>5</w:t>
      </w:r>
      <w:r w:rsidRPr="006901D5">
        <w:rPr>
          <w:rFonts w:ascii="Arial" w:hAnsi="Arial" w:cs="Arial"/>
          <w:color w:val="000000"/>
          <w:sz w:val="20"/>
          <w:szCs w:val="20"/>
        </w:rPr>
        <w:t>00,- Kč za každý den prodlení a každou vadu až do doby jejího odstranění</w:t>
      </w:r>
    </w:p>
    <w:p w14:paraId="7FD1EB68" w14:textId="1F97B33D" w:rsidR="00D66D16" w:rsidRPr="006901D5" w:rsidRDefault="00D66D16" w:rsidP="00486FED">
      <w:pPr>
        <w:pStyle w:val="Odstavecseseznamem"/>
        <w:numPr>
          <w:ilvl w:val="0"/>
          <w:numId w:val="5"/>
        </w:numPr>
        <w:spacing w:after="0"/>
        <w:rPr>
          <w:rFonts w:ascii="Arial" w:hAnsi="Arial" w:cs="Arial"/>
          <w:sz w:val="20"/>
          <w:szCs w:val="20"/>
        </w:rPr>
      </w:pPr>
      <w:r w:rsidRPr="006901D5">
        <w:rPr>
          <w:rFonts w:ascii="Arial" w:hAnsi="Arial" w:cs="Arial"/>
          <w:color w:val="000000"/>
          <w:sz w:val="20"/>
          <w:szCs w:val="20"/>
        </w:rPr>
        <w:t xml:space="preserve">pro případ prodlení zhotovitele s odstraněním záručních vad ve výši </w:t>
      </w:r>
      <w:r w:rsidR="005825B2">
        <w:rPr>
          <w:rFonts w:ascii="Arial" w:hAnsi="Arial" w:cs="Arial"/>
          <w:color w:val="000000"/>
          <w:sz w:val="20"/>
          <w:szCs w:val="20"/>
        </w:rPr>
        <w:t>5</w:t>
      </w:r>
      <w:r w:rsidRPr="006901D5">
        <w:rPr>
          <w:rFonts w:ascii="Arial" w:hAnsi="Arial" w:cs="Arial"/>
          <w:color w:val="000000"/>
          <w:sz w:val="20"/>
          <w:szCs w:val="20"/>
        </w:rPr>
        <w:t>00,- Kč za každý den prodlení a každou vadu až do doby jejího odstranění</w:t>
      </w:r>
    </w:p>
    <w:p w14:paraId="3340E433" w14:textId="1419F7AC" w:rsidR="00D66D16" w:rsidRPr="006901D5" w:rsidRDefault="00D66D16" w:rsidP="00486FED">
      <w:pPr>
        <w:pStyle w:val="Odstavecseseznamem"/>
        <w:numPr>
          <w:ilvl w:val="0"/>
          <w:numId w:val="5"/>
        </w:numPr>
        <w:spacing w:after="0"/>
        <w:rPr>
          <w:rFonts w:ascii="Arial" w:hAnsi="Arial" w:cs="Arial"/>
          <w:sz w:val="20"/>
          <w:szCs w:val="20"/>
        </w:rPr>
      </w:pPr>
      <w:r w:rsidRPr="006901D5">
        <w:rPr>
          <w:rFonts w:ascii="Arial" w:hAnsi="Arial" w:cs="Arial"/>
          <w:color w:val="000000"/>
          <w:sz w:val="20"/>
          <w:szCs w:val="20"/>
        </w:rPr>
        <w:t xml:space="preserve">pro případ porušení povinnosti zhotovitele udržovat pojistnou smlouvu v platnosti ve výši </w:t>
      </w:r>
      <w:r w:rsidR="005825B2">
        <w:rPr>
          <w:rFonts w:ascii="Arial" w:hAnsi="Arial" w:cs="Arial"/>
          <w:color w:val="000000"/>
          <w:sz w:val="20"/>
          <w:szCs w:val="20"/>
        </w:rPr>
        <w:t>2</w:t>
      </w:r>
      <w:r w:rsidRPr="006901D5">
        <w:rPr>
          <w:rFonts w:ascii="Arial" w:hAnsi="Arial" w:cs="Arial"/>
          <w:color w:val="000000"/>
          <w:sz w:val="20"/>
          <w:szCs w:val="20"/>
        </w:rPr>
        <w:t>.000,- Kč za každý den prodlení</w:t>
      </w:r>
    </w:p>
    <w:p w14:paraId="5B7F5643" w14:textId="77777777" w:rsidR="00D66D16" w:rsidRPr="006901D5" w:rsidRDefault="00D66D16" w:rsidP="00D66D16">
      <w:pPr>
        <w:pStyle w:val="Odstavecseseznamem"/>
        <w:ind w:left="218"/>
        <w:rPr>
          <w:rFonts w:ascii="Arial" w:hAnsi="Arial" w:cs="Arial"/>
          <w:sz w:val="20"/>
          <w:szCs w:val="20"/>
        </w:rPr>
      </w:pPr>
    </w:p>
    <w:p w14:paraId="3F1D2B19" w14:textId="77777777" w:rsidR="00D66D16" w:rsidRPr="006901D5" w:rsidRDefault="00D66D16" w:rsidP="00D66D16">
      <w:pPr>
        <w:pStyle w:val="Odstavecseseznamem"/>
        <w:ind w:left="0" w:firstLine="708"/>
        <w:rPr>
          <w:rFonts w:ascii="Arial" w:hAnsi="Arial" w:cs="Arial"/>
          <w:sz w:val="20"/>
          <w:szCs w:val="20"/>
        </w:rPr>
      </w:pPr>
      <w:r w:rsidRPr="006901D5">
        <w:rPr>
          <w:rFonts w:ascii="Arial" w:hAnsi="Arial" w:cs="Arial"/>
          <w:snapToGrid w:val="0"/>
          <w:sz w:val="20"/>
          <w:szCs w:val="20"/>
        </w:rPr>
        <w:t>Zhotovitel má právo požadovat na objednateli smluvní pokutu:</w:t>
      </w:r>
    </w:p>
    <w:p w14:paraId="5D0B20FE" w14:textId="5144D09F" w:rsidR="00D66D16" w:rsidRPr="006901D5" w:rsidRDefault="00D66D16" w:rsidP="00486FED">
      <w:pPr>
        <w:pStyle w:val="Odstavecseseznamem"/>
        <w:numPr>
          <w:ilvl w:val="0"/>
          <w:numId w:val="6"/>
        </w:numPr>
        <w:spacing w:after="0"/>
        <w:rPr>
          <w:rFonts w:ascii="Arial" w:hAnsi="Arial" w:cs="Arial"/>
          <w:sz w:val="20"/>
          <w:szCs w:val="20"/>
        </w:rPr>
      </w:pPr>
      <w:r w:rsidRPr="006901D5">
        <w:rPr>
          <w:rFonts w:ascii="Arial" w:hAnsi="Arial" w:cs="Arial"/>
          <w:sz w:val="20"/>
          <w:szCs w:val="20"/>
        </w:rPr>
        <w:t>pro případ prodlení objednatele s úhradou oprávněných faktur ve výši 0,1 % z dlužné částky za každý den prodlení</w:t>
      </w:r>
    </w:p>
    <w:p w14:paraId="0EFD91FC" w14:textId="6A417A26" w:rsidR="00D66D16" w:rsidRPr="006901D5" w:rsidRDefault="00D66D16" w:rsidP="00486FED">
      <w:pPr>
        <w:pStyle w:val="Odstavecseseznamem"/>
        <w:numPr>
          <w:ilvl w:val="0"/>
          <w:numId w:val="6"/>
        </w:numPr>
        <w:spacing w:after="0"/>
        <w:rPr>
          <w:rFonts w:ascii="Arial" w:hAnsi="Arial" w:cs="Arial"/>
          <w:sz w:val="20"/>
          <w:szCs w:val="20"/>
        </w:rPr>
      </w:pPr>
      <w:r w:rsidRPr="006901D5">
        <w:rPr>
          <w:rFonts w:ascii="Arial" w:hAnsi="Arial" w:cs="Arial"/>
          <w:sz w:val="20"/>
          <w:szCs w:val="20"/>
        </w:rPr>
        <w:t xml:space="preserve">pro případ, že se objednatel nebo jeho zástupce </w:t>
      </w:r>
      <w:r w:rsidRPr="006901D5">
        <w:rPr>
          <w:rFonts w:ascii="Arial" w:hAnsi="Arial" w:cs="Arial"/>
          <w:color w:val="000000"/>
          <w:sz w:val="20"/>
          <w:szCs w:val="20"/>
        </w:rPr>
        <w:t xml:space="preserve">bez předchozí omluvy nedostaví k zahájení předávání, byl-li řádně obeslán způsobem uvedeným ve smlouvě ve výši </w:t>
      </w:r>
      <w:r w:rsidR="005825B2">
        <w:rPr>
          <w:rFonts w:ascii="Arial" w:hAnsi="Arial" w:cs="Arial"/>
          <w:color w:val="000000"/>
          <w:sz w:val="20"/>
          <w:szCs w:val="20"/>
        </w:rPr>
        <w:t>3</w:t>
      </w:r>
      <w:bookmarkStart w:id="0" w:name="_GoBack"/>
      <w:bookmarkEnd w:id="0"/>
      <w:r w:rsidRPr="006901D5">
        <w:rPr>
          <w:rFonts w:ascii="Arial" w:hAnsi="Arial" w:cs="Arial"/>
          <w:color w:val="000000"/>
          <w:sz w:val="20"/>
          <w:szCs w:val="20"/>
        </w:rPr>
        <w:t>00,- Kč.</w:t>
      </w:r>
    </w:p>
    <w:p w14:paraId="30D61EA1" w14:textId="77777777" w:rsidR="00D66D16" w:rsidRPr="006901D5" w:rsidRDefault="00D66D16" w:rsidP="00D66D16">
      <w:pPr>
        <w:pStyle w:val="Odstavecseseznamem"/>
        <w:ind w:left="567"/>
        <w:rPr>
          <w:rFonts w:ascii="Arial" w:hAnsi="Arial" w:cs="Arial"/>
          <w:sz w:val="20"/>
          <w:szCs w:val="20"/>
        </w:rPr>
      </w:pPr>
    </w:p>
    <w:p w14:paraId="2161D52A" w14:textId="77777777" w:rsidR="00D66D16" w:rsidRPr="006901D5" w:rsidRDefault="00D66D16" w:rsidP="00486FED">
      <w:pPr>
        <w:pStyle w:val="Odstavecseseznamem"/>
        <w:spacing w:before="120" w:after="120"/>
        <w:ind w:left="709"/>
        <w:contextualSpacing w:val="0"/>
        <w:rPr>
          <w:rFonts w:ascii="Arial" w:hAnsi="Arial" w:cs="Arial"/>
          <w:sz w:val="20"/>
          <w:szCs w:val="20"/>
        </w:rPr>
      </w:pPr>
      <w:r w:rsidRPr="006901D5">
        <w:rPr>
          <w:rFonts w:ascii="Arial" w:hAnsi="Arial" w:cs="Arial"/>
          <w:color w:val="000000"/>
          <w:sz w:val="20"/>
          <w:szCs w:val="20"/>
        </w:rPr>
        <w:t>Vznikem povinnosti hradit smluvní pokutu nebo jejím zaplacením není dotčen nárok na náhradu škody v plné výši.</w:t>
      </w:r>
    </w:p>
    <w:p w14:paraId="413B7B75" w14:textId="77777777" w:rsidR="00D66D16" w:rsidRPr="006901D5" w:rsidRDefault="00D66D16" w:rsidP="00486FED">
      <w:pPr>
        <w:pStyle w:val="Odstavecseseznamem"/>
        <w:spacing w:after="0"/>
        <w:ind w:left="709"/>
        <w:contextualSpacing w:val="0"/>
        <w:rPr>
          <w:rFonts w:ascii="Arial" w:hAnsi="Arial" w:cs="Arial"/>
          <w:color w:val="000000"/>
          <w:sz w:val="20"/>
          <w:szCs w:val="20"/>
        </w:rPr>
      </w:pPr>
      <w:r w:rsidRPr="006901D5">
        <w:rPr>
          <w:rFonts w:ascii="Arial" w:hAnsi="Arial" w:cs="Arial"/>
          <w:color w:val="000000"/>
          <w:sz w:val="20"/>
          <w:szCs w:val="20"/>
        </w:rPr>
        <w:t>Splatnost smluvních pokut je 14 dnů, a to na základě faktury vystavené oprávněnou smluvní stranou smluvní straně povinné.</w:t>
      </w:r>
    </w:p>
    <w:p w14:paraId="21FC111F" w14:textId="77777777" w:rsidR="00D66D16" w:rsidRPr="006901D5" w:rsidRDefault="00D66D16" w:rsidP="00486FED">
      <w:pPr>
        <w:pStyle w:val="Odstavecseseznamem"/>
        <w:spacing w:before="120" w:after="0"/>
        <w:ind w:left="709"/>
        <w:contextualSpacing w:val="0"/>
        <w:rPr>
          <w:rFonts w:ascii="Arial" w:hAnsi="Arial" w:cs="Arial"/>
          <w:sz w:val="20"/>
          <w:szCs w:val="20"/>
        </w:rPr>
      </w:pPr>
      <w:r w:rsidRPr="006901D5">
        <w:rPr>
          <w:rFonts w:ascii="Arial" w:hAnsi="Arial" w:cs="Arial"/>
          <w:color w:val="000000"/>
          <w:sz w:val="20"/>
          <w:szCs w:val="20"/>
        </w:rPr>
        <w:t>Smluvní strany prohlašují, že s ohledem na předmět této smlouvy a ve vazbě na sjednané závazky je výše smluvních pokut přiměřená a neodporuje dobrým mravům;</w:t>
      </w:r>
    </w:p>
    <w:p w14:paraId="5E298F07" w14:textId="77777777" w:rsidR="00D66D16" w:rsidRPr="006901D5" w:rsidRDefault="00D66D16" w:rsidP="00D66D16">
      <w:pPr>
        <w:pStyle w:val="Styl1"/>
        <w:tabs>
          <w:tab w:val="left" w:pos="0"/>
        </w:tabs>
        <w:jc w:val="both"/>
        <w:rPr>
          <w:rFonts w:cs="Arial"/>
          <w:color w:val="000000"/>
          <w:sz w:val="20"/>
        </w:rPr>
      </w:pPr>
    </w:p>
    <w:p w14:paraId="7B60E54B" w14:textId="77777777" w:rsidR="00D66D16" w:rsidRPr="006901D5" w:rsidRDefault="00D66D16" w:rsidP="00D66D16">
      <w:pPr>
        <w:pStyle w:val="Odstavecseseznamem"/>
        <w:numPr>
          <w:ilvl w:val="0"/>
          <w:numId w:val="2"/>
        </w:numPr>
        <w:rPr>
          <w:rFonts w:ascii="Arial" w:hAnsi="Arial" w:cs="Arial"/>
          <w:sz w:val="20"/>
          <w:szCs w:val="20"/>
          <w:u w:val="single"/>
        </w:rPr>
      </w:pPr>
      <w:r w:rsidRPr="006901D5">
        <w:rPr>
          <w:rFonts w:ascii="Arial" w:hAnsi="Arial" w:cs="Arial"/>
          <w:sz w:val="20"/>
          <w:szCs w:val="20"/>
          <w:u w:val="single"/>
        </w:rPr>
        <w:t>Závěrečná ustanovení</w:t>
      </w:r>
    </w:p>
    <w:p w14:paraId="4F4961B6" w14:textId="77777777" w:rsidR="00D66D16" w:rsidRPr="006901D5" w:rsidRDefault="00D66D16" w:rsidP="00D66D16">
      <w:pPr>
        <w:autoSpaceDE w:val="0"/>
        <w:autoSpaceDN w:val="0"/>
        <w:spacing w:after="0" w:line="240" w:lineRule="auto"/>
        <w:ind w:left="708"/>
        <w:jc w:val="both"/>
        <w:rPr>
          <w:rFonts w:ascii="Arial" w:hAnsi="Arial" w:cs="Arial"/>
          <w:sz w:val="20"/>
          <w:szCs w:val="20"/>
        </w:rPr>
      </w:pPr>
      <w:r w:rsidRPr="006901D5">
        <w:rPr>
          <w:rFonts w:ascii="Arial" w:hAnsi="Arial" w:cs="Arial"/>
          <w:sz w:val="20"/>
          <w:szCs w:val="20"/>
        </w:rPr>
        <w:t>Vzájemné vztahy smluvních stran, které nejsou výslovně dohodnuty v této smlouvě, se řídí příslušnými ustanoveními občanského zákoníku a dalšími obecně závaznými právními předpisy.</w:t>
      </w:r>
    </w:p>
    <w:p w14:paraId="4D365982" w14:textId="77777777" w:rsidR="00D66D16" w:rsidRPr="006901D5" w:rsidRDefault="00D66D16" w:rsidP="00486FED">
      <w:pPr>
        <w:autoSpaceDE w:val="0"/>
        <w:autoSpaceDN w:val="0"/>
        <w:spacing w:before="120" w:after="120" w:line="240" w:lineRule="auto"/>
        <w:ind w:left="709"/>
        <w:jc w:val="both"/>
        <w:rPr>
          <w:rFonts w:ascii="Arial" w:hAnsi="Arial" w:cs="Arial"/>
          <w:sz w:val="20"/>
          <w:szCs w:val="20"/>
        </w:rPr>
      </w:pPr>
      <w:r w:rsidRPr="006901D5">
        <w:rPr>
          <w:rFonts w:ascii="Arial" w:hAnsi="Arial" w:cs="Arial"/>
          <w:sz w:val="20"/>
          <w:szCs w:val="20"/>
        </w:rPr>
        <w:t>Tato smlouva může být měněna nebo doplňována pouze na základě dohody obou smluvních stran písemnými, číslovanými dodatky.</w:t>
      </w:r>
    </w:p>
    <w:p w14:paraId="3914BAA0" w14:textId="77777777" w:rsidR="00D66D16" w:rsidRPr="006901D5" w:rsidRDefault="00D66D16" w:rsidP="00D66D16">
      <w:pPr>
        <w:autoSpaceDE w:val="0"/>
        <w:autoSpaceDN w:val="0"/>
        <w:spacing w:after="0" w:line="240" w:lineRule="auto"/>
        <w:ind w:left="708"/>
        <w:jc w:val="both"/>
        <w:rPr>
          <w:rFonts w:ascii="Arial" w:hAnsi="Arial" w:cs="Arial"/>
          <w:sz w:val="20"/>
          <w:szCs w:val="20"/>
        </w:rPr>
      </w:pPr>
      <w:r w:rsidRPr="006901D5">
        <w:rPr>
          <w:rFonts w:ascii="Arial" w:hAnsi="Arial" w:cs="Arial"/>
          <w:sz w:val="20"/>
          <w:szCs w:val="20"/>
        </w:rPr>
        <w:t>Smlouva je vyhotovena ve dvou stejnopisech, z nichž má každý platnost originálu. Každá ze smluvních stran obdrží 1 paré.</w:t>
      </w:r>
    </w:p>
    <w:p w14:paraId="6B486344" w14:textId="77777777" w:rsidR="00D66D16" w:rsidRPr="006901D5" w:rsidRDefault="00D66D16" w:rsidP="00486FED">
      <w:pPr>
        <w:spacing w:before="120" w:after="120"/>
        <w:ind w:left="709" w:right="476"/>
        <w:rPr>
          <w:rFonts w:ascii="Arial" w:hAnsi="Arial" w:cs="Arial"/>
          <w:sz w:val="20"/>
          <w:szCs w:val="20"/>
          <w:lang w:val="en-US"/>
        </w:rPr>
      </w:pPr>
      <w:r w:rsidRPr="006901D5">
        <w:rPr>
          <w:rFonts w:ascii="Arial" w:hAnsi="Arial" w:cs="Arial"/>
          <w:sz w:val="20"/>
          <w:szCs w:val="20"/>
        </w:rPr>
        <w:t>Tato smlouva byla schválena Radou města Jičína usnesením č. …….ze dne ………...</w:t>
      </w:r>
    </w:p>
    <w:p w14:paraId="53150B0F" w14:textId="77777777" w:rsidR="00D66D16" w:rsidRPr="006901D5" w:rsidRDefault="00D66D16" w:rsidP="00D66D16">
      <w:pPr>
        <w:autoSpaceDE w:val="0"/>
        <w:autoSpaceDN w:val="0"/>
        <w:spacing w:after="0" w:line="240" w:lineRule="auto"/>
        <w:ind w:left="708"/>
        <w:jc w:val="both"/>
        <w:rPr>
          <w:rFonts w:ascii="Arial" w:hAnsi="Arial" w:cs="Arial"/>
          <w:sz w:val="20"/>
          <w:szCs w:val="20"/>
        </w:rPr>
      </w:pPr>
      <w:r w:rsidRPr="006901D5">
        <w:rPr>
          <w:rFonts w:ascii="Arial" w:hAnsi="Arial" w:cs="Arial"/>
          <w:sz w:val="20"/>
          <w:szCs w:val="20"/>
        </w:rPr>
        <w:t xml:space="preserve">Smlouva nabývá platnosti okamžikem jejího podpisu poslední smluvní stranou. Smlouva nabývá účinnosti dnem jejího uveřejnění v registru smluv podle zákona č. 340/2015 Sb., o zvláštních podmínkách účinnosti některých smluv, uveřejňování těchto smluv a o registru smluv. Vzhledem k tomu, že tato smlouva podléhá zveřejnění podle zákona č. 340/2015 Sb., smluvní strany se dohodly, že město, jenž je povinným subjektem dle ust. § 2 odst. 1 tohoto zákona, zašle neprodleně po uzavření smlouvu včetně metadat ve smyslu ust. § 5 odst. 2 a 5 zákona správci registru smluv k uveřejnění, s vyloučením, resp. znečitelněním těch informací, které jsou ze zákona vyňaty z povinnosti uveřejnění. </w:t>
      </w:r>
    </w:p>
    <w:p w14:paraId="695612E4" w14:textId="34A68BFF" w:rsidR="00D66D16" w:rsidRPr="006901D5" w:rsidRDefault="00D66D16" w:rsidP="00486FED">
      <w:pPr>
        <w:autoSpaceDE w:val="0"/>
        <w:autoSpaceDN w:val="0"/>
        <w:spacing w:before="120" w:after="0" w:line="240" w:lineRule="auto"/>
        <w:ind w:left="709"/>
        <w:jc w:val="both"/>
        <w:rPr>
          <w:rFonts w:ascii="Arial" w:hAnsi="Arial" w:cs="Arial"/>
          <w:sz w:val="20"/>
          <w:szCs w:val="20"/>
        </w:rPr>
      </w:pPr>
      <w:r w:rsidRPr="006901D5">
        <w:rPr>
          <w:rFonts w:ascii="Arial" w:hAnsi="Arial" w:cs="Arial"/>
          <w:sz w:val="20"/>
          <w:szCs w:val="20"/>
        </w:rPr>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14:paraId="21E4B48C" w14:textId="77777777" w:rsidR="005446C5" w:rsidRPr="006901D5" w:rsidRDefault="005446C5">
      <w:pPr>
        <w:rPr>
          <w:rFonts w:ascii="Arial" w:hAnsi="Arial" w:cs="Arial"/>
          <w:sz w:val="20"/>
          <w:szCs w:val="20"/>
        </w:rPr>
      </w:pPr>
    </w:p>
    <w:sectPr w:rsidR="005446C5" w:rsidRPr="006901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BA48" w14:textId="77777777" w:rsidR="007F78E6" w:rsidRDefault="007F78E6" w:rsidP="007F78E6">
      <w:pPr>
        <w:spacing w:after="0" w:line="240" w:lineRule="auto"/>
      </w:pPr>
      <w:r>
        <w:separator/>
      </w:r>
    </w:p>
  </w:endnote>
  <w:endnote w:type="continuationSeparator" w:id="0">
    <w:p w14:paraId="7D40FCC9" w14:textId="77777777" w:rsidR="007F78E6" w:rsidRDefault="007F78E6" w:rsidP="007F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9A14" w14:textId="77777777" w:rsidR="007F78E6" w:rsidRDefault="007F78E6" w:rsidP="007F78E6">
      <w:pPr>
        <w:spacing w:after="0" w:line="240" w:lineRule="auto"/>
      </w:pPr>
      <w:r>
        <w:separator/>
      </w:r>
    </w:p>
  </w:footnote>
  <w:footnote w:type="continuationSeparator" w:id="0">
    <w:p w14:paraId="0093C800" w14:textId="77777777" w:rsidR="007F78E6" w:rsidRDefault="007F78E6" w:rsidP="007F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F3C3" w14:textId="66FB9522" w:rsidR="007F78E6" w:rsidRDefault="007F78E6">
    <w:pPr>
      <w:pStyle w:val="Zhlav"/>
    </w:pPr>
    <w:r>
      <w:t xml:space="preserve">Příloha č. </w:t>
    </w:r>
    <w:r w:rsidR="006901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67C"/>
    <w:multiLevelType w:val="hybridMultilevel"/>
    <w:tmpl w:val="A5260E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56A8434B"/>
    <w:multiLevelType w:val="hybridMultilevel"/>
    <w:tmpl w:val="B3904F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5803386A"/>
    <w:multiLevelType w:val="hybridMultilevel"/>
    <w:tmpl w:val="8BE8BB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613154A6"/>
    <w:multiLevelType w:val="hybridMultilevel"/>
    <w:tmpl w:val="BCF812AE"/>
    <w:lvl w:ilvl="0" w:tplc="18CA6B9C">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4A48CE"/>
    <w:multiLevelType w:val="hybridMultilevel"/>
    <w:tmpl w:val="8D28D7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77F3709E"/>
    <w:multiLevelType w:val="hybridMultilevel"/>
    <w:tmpl w:val="D91A50F6"/>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B4"/>
    <w:rsid w:val="000B1086"/>
    <w:rsid w:val="00354071"/>
    <w:rsid w:val="003A5C71"/>
    <w:rsid w:val="00486FED"/>
    <w:rsid w:val="005446C5"/>
    <w:rsid w:val="005825B2"/>
    <w:rsid w:val="006901D5"/>
    <w:rsid w:val="007F78E6"/>
    <w:rsid w:val="00A32A78"/>
    <w:rsid w:val="00D16870"/>
    <w:rsid w:val="00D66D16"/>
    <w:rsid w:val="00EE3CB4"/>
    <w:rsid w:val="00F366E4"/>
    <w:rsid w:val="00FB6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9DE"/>
  <w15:chartTrackingRefBased/>
  <w15:docId w15:val="{11B34091-878C-4179-824D-31501986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Normální 11"/>
    <w:qFormat/>
    <w:rsid w:val="00D66D1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6D16"/>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D66D16"/>
    <w:pPr>
      <w:suppressAutoHyphens/>
      <w:spacing w:after="0" w:line="240" w:lineRule="auto"/>
    </w:pPr>
    <w:rPr>
      <w:rFonts w:ascii="Arial" w:eastAsia="Times New Roman" w:hAnsi="Arial" w:cs="Times New Roman"/>
      <w:szCs w:val="20"/>
      <w:lang w:eastAsia="ar-SA"/>
    </w:rPr>
  </w:style>
  <w:style w:type="paragraph" w:styleId="Zhlav">
    <w:name w:val="header"/>
    <w:basedOn w:val="Normln"/>
    <w:link w:val="ZhlavChar"/>
    <w:uiPriority w:val="99"/>
    <w:unhideWhenUsed/>
    <w:rsid w:val="007F78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8E6"/>
    <w:rPr>
      <w:rFonts w:eastAsiaTheme="minorEastAsia"/>
      <w:lang w:eastAsia="cs-CZ"/>
    </w:rPr>
  </w:style>
  <w:style w:type="paragraph" w:styleId="Zpat">
    <w:name w:val="footer"/>
    <w:basedOn w:val="Normln"/>
    <w:link w:val="ZpatChar"/>
    <w:uiPriority w:val="99"/>
    <w:unhideWhenUsed/>
    <w:rsid w:val="007F78E6"/>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8E6"/>
    <w:rPr>
      <w:rFonts w:eastAsiaTheme="minorEastAsia"/>
      <w:lang w:eastAsia="cs-CZ"/>
    </w:rPr>
  </w:style>
  <w:style w:type="paragraph" w:styleId="Textbubliny">
    <w:name w:val="Balloon Text"/>
    <w:basedOn w:val="Normln"/>
    <w:link w:val="TextbublinyChar"/>
    <w:uiPriority w:val="99"/>
    <w:semiHidden/>
    <w:unhideWhenUsed/>
    <w:rsid w:val="006901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1D5"/>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1277</Words>
  <Characters>7540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Hollerová Lenka</dc:creator>
  <cp:keywords/>
  <dc:description/>
  <cp:lastModifiedBy>Němcová Petra</cp:lastModifiedBy>
  <cp:revision>10</cp:revision>
  <dcterms:created xsi:type="dcterms:W3CDTF">2019-10-09T07:44:00Z</dcterms:created>
  <dcterms:modified xsi:type="dcterms:W3CDTF">2019-10-24T12:06:00Z</dcterms:modified>
</cp:coreProperties>
</file>