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4395"/>
        <w:gridCol w:w="4394"/>
      </w:tblGrid>
      <w:tr w:rsidR="000B0B92" w:rsidRPr="0040122C" w:rsidTr="00161C41">
        <w:trPr>
          <w:trHeight w:val="264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0B92" w:rsidRPr="008E5C22" w:rsidRDefault="000B0B92" w:rsidP="003351E7">
            <w:pPr>
              <w:rPr>
                <w:rFonts w:ascii="Arial" w:hAnsi="Arial" w:cs="Arial"/>
                <w:b/>
                <w:sz w:val="16"/>
                <w:szCs w:val="18"/>
              </w:rPr>
            </w:pPr>
            <w:bookmarkStart w:id="0" w:name="OLE_LINK1"/>
            <w:r w:rsidRPr="008E5C22">
              <w:rPr>
                <w:rFonts w:ascii="Arial" w:hAnsi="Arial" w:cs="Arial"/>
                <w:b/>
                <w:sz w:val="16"/>
                <w:szCs w:val="18"/>
              </w:rPr>
              <w:t>Konfigurace</w:t>
            </w:r>
          </w:p>
          <w:p w:rsidR="002E28E2" w:rsidRPr="008E5C22" w:rsidRDefault="002E28E2" w:rsidP="003351E7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8E5C22">
              <w:rPr>
                <w:rFonts w:ascii="Arial" w:hAnsi="Arial" w:cs="Arial"/>
                <w:b/>
                <w:sz w:val="16"/>
                <w:szCs w:val="18"/>
              </w:rPr>
              <w:t>Komponenta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E28E2" w:rsidRPr="008E5C22" w:rsidRDefault="000B0B92" w:rsidP="002E28E2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E5C22">
              <w:rPr>
                <w:rFonts w:ascii="Arial" w:hAnsi="Arial" w:cs="Arial"/>
                <w:b/>
                <w:sz w:val="16"/>
                <w:szCs w:val="18"/>
              </w:rPr>
              <w:t>Specifikace</w:t>
            </w:r>
            <w:r w:rsidR="002E28E2" w:rsidRPr="008E5C22">
              <w:rPr>
                <w:rFonts w:ascii="Arial" w:hAnsi="Arial" w:cs="Arial"/>
                <w:b/>
                <w:sz w:val="16"/>
                <w:szCs w:val="18"/>
              </w:rPr>
              <w:t>/parametry – minimální</w:t>
            </w:r>
          </w:p>
          <w:p w:rsidR="000B0B92" w:rsidRPr="008E5C22" w:rsidRDefault="000B0B92" w:rsidP="002E28E2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E5C22">
              <w:rPr>
                <w:rFonts w:ascii="Arial" w:hAnsi="Arial" w:cs="Arial"/>
                <w:b/>
                <w:sz w:val="16"/>
                <w:szCs w:val="18"/>
              </w:rPr>
              <w:t>požadavek</w:t>
            </w:r>
            <w:r w:rsidR="002E28E2" w:rsidRPr="008E5C22">
              <w:rPr>
                <w:rFonts w:ascii="Arial" w:hAnsi="Arial" w:cs="Arial"/>
                <w:b/>
                <w:sz w:val="16"/>
                <w:szCs w:val="18"/>
              </w:rPr>
              <w:t xml:space="preserve"> zadavatele</w:t>
            </w:r>
            <w:r w:rsidR="00556771">
              <w:rPr>
                <w:rFonts w:ascii="Arial" w:hAnsi="Arial" w:cs="Arial"/>
                <w:b/>
                <w:sz w:val="16"/>
                <w:szCs w:val="18"/>
              </w:rPr>
              <w:t xml:space="preserve"> 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E28E2" w:rsidRPr="008E5C22" w:rsidRDefault="000B0B92" w:rsidP="002E28E2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E5C22">
              <w:rPr>
                <w:rFonts w:ascii="Arial" w:hAnsi="Arial" w:cs="Arial"/>
                <w:b/>
                <w:sz w:val="16"/>
                <w:szCs w:val="18"/>
              </w:rPr>
              <w:t>Specifikace</w:t>
            </w:r>
            <w:r w:rsidR="00F0465C">
              <w:rPr>
                <w:rFonts w:ascii="Arial" w:hAnsi="Arial" w:cs="Arial"/>
                <w:b/>
                <w:sz w:val="16"/>
                <w:szCs w:val="18"/>
              </w:rPr>
              <w:t xml:space="preserve"> – Značka, model, </w:t>
            </w:r>
            <w:r w:rsidRPr="008E5C22">
              <w:rPr>
                <w:rFonts w:ascii="Arial" w:hAnsi="Arial" w:cs="Arial"/>
                <w:b/>
                <w:sz w:val="16"/>
                <w:szCs w:val="18"/>
              </w:rPr>
              <w:t>parametry</w:t>
            </w:r>
            <w:r w:rsidR="00F0465C">
              <w:rPr>
                <w:rFonts w:ascii="Arial" w:hAnsi="Arial" w:cs="Arial"/>
                <w:b/>
                <w:sz w:val="16"/>
                <w:szCs w:val="18"/>
              </w:rPr>
              <w:t>,</w:t>
            </w:r>
            <w:r w:rsidRPr="008E5C22">
              <w:rPr>
                <w:rFonts w:ascii="Arial" w:hAnsi="Arial" w:cs="Arial"/>
                <w:b/>
                <w:sz w:val="16"/>
                <w:szCs w:val="18"/>
              </w:rPr>
              <w:t xml:space="preserve"> </w:t>
            </w:r>
          </w:p>
          <w:p w:rsidR="000B0B92" w:rsidRPr="008E5C22" w:rsidRDefault="002E28E2" w:rsidP="002E28E2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E5C22">
              <w:rPr>
                <w:rFonts w:ascii="Arial" w:hAnsi="Arial" w:cs="Arial"/>
                <w:b/>
                <w:sz w:val="16"/>
                <w:szCs w:val="18"/>
              </w:rPr>
              <w:t>nabízené</w:t>
            </w:r>
            <w:r w:rsidR="000B0B92" w:rsidRPr="008E5C22">
              <w:rPr>
                <w:rFonts w:ascii="Arial" w:hAnsi="Arial" w:cs="Arial"/>
                <w:b/>
                <w:sz w:val="16"/>
                <w:szCs w:val="18"/>
              </w:rPr>
              <w:t xml:space="preserve"> dodavatelem</w:t>
            </w:r>
            <w:r w:rsidR="00F0465C">
              <w:rPr>
                <w:rFonts w:ascii="Arial" w:hAnsi="Arial" w:cs="Arial"/>
                <w:b/>
                <w:sz w:val="16"/>
                <w:szCs w:val="18"/>
              </w:rPr>
              <w:t xml:space="preserve"> </w:t>
            </w:r>
            <w:r w:rsidR="00415DCE">
              <w:rPr>
                <w:rFonts w:ascii="Arial" w:hAnsi="Arial" w:cs="Arial"/>
                <w:b/>
                <w:sz w:val="16"/>
                <w:szCs w:val="18"/>
              </w:rPr>
              <w:t xml:space="preserve">                                         </w:t>
            </w:r>
            <w:r w:rsidR="00BF0534">
              <w:rPr>
                <w:rFonts w:ascii="Arial" w:hAnsi="Arial" w:cs="Arial"/>
                <w:b/>
                <w:sz w:val="16"/>
                <w:szCs w:val="18"/>
              </w:rPr>
              <w:t>(Uve</w:t>
            </w:r>
            <w:r w:rsidR="00415DCE">
              <w:rPr>
                <w:rFonts w:ascii="Arial" w:hAnsi="Arial" w:cs="Arial"/>
                <w:b/>
                <w:sz w:val="16"/>
                <w:szCs w:val="18"/>
              </w:rPr>
              <w:t xml:space="preserve">dení značky, modelu a parametrů </w:t>
            </w:r>
            <w:r w:rsidR="00BF0534">
              <w:rPr>
                <w:rFonts w:ascii="Arial" w:hAnsi="Arial" w:cs="Arial"/>
                <w:b/>
                <w:sz w:val="16"/>
                <w:szCs w:val="18"/>
              </w:rPr>
              <w:t>je povinné !!)</w:t>
            </w:r>
          </w:p>
        </w:tc>
      </w:tr>
      <w:tr w:rsidR="000B0B92" w:rsidRPr="001C3591" w:rsidTr="00161C41">
        <w:trPr>
          <w:trHeight w:val="93"/>
        </w:trPr>
        <w:tc>
          <w:tcPr>
            <w:tcW w:w="1985" w:type="dxa"/>
            <w:vAlign w:val="center"/>
          </w:tcPr>
          <w:p w:rsidR="000B0B92" w:rsidRPr="00E067D6" w:rsidRDefault="001E1B8F" w:rsidP="00E067D6">
            <w:pPr>
              <w:ind w:left="57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067D6">
              <w:rPr>
                <w:rFonts w:ascii="Arial" w:hAnsi="Arial" w:cs="Arial"/>
                <w:b/>
                <w:sz w:val="16"/>
                <w:szCs w:val="16"/>
              </w:rPr>
              <w:t xml:space="preserve">Server ESX1 pro </w:t>
            </w:r>
            <w:r w:rsidR="00E067D6">
              <w:rPr>
                <w:rFonts w:ascii="Arial" w:hAnsi="Arial" w:cs="Arial"/>
                <w:b/>
                <w:sz w:val="16"/>
                <w:szCs w:val="16"/>
              </w:rPr>
              <w:t xml:space="preserve">vizualizaci (Odstavec </w:t>
            </w:r>
            <w:r w:rsidR="00E067D6" w:rsidRPr="00E067D6">
              <w:rPr>
                <w:rFonts w:ascii="Arial" w:hAnsi="Arial" w:cs="Arial"/>
                <w:b/>
                <w:sz w:val="16"/>
                <w:szCs w:val="16"/>
              </w:rPr>
              <w:t>1.2.1</w:t>
            </w:r>
            <w:r w:rsidR="00E067D6">
              <w:rPr>
                <w:rFonts w:ascii="Arial" w:hAnsi="Arial" w:cs="Arial"/>
                <w:b/>
                <w:sz w:val="16"/>
                <w:szCs w:val="16"/>
              </w:rPr>
              <w:t xml:space="preserve"> Technické specifikace)</w:t>
            </w:r>
          </w:p>
        </w:tc>
        <w:tc>
          <w:tcPr>
            <w:tcW w:w="4395" w:type="dxa"/>
          </w:tcPr>
          <w:p w:rsidR="001E1B8F" w:rsidRPr="001E1B8F" w:rsidRDefault="001E1B8F" w:rsidP="00E067D6">
            <w:pPr>
              <w:ind w:left="5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E1B8F">
              <w:rPr>
                <w:rFonts w:ascii="Arial" w:hAnsi="Arial" w:cs="Arial"/>
                <w:sz w:val="16"/>
                <w:szCs w:val="16"/>
              </w:rPr>
              <w:t>- Provedení rack mount, maximální velikost 2U, Dvou soketový server,</w:t>
            </w:r>
          </w:p>
          <w:p w:rsidR="001E1B8F" w:rsidRPr="001E1B8F" w:rsidRDefault="001E1B8F" w:rsidP="00E067D6">
            <w:pPr>
              <w:ind w:left="5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E1B8F">
              <w:rPr>
                <w:rFonts w:ascii="Arial" w:hAnsi="Arial" w:cs="Arial"/>
                <w:sz w:val="16"/>
                <w:szCs w:val="16"/>
              </w:rPr>
              <w:t>- Pro přístup ke všem komponentám serveru bez nutnosti použití nářadí</w:t>
            </w:r>
          </w:p>
          <w:p w:rsidR="001E1B8F" w:rsidRPr="001E1B8F" w:rsidRDefault="001E1B8F" w:rsidP="00E067D6">
            <w:pPr>
              <w:ind w:left="5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E1B8F">
              <w:rPr>
                <w:rFonts w:ascii="Arial" w:hAnsi="Arial" w:cs="Arial"/>
                <w:sz w:val="16"/>
                <w:szCs w:val="16"/>
              </w:rPr>
              <w:t>- Minimálně dva osmijádrové procesory s frekvencí min. 2,4Ghz, 20MB Cache, výkon CPU min. 12800   bodů, publikovaný na stránkách http://www.cpubenchmark.net/cpu_list.php</w:t>
            </w:r>
          </w:p>
          <w:p w:rsidR="001E1B8F" w:rsidRPr="001E1B8F" w:rsidRDefault="001E1B8F" w:rsidP="00E067D6">
            <w:pPr>
              <w:ind w:left="5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E1B8F">
              <w:rPr>
                <w:rFonts w:ascii="Arial" w:hAnsi="Arial" w:cs="Arial"/>
                <w:sz w:val="16"/>
                <w:szCs w:val="16"/>
              </w:rPr>
              <w:t>- Min. 64 GB RAM (min.16GB moduly 2133MHz) s celkem min. 4 DIMM pozicemi</w:t>
            </w:r>
          </w:p>
          <w:p w:rsidR="001E1B8F" w:rsidRPr="001E1B8F" w:rsidRDefault="001E1B8F" w:rsidP="00E067D6">
            <w:pPr>
              <w:ind w:left="5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E1B8F">
              <w:rPr>
                <w:rFonts w:ascii="Arial" w:hAnsi="Arial" w:cs="Arial"/>
                <w:sz w:val="16"/>
                <w:szCs w:val="16"/>
              </w:rPr>
              <w:t xml:space="preserve">- Min. 8x 3,5“ pozice na disky </w:t>
            </w:r>
          </w:p>
          <w:p w:rsidR="001E1B8F" w:rsidRPr="001E1B8F" w:rsidRDefault="001E1B8F" w:rsidP="00E067D6">
            <w:pPr>
              <w:ind w:left="5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E1B8F">
              <w:rPr>
                <w:rFonts w:ascii="Arial" w:hAnsi="Arial" w:cs="Arial"/>
                <w:sz w:val="16"/>
                <w:szCs w:val="16"/>
              </w:rPr>
              <w:t>- Min. čtyři 1.2TB disky, typ disků min. SAS 10K RPM pro data</w:t>
            </w:r>
          </w:p>
          <w:p w:rsidR="001E1B8F" w:rsidRPr="001E1B8F" w:rsidRDefault="001E1B8F" w:rsidP="00E067D6">
            <w:pPr>
              <w:ind w:left="5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E1B8F">
              <w:rPr>
                <w:rFonts w:ascii="Arial" w:hAnsi="Arial" w:cs="Arial"/>
                <w:sz w:val="16"/>
                <w:szCs w:val="16"/>
              </w:rPr>
              <w:t>- Hw raid s min. podporou raid 0, 1, 5, 10, 50, 2GB Cache</w:t>
            </w:r>
          </w:p>
          <w:p w:rsidR="001E1B8F" w:rsidRPr="001E1B8F" w:rsidRDefault="001E1B8F" w:rsidP="00E067D6">
            <w:pPr>
              <w:ind w:left="5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E1B8F">
              <w:rPr>
                <w:rFonts w:ascii="Arial" w:hAnsi="Arial" w:cs="Arial"/>
                <w:sz w:val="16"/>
                <w:szCs w:val="16"/>
              </w:rPr>
              <w:t>- Min. 2x 8GB SD Card</w:t>
            </w:r>
          </w:p>
          <w:p w:rsidR="001E1B8F" w:rsidRPr="001E1B8F" w:rsidRDefault="001E1B8F" w:rsidP="00E067D6">
            <w:pPr>
              <w:ind w:left="5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E1B8F">
              <w:rPr>
                <w:rFonts w:ascii="Arial" w:hAnsi="Arial" w:cs="Arial"/>
                <w:sz w:val="16"/>
                <w:szCs w:val="16"/>
              </w:rPr>
              <w:t>- Min. 4x 1Gbit ethernet síťové porty typu LOM s podporou TOE, IPv4, IPv6</w:t>
            </w:r>
          </w:p>
          <w:p w:rsidR="001E1B8F" w:rsidRPr="001E1B8F" w:rsidRDefault="001E1B8F" w:rsidP="00E067D6">
            <w:pPr>
              <w:ind w:left="5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E1B8F">
              <w:rPr>
                <w:rFonts w:ascii="Arial" w:hAnsi="Arial" w:cs="Arial"/>
                <w:sz w:val="16"/>
                <w:szCs w:val="16"/>
              </w:rPr>
              <w:t>- Min. dva síťové napájecí zdroje 750W</w:t>
            </w:r>
          </w:p>
          <w:p w:rsidR="001E1B8F" w:rsidRPr="001E1B8F" w:rsidRDefault="001E1B8F" w:rsidP="00E067D6">
            <w:pPr>
              <w:ind w:left="5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E1B8F">
              <w:rPr>
                <w:rFonts w:ascii="Arial" w:hAnsi="Arial" w:cs="Arial"/>
                <w:sz w:val="16"/>
                <w:szCs w:val="16"/>
              </w:rPr>
              <w:t>- Rackové lyžiny s vodičem kabelů</w:t>
            </w:r>
          </w:p>
          <w:p w:rsidR="001E1B8F" w:rsidRPr="001E1B8F" w:rsidRDefault="001E1B8F" w:rsidP="00E067D6">
            <w:pPr>
              <w:ind w:left="5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E1B8F">
              <w:rPr>
                <w:rFonts w:ascii="Arial" w:hAnsi="Arial" w:cs="Arial"/>
                <w:sz w:val="16"/>
                <w:szCs w:val="16"/>
              </w:rPr>
              <w:t>- Management serveru nezávislý na operačním systému, poskytující management funkce a vlastnosti: webové rozhraní a dedikovaná IP adresa, sledování hardwarových senzorů (teplota, napětí, stav, chybové senzory), podpora virtuální mechaniky, integrované zálohování konfigurace a firmware HW zařízení serveru s ukládáním na dedikovanou SD kartu s min. velikostí 8GB s možností automatické rekonfigurace zařízení v případě jejich výměny vč. základové desky</w:t>
            </w:r>
          </w:p>
          <w:p w:rsidR="001E1B8F" w:rsidRPr="001E1B8F" w:rsidRDefault="001E1B8F" w:rsidP="00E067D6">
            <w:pPr>
              <w:ind w:left="5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E1B8F">
              <w:rPr>
                <w:rFonts w:ascii="Arial" w:hAnsi="Arial" w:cs="Arial"/>
                <w:sz w:val="16"/>
                <w:szCs w:val="16"/>
              </w:rPr>
              <w:t>- Certifikace pro Windows Server 2008 R2 SP1 a vyšší, Red Hat Enterprise a SUSE Enterprise Linux Server</w:t>
            </w:r>
          </w:p>
          <w:p w:rsidR="000B0B92" w:rsidRPr="00161C41" w:rsidRDefault="001E1B8F" w:rsidP="000B1AE2">
            <w:pPr>
              <w:ind w:left="57"/>
              <w:jc w:val="lef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E1B8F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0B1AE2">
              <w:rPr>
                <w:rFonts w:ascii="Arial" w:hAnsi="Arial" w:cs="Arial"/>
                <w:sz w:val="16"/>
                <w:szCs w:val="16"/>
              </w:rPr>
              <w:t>Předplacená p</w:t>
            </w:r>
            <w:r w:rsidRPr="001E1B8F">
              <w:rPr>
                <w:rFonts w:ascii="Arial" w:hAnsi="Arial" w:cs="Arial"/>
                <w:sz w:val="16"/>
                <w:szCs w:val="16"/>
              </w:rPr>
              <w:t xml:space="preserve">odpora </w:t>
            </w:r>
            <w:r w:rsidR="000B1AE2">
              <w:rPr>
                <w:rFonts w:ascii="Arial" w:hAnsi="Arial" w:cs="Arial"/>
                <w:sz w:val="16"/>
                <w:szCs w:val="16"/>
              </w:rPr>
              <w:t xml:space="preserve">(záruka) </w:t>
            </w:r>
            <w:r w:rsidRPr="001E1B8F">
              <w:rPr>
                <w:rFonts w:ascii="Arial" w:hAnsi="Arial" w:cs="Arial"/>
                <w:sz w:val="16"/>
                <w:szCs w:val="16"/>
              </w:rPr>
              <w:t>na 5 let garantována výrobcem typu 24x7x365 s reakční dobou do ukončení následujícího pracovního dne (NBD), oprava v místě instalace serveru, servis je poskytován výrobcem serveru.</w:t>
            </w:r>
          </w:p>
        </w:tc>
        <w:tc>
          <w:tcPr>
            <w:tcW w:w="4394" w:type="dxa"/>
          </w:tcPr>
          <w:p w:rsidR="000B0B92" w:rsidRPr="008E5C22" w:rsidRDefault="000B0B92" w:rsidP="00E067D6">
            <w:pPr>
              <w:ind w:left="57"/>
              <w:jc w:val="left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B0B92" w:rsidRPr="001C3591" w:rsidTr="00161C41">
        <w:trPr>
          <w:trHeight w:val="93"/>
        </w:trPr>
        <w:tc>
          <w:tcPr>
            <w:tcW w:w="1985" w:type="dxa"/>
            <w:vAlign w:val="center"/>
          </w:tcPr>
          <w:p w:rsidR="000B0B92" w:rsidRPr="00E067D6" w:rsidRDefault="001E1B8F" w:rsidP="00E067D6">
            <w:pPr>
              <w:ind w:left="57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067D6">
              <w:rPr>
                <w:rFonts w:ascii="Arial" w:hAnsi="Arial" w:cs="Arial"/>
                <w:b/>
                <w:sz w:val="16"/>
                <w:szCs w:val="16"/>
              </w:rPr>
              <w:t>Server ESX2 upgrade – Backup server</w:t>
            </w:r>
            <w:r w:rsidR="00E067D6">
              <w:rPr>
                <w:rFonts w:ascii="Arial" w:hAnsi="Arial" w:cs="Arial"/>
                <w:b/>
                <w:sz w:val="16"/>
                <w:szCs w:val="16"/>
              </w:rPr>
              <w:t xml:space="preserve"> (Odstavec </w:t>
            </w:r>
            <w:r w:rsidR="00E067D6" w:rsidRPr="00E067D6">
              <w:rPr>
                <w:rFonts w:ascii="Arial" w:hAnsi="Arial" w:cs="Arial"/>
                <w:b/>
                <w:sz w:val="16"/>
                <w:szCs w:val="16"/>
              </w:rPr>
              <w:t>1.2.</w:t>
            </w:r>
            <w:r w:rsidR="00E067D6">
              <w:rPr>
                <w:rFonts w:ascii="Arial" w:hAnsi="Arial" w:cs="Arial"/>
                <w:b/>
                <w:sz w:val="16"/>
                <w:szCs w:val="16"/>
              </w:rPr>
              <w:t>2 Technické specifikace)</w:t>
            </w:r>
          </w:p>
        </w:tc>
        <w:tc>
          <w:tcPr>
            <w:tcW w:w="4395" w:type="dxa"/>
          </w:tcPr>
          <w:p w:rsidR="001E1B8F" w:rsidRPr="001E1B8F" w:rsidRDefault="001E1B8F" w:rsidP="00E067D6">
            <w:pPr>
              <w:ind w:left="57"/>
              <w:jc w:val="lef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E1B8F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ESX2 Backup server bude řešen na stávajícím serveru Dell R320 P/N: D-S13-R320-002RR, na základě jeho upgrade, konkrétně výměny HDD a </w:t>
            </w:r>
            <w:r w:rsidR="002E6C21" w:rsidRPr="002E6C21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prodloužení záruky serveru</w:t>
            </w:r>
            <w:r w:rsidRPr="001E1B8F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:</w:t>
            </w:r>
            <w:bookmarkStart w:id="1" w:name="_GoBack"/>
            <w:bookmarkEnd w:id="1"/>
          </w:p>
          <w:p w:rsidR="001E1B8F" w:rsidRPr="001E1B8F" w:rsidRDefault="001E1B8F" w:rsidP="00E067D6">
            <w:pPr>
              <w:ind w:left="57"/>
              <w:jc w:val="lef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E1B8F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-  4x HDD DELL HDD 4TB Near Line SAS 6Gbps 7,2k 3.5” Hot Plug</w:t>
            </w:r>
          </w:p>
          <w:p w:rsidR="000B0B92" w:rsidRPr="00161C41" w:rsidRDefault="001E1B8F" w:rsidP="00E067D6">
            <w:pPr>
              <w:ind w:left="57"/>
              <w:jc w:val="lef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E1B8F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-  Prodloužení záruky serveru - PROSUPPORT AND NBD ON-SITE SERVICE - na 3roky</w:t>
            </w:r>
          </w:p>
        </w:tc>
        <w:tc>
          <w:tcPr>
            <w:tcW w:w="4394" w:type="dxa"/>
          </w:tcPr>
          <w:p w:rsidR="000B0B92" w:rsidRPr="008E5C22" w:rsidRDefault="000B0B92" w:rsidP="00E067D6">
            <w:pPr>
              <w:ind w:left="57"/>
              <w:jc w:val="left"/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</w:pPr>
          </w:p>
        </w:tc>
      </w:tr>
      <w:tr w:rsidR="000B0B92" w:rsidRPr="001C3591" w:rsidTr="00161C41">
        <w:trPr>
          <w:trHeight w:val="93"/>
        </w:trPr>
        <w:tc>
          <w:tcPr>
            <w:tcW w:w="1985" w:type="dxa"/>
            <w:vAlign w:val="center"/>
          </w:tcPr>
          <w:p w:rsidR="000B0B92" w:rsidRPr="00E067D6" w:rsidRDefault="001E1B8F" w:rsidP="00E067D6">
            <w:pPr>
              <w:ind w:left="57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067D6">
              <w:rPr>
                <w:rFonts w:ascii="Arial" w:hAnsi="Arial" w:cs="Arial"/>
                <w:b/>
                <w:sz w:val="16"/>
                <w:szCs w:val="16"/>
              </w:rPr>
              <w:t>Switch</w:t>
            </w:r>
            <w:r w:rsidR="00E067D6">
              <w:rPr>
                <w:rFonts w:ascii="Arial" w:hAnsi="Arial" w:cs="Arial"/>
                <w:b/>
                <w:sz w:val="16"/>
                <w:szCs w:val="16"/>
              </w:rPr>
              <w:t xml:space="preserve"> (Odstavec </w:t>
            </w:r>
            <w:r w:rsidR="00E067D6" w:rsidRPr="00E067D6">
              <w:rPr>
                <w:rFonts w:ascii="Arial" w:hAnsi="Arial" w:cs="Arial"/>
                <w:b/>
                <w:sz w:val="16"/>
                <w:szCs w:val="16"/>
              </w:rPr>
              <w:t>1.2.</w:t>
            </w:r>
            <w:r w:rsidR="00E067D6">
              <w:rPr>
                <w:rFonts w:ascii="Arial" w:hAnsi="Arial" w:cs="Arial"/>
                <w:b/>
                <w:sz w:val="16"/>
                <w:szCs w:val="16"/>
              </w:rPr>
              <w:t>3 Technické specifikace)</w:t>
            </w:r>
          </w:p>
        </w:tc>
        <w:tc>
          <w:tcPr>
            <w:tcW w:w="4395" w:type="dxa"/>
          </w:tcPr>
          <w:p w:rsidR="001E1B8F" w:rsidRPr="001E1B8F" w:rsidRDefault="001E1B8F" w:rsidP="00E067D6">
            <w:pPr>
              <w:ind w:left="57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E1B8F">
              <w:rPr>
                <w:rFonts w:ascii="Arial" w:hAnsi="Arial" w:cs="Arial"/>
                <w:color w:val="000000" w:themeColor="text1"/>
                <w:sz w:val="16"/>
                <w:szCs w:val="16"/>
              </w:rPr>
              <w:t>- 16x 100/1000 RJ45 portů + 4x SFP 1000 Mbps porty</w:t>
            </w:r>
          </w:p>
          <w:p w:rsidR="001E1B8F" w:rsidRPr="001E1B8F" w:rsidRDefault="001E1B8F" w:rsidP="00E067D6">
            <w:pPr>
              <w:ind w:left="57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E1B8F">
              <w:rPr>
                <w:rFonts w:ascii="Arial" w:hAnsi="Arial" w:cs="Arial"/>
                <w:color w:val="000000" w:themeColor="text1"/>
                <w:sz w:val="16"/>
                <w:szCs w:val="16"/>
              </w:rPr>
              <w:t>- L3 statické směrování s 32 trasami</w:t>
            </w:r>
          </w:p>
          <w:p w:rsidR="001E1B8F" w:rsidRPr="001E1B8F" w:rsidRDefault="001E1B8F" w:rsidP="00E067D6">
            <w:pPr>
              <w:ind w:left="57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E1B8F">
              <w:rPr>
                <w:rFonts w:ascii="Arial" w:hAnsi="Arial" w:cs="Arial"/>
                <w:color w:val="000000" w:themeColor="text1"/>
                <w:sz w:val="16"/>
                <w:szCs w:val="16"/>
              </w:rPr>
              <w:t>- Access Control List, IEEE 802.1x and VLANs guard</w:t>
            </w:r>
          </w:p>
          <w:p w:rsidR="001E1B8F" w:rsidRPr="001E1B8F" w:rsidRDefault="001E1B8F" w:rsidP="00E067D6">
            <w:pPr>
              <w:ind w:left="57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E1B8F">
              <w:rPr>
                <w:rFonts w:ascii="Arial" w:hAnsi="Arial" w:cs="Arial"/>
                <w:color w:val="000000" w:themeColor="text1"/>
                <w:sz w:val="16"/>
                <w:szCs w:val="16"/>
              </w:rPr>
              <w:t>- Montáž do 19“ racku</w:t>
            </w:r>
          </w:p>
          <w:p w:rsidR="001E1B8F" w:rsidRPr="001E1B8F" w:rsidRDefault="001E1B8F" w:rsidP="00E067D6">
            <w:pPr>
              <w:ind w:left="57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E1B8F">
              <w:rPr>
                <w:rFonts w:ascii="Arial" w:hAnsi="Arial" w:cs="Arial"/>
                <w:color w:val="000000" w:themeColor="text1"/>
                <w:sz w:val="16"/>
                <w:szCs w:val="16"/>
              </w:rPr>
              <w:t>- Doživotní záruka</w:t>
            </w:r>
          </w:p>
          <w:p w:rsidR="000B0B92" w:rsidRPr="00161C41" w:rsidRDefault="001E1B8F" w:rsidP="00E067D6">
            <w:pPr>
              <w:ind w:left="57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E1B8F">
              <w:rPr>
                <w:rFonts w:ascii="Arial" w:hAnsi="Arial" w:cs="Arial"/>
                <w:color w:val="000000" w:themeColor="text1"/>
                <w:sz w:val="16"/>
                <w:szCs w:val="16"/>
              </w:rPr>
              <w:t>- Oprava výměnou následující pracovní den.</w:t>
            </w:r>
          </w:p>
        </w:tc>
        <w:tc>
          <w:tcPr>
            <w:tcW w:w="4394" w:type="dxa"/>
          </w:tcPr>
          <w:p w:rsidR="000B0B92" w:rsidRPr="008E5C22" w:rsidRDefault="000B0B92" w:rsidP="00E067D6">
            <w:pPr>
              <w:ind w:left="57"/>
              <w:jc w:val="left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</w:p>
        </w:tc>
      </w:tr>
      <w:tr w:rsidR="000B0B92" w:rsidRPr="001C3591" w:rsidTr="00161C41">
        <w:trPr>
          <w:trHeight w:val="93"/>
        </w:trPr>
        <w:tc>
          <w:tcPr>
            <w:tcW w:w="1985" w:type="dxa"/>
            <w:vAlign w:val="center"/>
          </w:tcPr>
          <w:p w:rsidR="000B0B92" w:rsidRPr="00E067D6" w:rsidRDefault="001E1B8F" w:rsidP="00E067D6">
            <w:pPr>
              <w:ind w:left="57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067D6">
              <w:rPr>
                <w:rFonts w:ascii="Arial" w:hAnsi="Arial" w:cs="Arial"/>
                <w:b/>
                <w:sz w:val="16"/>
                <w:szCs w:val="16"/>
              </w:rPr>
              <w:t>Záložní zdroj napájení – UPS</w:t>
            </w:r>
            <w:r w:rsidR="00E067D6">
              <w:rPr>
                <w:rFonts w:ascii="Arial" w:hAnsi="Arial" w:cs="Arial"/>
                <w:b/>
                <w:sz w:val="16"/>
                <w:szCs w:val="16"/>
              </w:rPr>
              <w:t xml:space="preserve"> (Odstavec </w:t>
            </w:r>
            <w:r w:rsidR="00E067D6" w:rsidRPr="00E067D6">
              <w:rPr>
                <w:rFonts w:ascii="Arial" w:hAnsi="Arial" w:cs="Arial"/>
                <w:b/>
                <w:sz w:val="16"/>
                <w:szCs w:val="16"/>
              </w:rPr>
              <w:t>1.2.</w:t>
            </w:r>
            <w:r w:rsidR="00E067D6">
              <w:rPr>
                <w:rFonts w:ascii="Arial" w:hAnsi="Arial" w:cs="Arial"/>
                <w:b/>
                <w:sz w:val="16"/>
                <w:szCs w:val="16"/>
              </w:rPr>
              <w:t>3 Technické specifikace)</w:t>
            </w:r>
          </w:p>
        </w:tc>
        <w:tc>
          <w:tcPr>
            <w:tcW w:w="4395" w:type="dxa"/>
          </w:tcPr>
          <w:p w:rsidR="001E1B8F" w:rsidRPr="001E1B8F" w:rsidRDefault="001E1B8F" w:rsidP="00E067D6">
            <w:pPr>
              <w:ind w:left="57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E1B8F">
              <w:rPr>
                <w:rFonts w:ascii="Arial" w:hAnsi="Arial" w:cs="Arial"/>
                <w:color w:val="000000" w:themeColor="text1"/>
                <w:sz w:val="16"/>
                <w:szCs w:val="16"/>
              </w:rPr>
              <w:t>Dodávka nových baterií a komunikační karty do stávající UPS APC Smart-UPS 1500I RM 2U, PN: SUA1500RMI2U, včetně instalace:</w:t>
            </w:r>
          </w:p>
          <w:p w:rsidR="001E1B8F" w:rsidRPr="001E1B8F" w:rsidRDefault="001E1B8F" w:rsidP="00E067D6">
            <w:pPr>
              <w:ind w:left="57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E1B8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- 4x Baterie 12V/9Ah</w:t>
            </w:r>
          </w:p>
          <w:p w:rsidR="000B0B92" w:rsidRDefault="001E1B8F" w:rsidP="00E067D6">
            <w:pPr>
              <w:ind w:left="57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E1B8F">
              <w:rPr>
                <w:rFonts w:ascii="Arial" w:hAnsi="Arial" w:cs="Arial"/>
                <w:color w:val="000000" w:themeColor="text1"/>
                <w:sz w:val="16"/>
                <w:szCs w:val="16"/>
              </w:rPr>
              <w:t>- 1x UPS Network Management Card 2 - AP9630</w:t>
            </w:r>
          </w:p>
          <w:p w:rsidR="00F56E23" w:rsidRPr="00161C41" w:rsidRDefault="00F56E23" w:rsidP="00E067D6">
            <w:pPr>
              <w:ind w:left="57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 Záruka 24 měsíců</w:t>
            </w:r>
          </w:p>
        </w:tc>
        <w:tc>
          <w:tcPr>
            <w:tcW w:w="4394" w:type="dxa"/>
          </w:tcPr>
          <w:p w:rsidR="000B0B92" w:rsidRPr="008E5C22" w:rsidRDefault="000B0B92" w:rsidP="00E067D6">
            <w:pPr>
              <w:ind w:left="57"/>
              <w:jc w:val="left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</w:p>
        </w:tc>
      </w:tr>
    </w:tbl>
    <w:p w:rsidR="00742AE7" w:rsidRDefault="00742AE7" w:rsidP="00E067D6">
      <w:pPr>
        <w:ind w:left="57"/>
        <w:jc w:val="left"/>
        <w:rPr>
          <w:rFonts w:ascii="Arial" w:hAnsi="Arial" w:cs="Arial"/>
          <w:b/>
          <w:sz w:val="16"/>
          <w:szCs w:val="16"/>
        </w:rPr>
        <w:sectPr w:rsidR="00742AE7" w:rsidSect="00161C41">
          <w:headerReference w:type="default" r:id="rId8"/>
          <w:footerReference w:type="default" r:id="rId9"/>
          <w:pgSz w:w="11906" w:h="16838"/>
          <w:pgMar w:top="720" w:right="720" w:bottom="720" w:left="720" w:header="454" w:footer="680" w:gutter="0"/>
          <w:cols w:space="708"/>
          <w:docGrid w:linePitch="360"/>
        </w:sect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4395"/>
        <w:gridCol w:w="4394"/>
      </w:tblGrid>
      <w:tr w:rsidR="000B0B92" w:rsidRPr="001C3591" w:rsidTr="00161C41">
        <w:trPr>
          <w:trHeight w:val="93"/>
        </w:trPr>
        <w:tc>
          <w:tcPr>
            <w:tcW w:w="1985" w:type="dxa"/>
            <w:vAlign w:val="center"/>
          </w:tcPr>
          <w:p w:rsidR="000B0B92" w:rsidRPr="00E067D6" w:rsidRDefault="001E1B8F" w:rsidP="00E067D6">
            <w:pPr>
              <w:ind w:left="57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067D6">
              <w:rPr>
                <w:rFonts w:ascii="Arial" w:hAnsi="Arial" w:cs="Arial"/>
                <w:b/>
                <w:sz w:val="16"/>
                <w:szCs w:val="16"/>
              </w:rPr>
              <w:lastRenderedPageBreak/>
              <w:t>Licence OS serveru a MS Office</w:t>
            </w:r>
            <w:r w:rsidR="00E067D6">
              <w:rPr>
                <w:rFonts w:ascii="Arial" w:hAnsi="Arial" w:cs="Arial"/>
                <w:b/>
                <w:sz w:val="16"/>
                <w:szCs w:val="16"/>
              </w:rPr>
              <w:t xml:space="preserve"> (Odstavec </w:t>
            </w:r>
            <w:r w:rsidR="00E067D6" w:rsidRPr="00E067D6">
              <w:rPr>
                <w:rFonts w:ascii="Arial" w:hAnsi="Arial" w:cs="Arial"/>
                <w:b/>
                <w:sz w:val="16"/>
                <w:szCs w:val="16"/>
              </w:rPr>
              <w:t>1.2.</w:t>
            </w:r>
            <w:r w:rsidR="00E067D6">
              <w:rPr>
                <w:rFonts w:ascii="Arial" w:hAnsi="Arial" w:cs="Arial"/>
                <w:b/>
                <w:sz w:val="16"/>
                <w:szCs w:val="16"/>
              </w:rPr>
              <w:t>4 Technické specifikace)</w:t>
            </w:r>
          </w:p>
        </w:tc>
        <w:tc>
          <w:tcPr>
            <w:tcW w:w="4395" w:type="dxa"/>
          </w:tcPr>
          <w:p w:rsidR="001E1B8F" w:rsidRPr="001E1B8F" w:rsidRDefault="001E1B8F" w:rsidP="00E067D6">
            <w:pPr>
              <w:ind w:left="57" w:right="113" w:hanging="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E1B8F">
              <w:rPr>
                <w:rFonts w:ascii="Arial" w:hAnsi="Arial" w:cs="Arial"/>
                <w:sz w:val="16"/>
                <w:szCs w:val="16"/>
              </w:rPr>
              <w:t xml:space="preserve">-   3x licence Microsoft Windows server 2012R2 Standard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E1B8F">
              <w:rPr>
                <w:rFonts w:ascii="Arial" w:hAnsi="Arial" w:cs="Arial"/>
                <w:sz w:val="16"/>
                <w:szCs w:val="16"/>
              </w:rPr>
              <w:t>SNGL MVL 2Proc</w:t>
            </w:r>
          </w:p>
          <w:p w:rsidR="001E1B8F" w:rsidRPr="001E1B8F" w:rsidRDefault="001E1B8F" w:rsidP="00E067D6">
            <w:pPr>
              <w:ind w:left="57" w:right="113" w:hanging="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E1B8F">
              <w:rPr>
                <w:rFonts w:ascii="Arial" w:hAnsi="Arial" w:cs="Arial"/>
                <w:sz w:val="16"/>
                <w:szCs w:val="16"/>
              </w:rPr>
              <w:t>- 17x licence Microsoft®Windows®ServerCAL 2012 UsrCAL</w:t>
            </w:r>
          </w:p>
          <w:p w:rsidR="001E1B8F" w:rsidRPr="001E1B8F" w:rsidRDefault="001E1B8F" w:rsidP="00E067D6">
            <w:pPr>
              <w:ind w:left="57" w:right="113" w:hanging="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E1B8F">
              <w:rPr>
                <w:rFonts w:ascii="Arial" w:hAnsi="Arial" w:cs="Arial"/>
                <w:sz w:val="16"/>
                <w:szCs w:val="16"/>
              </w:rPr>
              <w:t xml:space="preserve">-   5x licence Microsoft WinRmtDsktpSrvcsCAL 2012 SNGL MVL UsrCAL </w:t>
            </w:r>
          </w:p>
          <w:p w:rsidR="001E1B8F" w:rsidRPr="001E1B8F" w:rsidRDefault="001E1B8F" w:rsidP="00E067D6">
            <w:pPr>
              <w:ind w:left="57" w:right="113" w:hanging="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E1B8F">
              <w:rPr>
                <w:rFonts w:ascii="Arial" w:hAnsi="Arial" w:cs="Arial"/>
                <w:sz w:val="16"/>
                <w:szCs w:val="16"/>
              </w:rPr>
              <w:t>- 34x licence Microsoft Office Stdandard  2016 SNGL MVL</w:t>
            </w:r>
          </w:p>
          <w:p w:rsidR="000B0B92" w:rsidRPr="00161C41" w:rsidRDefault="001E1B8F" w:rsidP="00E067D6">
            <w:pPr>
              <w:ind w:left="57" w:right="113" w:hanging="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E1B8F">
              <w:rPr>
                <w:rFonts w:ascii="Arial" w:hAnsi="Arial" w:cs="Arial"/>
                <w:sz w:val="16"/>
                <w:szCs w:val="16"/>
              </w:rPr>
              <w:t>-   1x licence Microsoft Office Professional Plus 2016 SNGL MVL</w:t>
            </w:r>
          </w:p>
        </w:tc>
        <w:tc>
          <w:tcPr>
            <w:tcW w:w="4394" w:type="dxa"/>
          </w:tcPr>
          <w:p w:rsidR="000B0B92" w:rsidRPr="008E5C22" w:rsidRDefault="000B0B92" w:rsidP="00E067D6">
            <w:pPr>
              <w:ind w:left="57" w:right="113" w:hanging="7"/>
              <w:jc w:val="left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B0B92" w:rsidRPr="0040122C" w:rsidTr="00161C41">
        <w:trPr>
          <w:trHeight w:val="93"/>
        </w:trPr>
        <w:tc>
          <w:tcPr>
            <w:tcW w:w="1985" w:type="dxa"/>
            <w:vAlign w:val="center"/>
          </w:tcPr>
          <w:p w:rsidR="000B0B92" w:rsidRPr="00E067D6" w:rsidRDefault="00E067D6" w:rsidP="00E067D6">
            <w:pPr>
              <w:ind w:left="57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067D6">
              <w:rPr>
                <w:rFonts w:ascii="Arial" w:hAnsi="Arial" w:cs="Arial"/>
                <w:b/>
                <w:sz w:val="16"/>
                <w:szCs w:val="16"/>
              </w:rPr>
              <w:t>Licence Antivirový program  (Odstavec 1.2.5 Technické specifikace)</w:t>
            </w:r>
          </w:p>
        </w:tc>
        <w:tc>
          <w:tcPr>
            <w:tcW w:w="4395" w:type="dxa"/>
          </w:tcPr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Licence antivirového programu pro 42 PC stanic a 6 virtuá</w:t>
            </w:r>
            <w:r w:rsidR="001653F6">
              <w:rPr>
                <w:rFonts w:ascii="Arial" w:hAnsi="Arial" w:cs="Arial"/>
                <w:sz w:val="16"/>
                <w:szCs w:val="16"/>
              </w:rPr>
              <w:t xml:space="preserve">lních Microsoft Windows serverů včetně předplacené podpory </w:t>
            </w:r>
            <w:r w:rsidR="00F56E23">
              <w:rPr>
                <w:rFonts w:ascii="Arial" w:hAnsi="Arial" w:cs="Arial"/>
                <w:sz w:val="16"/>
                <w:szCs w:val="16"/>
              </w:rPr>
              <w:t xml:space="preserve">(záruky) </w:t>
            </w:r>
            <w:r w:rsidR="001653F6">
              <w:rPr>
                <w:rFonts w:ascii="Arial" w:hAnsi="Arial" w:cs="Arial"/>
                <w:sz w:val="16"/>
                <w:szCs w:val="16"/>
              </w:rPr>
              <w:t>na 3 roky.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Požadované funkce antivirového programu:  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Funkce – pracovní stanice: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 xml:space="preserve">Rezidentní ochrana před škodlivými kódy (viry, červy, trojské koně, spyware, adware, phishing, rootkit) 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 xml:space="preserve">Personální firewall + Host Intrusion Prevention (HIPS): Lze nakonfigurovat z centrální správy a vytvářet pravidla a chování pro různá síťová prostředí. Pravidla firewallu se tak budou automaticky měnit v závislosti na prostředí. 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Ochrana elektronické pošty na úrovni protokolů (POP3, SMTP, IMAP, MAPI, NNTP) + pluginy pro MS Outlook a TheBat!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Kontrola datového provozu (HTTP) + sledování skriptů v MS Internet Explorer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Kontrola pakovaných souborů ZIP, ARJ, CAB či RAR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Kontrola Instant Messenger programů (ICQ, QIP, Miranda, apod.)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Karanténa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Automatické aktualizace (v závislosti na síťovém prostředí se aktualizace stahují buď z centrálního uložiště, nebo přímo z Internetu)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Ochrana před známými síťovými hrozbami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Ochrana před neznámými hrozbami (zero hour / zero day)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Zaměstnanecká kontrola – povolování/zakazování spouštění aplikací dle firemní politiky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Ochrana při užití instant messaging služeb, včetně skenování příchozích a odchozích zpráv na výskyt škodlivého kódu a phishingu.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Správa aplikací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Správa přístupu na web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Správa zařízení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Sken zranitelností operačního systému a aplikací třetích stran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Detekce malwaru na bázi cloudu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Detekce a analýza chování aplikací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Shromažďování a ukládání dat o všech událostech, ke kterým v systému dochází (například úpravy souborů, klíčů registru, spouštění ovladačů, pokusy o vypnutí počítače)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Možnost obnovení původního stavu systému před výskytem škodlivé aplikace (modul System Watcher, pantentované řešení)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Blokace síťových útoků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Dynamický whitelisting aplikací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Automatické schválení aplikací s digitálním podpisem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 xml:space="preserve">Monitorování, blokování a povolení aplikace </w:t>
            </w:r>
            <w:r w:rsidRPr="00E067D6">
              <w:rPr>
                <w:rFonts w:ascii="Arial" w:hAnsi="Arial" w:cs="Arial"/>
                <w:sz w:val="16"/>
                <w:szCs w:val="16"/>
              </w:rPr>
              <w:lastRenderedPageBreak/>
              <w:t>podle kategorie, nebo vlastní specifikace (možné propojit s Active Directory)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Blokování webové komunikace na základě obsahu (video, audio, obrázky, executable files, atd.)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Automatické spuštění skenu kritických objektů (autorun, RAM, systémový oddíl), když je počítač uzamčen, nebo je aktivní spořič obrazovky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Kontrola zařízení na úrovni sběrnice (možné povolit dočasný přístup k zařízení)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Proskenování stanice po dobu nečinnosti (screensaver, uzamčený počítač)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Ochrana před připojením přeprogramovaných zařízení USB emulujících klávesnici (modul BadUSB attack)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Funkce - mobilní telefony a tablety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Komplexní ochrana proti malwaru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Ochrana proti SMS-Spamu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Filtrování nevyžádáných hovorů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      -    Anti-Theft funkce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      -    Vzdálené zablokování/smazání dat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      -    SIM Watch – hlídání SIM karty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      -    Nalezení zařízení pomocí GPS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      -    Vzdálené vyfocení uživatele (Mugshot)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      -    Firewall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      -    Správa aplikací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      -    Ochrana proti rootkitům a jailbreaku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      -    Podpora Bring Your Own Device (BYOD)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      -    Manuální blokace aplikací, případné možné využití automatické kategorizace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      -    Podpora Microsoft Exchange Active Sync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      -    Apple iOS MDM server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      -    Ochrana proti nejnovějším hrozbám mobilních zařízení pomocí technologií na bázi signatur,   heuristické analýzy a cloudu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      -    Správa přístupu uživatelů na web umožňující blokovat škodlivé nebo nevhodné webové stránky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      -    Ochrana uživatelů před phishingovými weby, které hrozí krádeží informací a identifikačních údajů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      -    Možnost zabalení podnikových aplikací a dat do bezpečných schránek a jejich oddělení od osobních aplikací a dat uživatele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      -    Konfigurace správy aplikací umožňující určit, které aplikace bude možné spouštět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      -    Bezpečné procházení internetu díky sandbox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      -    Podporované operační systémy: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Android OS 2.3 – 5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Apple iOS 7.0 – 8.x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Windows Phone 8.1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Funkce - Centrální správa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možnost vzdálené instalace klienta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možnost „tichého režimu’’ provozu antiviru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možnost ovlivnit zátěž klienta při skenování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tvorba politik s jednotlivým nastavením komponent řešení a jejich aplikace na úrovni skupin nebo hierarchie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přidělování práv administrátorů na úrovni skupin nebo serverů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centrální správa a nastavení jednotlivých klientů na úrovni skupin nebo hierarchie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možnost stahování definic z centrálního serveru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lastRenderedPageBreak/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možnost automatického, plánovaného update definic přes Internet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Odinstalace aplikací třetích stran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Instalace aplikací třetích stran (exe, msi, msp, bat, cmd)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Funkce Update Agent, kdy je možné z běžné stanice udělat aktualizační repository pro ostatní klienty, například v dané lokalitě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Podpora VDI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Automatické ověření kompatibility nových virových definic na specifických stanicích</w:t>
            </w:r>
          </w:p>
          <w:p w:rsidR="000B0B92" w:rsidRPr="00161C41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</w:t>
            </w:r>
            <w:r w:rsidRPr="00E067D6">
              <w:rPr>
                <w:rFonts w:ascii="Arial" w:hAnsi="Arial" w:cs="Arial"/>
                <w:sz w:val="16"/>
                <w:szCs w:val="16"/>
              </w:rPr>
              <w:tab/>
              <w:t>Možnost vytvořit nastavení pro koncové body, které se automaticky aplikuje na koncové body v případě malwarových incidentů, které překročí předem stanovenou specifickou hodnotu. Například počet napadených stanic v předem určeném čase.</w:t>
            </w:r>
          </w:p>
        </w:tc>
        <w:tc>
          <w:tcPr>
            <w:tcW w:w="4394" w:type="dxa"/>
          </w:tcPr>
          <w:p w:rsidR="000B0B92" w:rsidRPr="008E5C22" w:rsidRDefault="000B0B92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B0B92" w:rsidRPr="001C3591" w:rsidTr="00161C41">
        <w:trPr>
          <w:trHeight w:val="93"/>
        </w:trPr>
        <w:tc>
          <w:tcPr>
            <w:tcW w:w="1985" w:type="dxa"/>
            <w:vAlign w:val="center"/>
          </w:tcPr>
          <w:p w:rsidR="000B0B92" w:rsidRPr="00E067D6" w:rsidRDefault="00E067D6" w:rsidP="00E067D6">
            <w:pPr>
              <w:ind w:left="57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067D6">
              <w:rPr>
                <w:rFonts w:ascii="Arial" w:hAnsi="Arial" w:cs="Arial"/>
                <w:b/>
                <w:sz w:val="16"/>
                <w:szCs w:val="16"/>
              </w:rPr>
              <w:lastRenderedPageBreak/>
              <w:t>Licence pro serverovou vizualizaci program  (Odstavec 1.2.6 Technické specifikace)</w:t>
            </w:r>
          </w:p>
        </w:tc>
        <w:tc>
          <w:tcPr>
            <w:tcW w:w="4395" w:type="dxa"/>
          </w:tcPr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Software pro virtualizaci serverů, požadavky na funkcionality hypervisoru: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• Rozhraní umožňující zálohovacímu SW třetí strany provádět konzistentní plné, rozdílové a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přírůstkové zálohy virtuálních strojů bez zbytečného zvyšování režie a zátěže hostitelského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serveru i virtuálních strojů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• Funkcionalita, která bude umožňovat automatizaci patch managementu pro host servery a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vybrané Microsoft a Linux virtuální servery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• Komplexní správa virtuální infrastruktury z jedné konzole a umožňující integraci s produkty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třetích stran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• Software pro virtualizaci serverů včetně management konzole musí licenčně pokrývat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použití pro 6 fyzických procesorů (3 fyzické servery, každý max. dva procesory)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• Podpora operačních systémů Microsoft Windows a novější, Linux, FreeBSD jako OS ve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virtuálních strojích.</w:t>
            </w:r>
          </w:p>
          <w:p w:rsidR="000B0B92" w:rsidRPr="00161C41" w:rsidRDefault="00E067D6" w:rsidP="000B1AE2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="000B1AE2">
              <w:rPr>
                <w:rFonts w:ascii="Arial" w:hAnsi="Arial" w:cs="Arial"/>
                <w:sz w:val="16"/>
                <w:szCs w:val="16"/>
              </w:rPr>
              <w:t>Předplacená p</w:t>
            </w:r>
            <w:r w:rsidRPr="00E067D6">
              <w:rPr>
                <w:rFonts w:ascii="Arial" w:hAnsi="Arial" w:cs="Arial"/>
                <w:sz w:val="16"/>
                <w:szCs w:val="16"/>
              </w:rPr>
              <w:t xml:space="preserve">odpora </w:t>
            </w:r>
            <w:r w:rsidR="000B1AE2">
              <w:rPr>
                <w:rFonts w:ascii="Arial" w:hAnsi="Arial" w:cs="Arial"/>
                <w:sz w:val="16"/>
                <w:szCs w:val="16"/>
              </w:rPr>
              <w:t xml:space="preserve">(záruka) </w:t>
            </w:r>
            <w:r w:rsidRPr="00E067D6">
              <w:rPr>
                <w:rFonts w:ascii="Arial" w:hAnsi="Arial" w:cs="Arial"/>
                <w:sz w:val="16"/>
                <w:szCs w:val="16"/>
              </w:rPr>
              <w:t>SW minimálně 5 let</w:t>
            </w:r>
          </w:p>
        </w:tc>
        <w:tc>
          <w:tcPr>
            <w:tcW w:w="4394" w:type="dxa"/>
          </w:tcPr>
          <w:p w:rsidR="000B0B92" w:rsidRPr="008E5C22" w:rsidRDefault="000B0B92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:rsidR="00742AE7" w:rsidRDefault="00742AE7" w:rsidP="00E067D6">
      <w:pPr>
        <w:ind w:left="57"/>
        <w:jc w:val="left"/>
        <w:rPr>
          <w:rFonts w:ascii="Arial" w:hAnsi="Arial" w:cs="Arial"/>
          <w:b/>
          <w:sz w:val="16"/>
          <w:szCs w:val="16"/>
        </w:rPr>
        <w:sectPr w:rsidR="00742AE7" w:rsidSect="00161C41">
          <w:pgSz w:w="11906" w:h="16838"/>
          <w:pgMar w:top="720" w:right="720" w:bottom="720" w:left="720" w:header="454" w:footer="680" w:gutter="0"/>
          <w:cols w:space="708"/>
          <w:docGrid w:linePitch="360"/>
        </w:sect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4395"/>
        <w:gridCol w:w="4394"/>
      </w:tblGrid>
      <w:tr w:rsidR="000B0B92" w:rsidRPr="0040122C" w:rsidTr="00161C41">
        <w:trPr>
          <w:trHeight w:val="156"/>
        </w:trPr>
        <w:tc>
          <w:tcPr>
            <w:tcW w:w="1985" w:type="dxa"/>
            <w:vAlign w:val="center"/>
          </w:tcPr>
          <w:p w:rsidR="000B0B92" w:rsidRPr="00E067D6" w:rsidRDefault="00E067D6" w:rsidP="00E067D6">
            <w:pPr>
              <w:ind w:left="57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067D6">
              <w:rPr>
                <w:rFonts w:ascii="Arial" w:hAnsi="Arial" w:cs="Arial"/>
                <w:b/>
                <w:sz w:val="16"/>
                <w:szCs w:val="16"/>
              </w:rPr>
              <w:lastRenderedPageBreak/>
              <w:t>Zálohovací software (Odstavec 1.2.7 Technické specifikace)</w:t>
            </w:r>
          </w:p>
        </w:tc>
        <w:tc>
          <w:tcPr>
            <w:tcW w:w="4395" w:type="dxa"/>
          </w:tcPr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 Podpora více hypervizorů: VMwarevSphere a Microsoft Hyper-V pomocí jediného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produktu, z jediné konzoly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 Syntetické kompletní zálohy: Eliminace potřeby periodických kompletních záloh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 Zabudovaná deduplikace a komprese: Snížit síťový provoz a požadavky na úložný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prostor až o 75% nebo více.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- 2 v 1: zálohování a replikace: Zálohování a replikace pomocí bitové kopie v jediném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sjednoceném, na úložišti nezávislém řešení.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 Bez agentů: Na hostitelích ani na virtuálních strojích se nesmí licencovat, nasazovat,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spravovat ani monitorovat žádné agenty.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 Obnovení na úrovni objektů pro jakoukoli aplikaci, na jakémkoli OS, pomocí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stávajících nástrojů pro správu aplikací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 Obnovení souboru do Windows OS a do non-Windows OS pomocí kliknutí myší, bez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nutnosti logování na daný virtuální počítač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 Microsoft Exchange obnovování položek poštovních schránek Exchange bez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instalace agenta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 Microsoft ActiveDirectory obnovování jednotlivých uživatelských a počítačových účtů bez instalace agenta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 Microsoft SQL Server export souborů databází SQL k bodu v čase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 Podpora inkrementálních záloh</w:t>
            </w:r>
          </w:p>
          <w:p w:rsidR="00E067D6" w:rsidRPr="00E067D6" w:rsidRDefault="00E067D6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>- Plná správa včetně plánování zálohovacích úloh v jednotném grafickém prostředí</w:t>
            </w:r>
          </w:p>
          <w:p w:rsidR="000B0B92" w:rsidRPr="00161C41" w:rsidRDefault="00E067D6" w:rsidP="000B1AE2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067D6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0B1AE2">
              <w:rPr>
                <w:rFonts w:ascii="Arial" w:hAnsi="Arial" w:cs="Arial"/>
                <w:sz w:val="16"/>
                <w:szCs w:val="16"/>
              </w:rPr>
              <w:t>Předplacená p</w:t>
            </w:r>
            <w:r w:rsidRPr="00E067D6">
              <w:rPr>
                <w:rFonts w:ascii="Arial" w:hAnsi="Arial" w:cs="Arial"/>
                <w:sz w:val="16"/>
                <w:szCs w:val="16"/>
              </w:rPr>
              <w:t>odpora</w:t>
            </w:r>
            <w:r w:rsidR="000B1AE2">
              <w:rPr>
                <w:rFonts w:ascii="Arial" w:hAnsi="Arial" w:cs="Arial"/>
                <w:sz w:val="16"/>
                <w:szCs w:val="16"/>
              </w:rPr>
              <w:t xml:space="preserve"> (záruka) </w:t>
            </w:r>
            <w:r w:rsidRPr="00E067D6">
              <w:rPr>
                <w:rFonts w:ascii="Arial" w:hAnsi="Arial" w:cs="Arial"/>
                <w:sz w:val="16"/>
                <w:szCs w:val="16"/>
              </w:rPr>
              <w:t>SW minimálně 5 let</w:t>
            </w:r>
          </w:p>
        </w:tc>
        <w:tc>
          <w:tcPr>
            <w:tcW w:w="4394" w:type="dxa"/>
          </w:tcPr>
          <w:p w:rsidR="000B0B92" w:rsidRPr="008E5C22" w:rsidRDefault="000B0B92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B0B92" w:rsidRPr="001C3591" w:rsidTr="00161C41">
        <w:trPr>
          <w:trHeight w:val="557"/>
        </w:trPr>
        <w:tc>
          <w:tcPr>
            <w:tcW w:w="1985" w:type="dxa"/>
            <w:vAlign w:val="center"/>
          </w:tcPr>
          <w:p w:rsidR="000B0B92" w:rsidRPr="00E067D6" w:rsidRDefault="00E067D6" w:rsidP="00E067D6">
            <w:pPr>
              <w:ind w:left="57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067D6">
              <w:rPr>
                <w:rFonts w:ascii="Arial" w:hAnsi="Arial" w:cs="Arial"/>
                <w:b/>
                <w:sz w:val="16"/>
                <w:szCs w:val="16"/>
              </w:rPr>
              <w:t>Implementace (Odstavec 1.2.8 Technické specifikace)</w:t>
            </w:r>
          </w:p>
        </w:tc>
        <w:tc>
          <w:tcPr>
            <w:tcW w:w="4395" w:type="dxa"/>
            <w:vAlign w:val="center"/>
          </w:tcPr>
          <w:p w:rsidR="00742AE7" w:rsidRPr="00742AE7" w:rsidRDefault="00742AE7" w:rsidP="00742AE7">
            <w:pPr>
              <w:ind w:left="57" w:right="113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742AE7">
              <w:rPr>
                <w:rFonts w:ascii="Arial" w:hAnsi="Arial" w:cs="Arial"/>
                <w:b/>
                <w:sz w:val="16"/>
                <w:szCs w:val="16"/>
              </w:rPr>
              <w:t>Dodavatel provede:</w:t>
            </w:r>
          </w:p>
          <w:p w:rsidR="00742AE7" w:rsidRPr="00742AE7" w:rsidRDefault="00742AE7" w:rsidP="00742AE7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742AE7">
              <w:rPr>
                <w:rFonts w:ascii="Arial" w:hAnsi="Arial" w:cs="Arial"/>
                <w:sz w:val="16"/>
                <w:szCs w:val="16"/>
              </w:rPr>
              <w:t>- Fyzickou instalaci všech navržených technologií</w:t>
            </w:r>
          </w:p>
          <w:p w:rsidR="00742AE7" w:rsidRPr="00742AE7" w:rsidRDefault="00742AE7" w:rsidP="00742AE7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742AE7">
              <w:rPr>
                <w:rFonts w:ascii="Arial" w:hAnsi="Arial" w:cs="Arial"/>
                <w:sz w:val="16"/>
                <w:szCs w:val="16"/>
              </w:rPr>
              <w:t xml:space="preserve">- Konfigurace virtuální infrastruktury na ESX serverech </w:t>
            </w:r>
          </w:p>
          <w:p w:rsidR="00742AE7" w:rsidRPr="00742AE7" w:rsidRDefault="00742AE7" w:rsidP="00742AE7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742AE7">
              <w:rPr>
                <w:rFonts w:ascii="Arial" w:hAnsi="Arial" w:cs="Arial"/>
                <w:sz w:val="16"/>
                <w:szCs w:val="16"/>
              </w:rPr>
              <w:t>- SW instalaci navržených licencí, zprovoznění funkčních celků</w:t>
            </w:r>
          </w:p>
          <w:p w:rsidR="00742AE7" w:rsidRPr="00742AE7" w:rsidRDefault="00742AE7" w:rsidP="00742AE7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742AE7">
              <w:rPr>
                <w:rFonts w:ascii="Arial" w:hAnsi="Arial" w:cs="Arial"/>
                <w:sz w:val="16"/>
                <w:szCs w:val="16"/>
              </w:rPr>
              <w:t>- Instalace virtualizace Doména serveru – Windows server 2012R2, včetně upgrade AD ze stávající verze</w:t>
            </w:r>
          </w:p>
          <w:p w:rsidR="00742AE7" w:rsidRPr="00742AE7" w:rsidRDefault="00742AE7" w:rsidP="00742AE7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742AE7">
              <w:rPr>
                <w:rFonts w:ascii="Arial" w:hAnsi="Arial" w:cs="Arial"/>
                <w:sz w:val="16"/>
                <w:szCs w:val="16"/>
              </w:rPr>
              <w:t>- Migrace aplikačního, Terminálového a SQL serveru, včetně migrace dat</w:t>
            </w:r>
          </w:p>
          <w:p w:rsidR="00742AE7" w:rsidRPr="00742AE7" w:rsidRDefault="00742AE7" w:rsidP="00742AE7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742AE7">
              <w:rPr>
                <w:rFonts w:ascii="Arial" w:hAnsi="Arial" w:cs="Arial"/>
                <w:sz w:val="16"/>
                <w:szCs w:val="16"/>
              </w:rPr>
              <w:t>- Nastavení zálohování virtuálních serverů a dat</w:t>
            </w:r>
          </w:p>
          <w:p w:rsidR="00742AE7" w:rsidRPr="00742AE7" w:rsidRDefault="00742AE7" w:rsidP="00742AE7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742AE7">
              <w:rPr>
                <w:rFonts w:ascii="Arial" w:hAnsi="Arial" w:cs="Arial"/>
                <w:sz w:val="16"/>
                <w:szCs w:val="16"/>
              </w:rPr>
              <w:t>- Výměna bateríí v UPS, včetně kalibrace, Instalace Management karty, včetně nastavení korektního vypínání serverů, při běhu na baterie</w:t>
            </w:r>
          </w:p>
          <w:p w:rsidR="00742AE7" w:rsidRPr="00742AE7" w:rsidRDefault="00742AE7" w:rsidP="00742AE7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742AE7">
              <w:rPr>
                <w:rFonts w:ascii="Arial" w:hAnsi="Arial" w:cs="Arial"/>
                <w:sz w:val="16"/>
                <w:szCs w:val="16"/>
              </w:rPr>
              <w:t>- Instalace a konfigurace antivirového programu na stanice a servery, včetně centrální správy.</w:t>
            </w:r>
          </w:p>
          <w:p w:rsidR="00742AE7" w:rsidRPr="00742AE7" w:rsidRDefault="00742AE7" w:rsidP="00742AE7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742AE7">
              <w:rPr>
                <w:rFonts w:ascii="Arial" w:hAnsi="Arial" w:cs="Arial"/>
                <w:sz w:val="16"/>
                <w:szCs w:val="16"/>
              </w:rPr>
              <w:t>- Školení v rozsahu odpovídajícím charakteru a rozsahu předmětu veřejné zakázky</w:t>
            </w:r>
          </w:p>
          <w:p w:rsidR="000B0B92" w:rsidRPr="00161C41" w:rsidRDefault="00742AE7" w:rsidP="00742AE7">
            <w:pPr>
              <w:ind w:left="57" w:right="11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742AE7">
              <w:rPr>
                <w:rFonts w:ascii="Arial" w:hAnsi="Arial" w:cs="Arial"/>
                <w:sz w:val="16"/>
                <w:szCs w:val="16"/>
              </w:rPr>
              <w:t>- Minimální rozsah implementačních služeb 70 hodin</w:t>
            </w:r>
          </w:p>
        </w:tc>
        <w:tc>
          <w:tcPr>
            <w:tcW w:w="4394" w:type="dxa"/>
          </w:tcPr>
          <w:p w:rsidR="000B0B92" w:rsidRPr="008E5C22" w:rsidRDefault="000B0B92" w:rsidP="00E067D6">
            <w:pPr>
              <w:ind w:left="57" w:right="113"/>
              <w:jc w:val="left"/>
              <w:rPr>
                <w:rFonts w:ascii="Arial" w:hAnsi="Arial" w:cs="Arial"/>
                <w:sz w:val="16"/>
                <w:szCs w:val="18"/>
              </w:rPr>
            </w:pPr>
          </w:p>
        </w:tc>
      </w:tr>
      <w:bookmarkEnd w:id="0"/>
    </w:tbl>
    <w:p w:rsidR="00F9121B" w:rsidRPr="007E3EF5" w:rsidRDefault="00F9121B" w:rsidP="00F9121B">
      <w:pPr>
        <w:tabs>
          <w:tab w:val="left" w:pos="3267"/>
        </w:tabs>
        <w:rPr>
          <w:sz w:val="20"/>
        </w:rPr>
      </w:pPr>
    </w:p>
    <w:sectPr w:rsidR="00F9121B" w:rsidRPr="007E3EF5" w:rsidSect="00161C41">
      <w:pgSz w:w="11906" w:h="16838"/>
      <w:pgMar w:top="720" w:right="720" w:bottom="720" w:left="720" w:header="454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433" w:rsidRDefault="000B7433" w:rsidP="00516332">
      <w:pPr>
        <w:spacing w:before="0"/>
      </w:pPr>
      <w:r>
        <w:separator/>
      </w:r>
    </w:p>
  </w:endnote>
  <w:endnote w:type="continuationSeparator" w:id="1">
    <w:p w:rsidR="000B7433" w:rsidRDefault="000B7433" w:rsidP="00516332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274" w:rsidRDefault="00713A21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1.5pt;margin-top:5.65pt;width:496.7pt;height:.05pt;z-index:251658240" o:connectortype="straight" strokecolor="#666" strokeweight="1pt">
          <v:shadow type="perspective" color="#7f7f7f" opacity=".5" offset="1pt" offset2="-3pt"/>
        </v:shape>
      </w:pict>
    </w:r>
  </w:p>
  <w:p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 v obch.</w:t>
    </w:r>
    <w:r w:rsidR="00290197" w:rsidRPr="006159F5">
      <w:rPr>
        <w:rFonts w:ascii="Arial Narrow" w:hAnsi="Arial Narrow" w:cs="Arial"/>
        <w:sz w:val="16"/>
        <w:szCs w:val="16"/>
      </w:rPr>
      <w:t xml:space="preserve"> rejstříku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Pr, vložka 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433" w:rsidRDefault="000B7433" w:rsidP="00516332">
      <w:pPr>
        <w:spacing w:before="0"/>
      </w:pPr>
      <w:r>
        <w:separator/>
      </w:r>
    </w:p>
  </w:footnote>
  <w:footnote w:type="continuationSeparator" w:id="1">
    <w:p w:rsidR="000B7433" w:rsidRDefault="000B7433" w:rsidP="00516332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50" w:type="dxa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9750"/>
    </w:tblGrid>
    <w:tr w:rsidR="00161C41" w:rsidRPr="00516332" w:rsidTr="00E95B56">
      <w:trPr>
        <w:trHeight w:val="778"/>
      </w:trPr>
      <w:tc>
        <w:tcPr>
          <w:tcW w:w="9750" w:type="dxa"/>
        </w:tcPr>
        <w:p w:rsidR="00161C41" w:rsidRDefault="00161C41" w:rsidP="00161C41">
          <w:pPr>
            <w:rPr>
              <w:rFonts w:ascii="Arial" w:hAnsi="Arial" w:cs="Arial"/>
              <w:b/>
              <w:sz w:val="24"/>
            </w:rPr>
          </w:pPr>
          <w:r w:rsidRPr="008E5C22">
            <w:rPr>
              <w:rFonts w:ascii="Arial" w:hAnsi="Arial" w:cs="Arial"/>
              <w:b/>
              <w:sz w:val="24"/>
            </w:rPr>
            <w:t>Příloha č.</w:t>
          </w:r>
          <w:r w:rsidR="00F97CB2">
            <w:rPr>
              <w:rFonts w:ascii="Arial" w:hAnsi="Arial" w:cs="Arial"/>
              <w:b/>
              <w:sz w:val="24"/>
            </w:rPr>
            <w:t>2</w:t>
          </w:r>
          <w:r w:rsidR="00742AE7">
            <w:rPr>
              <w:rFonts w:ascii="Arial" w:hAnsi="Arial" w:cs="Arial"/>
              <w:b/>
              <w:sz w:val="24"/>
            </w:rPr>
            <w:t xml:space="preserve">  -  </w:t>
          </w:r>
          <w:r w:rsidR="005721D6">
            <w:rPr>
              <w:rFonts w:ascii="Arial" w:hAnsi="Arial" w:cs="Arial"/>
              <w:b/>
              <w:sz w:val="24"/>
            </w:rPr>
            <w:t xml:space="preserve">Soupis prací a </w:t>
          </w:r>
          <w:r w:rsidR="00742AE7">
            <w:rPr>
              <w:rFonts w:ascii="Arial" w:hAnsi="Arial" w:cs="Arial"/>
              <w:b/>
              <w:sz w:val="24"/>
            </w:rPr>
            <w:t>dodávek</w:t>
          </w:r>
        </w:p>
        <w:p w:rsidR="00161C41" w:rsidRPr="00305236" w:rsidRDefault="00161C41" w:rsidP="00305236">
          <w:pPr>
            <w:spacing w:before="0" w:after="40"/>
            <w:rPr>
              <w:rFonts w:ascii="Arial Narrow" w:hAnsi="Arial Narrow" w:cs="Arial"/>
              <w:b/>
              <w:sz w:val="18"/>
              <w:szCs w:val="18"/>
            </w:rPr>
          </w:pPr>
        </w:p>
      </w:tc>
    </w:tr>
  </w:tbl>
  <w:p w:rsidR="00516332" w:rsidRDefault="00713A21" w:rsidP="00305236">
    <w:pPr>
      <w:pStyle w:val="Zhlav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1.5pt;margin-top:.45pt;width:496.7pt;height:.05pt;z-index:251657216;mso-position-horizontal-relative:text;mso-position-vertical-relative:text" o:connectortype="straight" strokecolor="#666" strokeweight="1pt">
          <v:shadow type="perspective" color="#7f7f7f" opacity=".5" offset="1pt" offset2="-3p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alt="ctverecek5.jpg" style="width:4.8pt;height:4.8pt;visibility:visible" o:bullet="t">
        <v:imagedata r:id="rId1" o:title="ctverecek5"/>
      </v:shape>
    </w:pict>
  </w:numPicBullet>
  <w:abstractNum w:abstractNumId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51F6C"/>
    <w:multiLevelType w:val="hybridMultilevel"/>
    <w:tmpl w:val="364A1A38"/>
    <w:lvl w:ilvl="0" w:tplc="5F141378">
      <w:start w:val="1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5B4604E"/>
    <w:multiLevelType w:val="hybridMultilevel"/>
    <w:tmpl w:val="B504C76C"/>
    <w:lvl w:ilvl="0" w:tplc="30629D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6E3150"/>
    <w:multiLevelType w:val="hybridMultilevel"/>
    <w:tmpl w:val="6484AB7A"/>
    <w:lvl w:ilvl="0" w:tplc="53D2F40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65" w:hanging="360"/>
      </w:pPr>
    </w:lvl>
    <w:lvl w:ilvl="2" w:tplc="0405001B" w:tentative="1">
      <w:start w:val="1"/>
      <w:numFmt w:val="lowerRoman"/>
      <w:lvlText w:val="%3."/>
      <w:lvlJc w:val="right"/>
      <w:pPr>
        <w:ind w:left="3285" w:hanging="180"/>
      </w:pPr>
    </w:lvl>
    <w:lvl w:ilvl="3" w:tplc="0405000F" w:tentative="1">
      <w:start w:val="1"/>
      <w:numFmt w:val="decimal"/>
      <w:lvlText w:val="%4."/>
      <w:lvlJc w:val="left"/>
      <w:pPr>
        <w:ind w:left="4005" w:hanging="360"/>
      </w:pPr>
    </w:lvl>
    <w:lvl w:ilvl="4" w:tplc="04050019" w:tentative="1">
      <w:start w:val="1"/>
      <w:numFmt w:val="lowerLetter"/>
      <w:lvlText w:val="%5."/>
      <w:lvlJc w:val="left"/>
      <w:pPr>
        <w:ind w:left="4725" w:hanging="360"/>
      </w:pPr>
    </w:lvl>
    <w:lvl w:ilvl="5" w:tplc="0405001B" w:tentative="1">
      <w:start w:val="1"/>
      <w:numFmt w:val="lowerRoman"/>
      <w:lvlText w:val="%6."/>
      <w:lvlJc w:val="right"/>
      <w:pPr>
        <w:ind w:left="5445" w:hanging="180"/>
      </w:pPr>
    </w:lvl>
    <w:lvl w:ilvl="6" w:tplc="0405000F" w:tentative="1">
      <w:start w:val="1"/>
      <w:numFmt w:val="decimal"/>
      <w:lvlText w:val="%7."/>
      <w:lvlJc w:val="left"/>
      <w:pPr>
        <w:ind w:left="6165" w:hanging="360"/>
      </w:pPr>
    </w:lvl>
    <w:lvl w:ilvl="7" w:tplc="04050019" w:tentative="1">
      <w:start w:val="1"/>
      <w:numFmt w:val="lowerLetter"/>
      <w:lvlText w:val="%8."/>
      <w:lvlJc w:val="left"/>
      <w:pPr>
        <w:ind w:left="6885" w:hanging="360"/>
      </w:pPr>
    </w:lvl>
    <w:lvl w:ilvl="8" w:tplc="040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4C30EC"/>
    <w:multiLevelType w:val="hybridMultilevel"/>
    <w:tmpl w:val="FB2ED5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4E0CE6"/>
    <w:multiLevelType w:val="hybridMultilevel"/>
    <w:tmpl w:val="6E3C535A"/>
    <w:lvl w:ilvl="0" w:tplc="6B528A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B21338"/>
    <w:multiLevelType w:val="hybridMultilevel"/>
    <w:tmpl w:val="79A4FDA0"/>
    <w:lvl w:ilvl="0" w:tplc="AAD08D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C21F5C"/>
    <w:multiLevelType w:val="hybridMultilevel"/>
    <w:tmpl w:val="80CC968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822B2"/>
    <w:multiLevelType w:val="hybridMultilevel"/>
    <w:tmpl w:val="8EA869A4"/>
    <w:lvl w:ilvl="0" w:tplc="00CCF2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6"/>
  </w:num>
  <w:num w:numId="4">
    <w:abstractNumId w:val="20"/>
  </w:num>
  <w:num w:numId="5">
    <w:abstractNumId w:val="2"/>
  </w:num>
  <w:num w:numId="6">
    <w:abstractNumId w:val="8"/>
  </w:num>
  <w:num w:numId="7">
    <w:abstractNumId w:val="24"/>
  </w:num>
  <w:num w:numId="8">
    <w:abstractNumId w:val="15"/>
  </w:num>
  <w:num w:numId="9">
    <w:abstractNumId w:val="7"/>
  </w:num>
  <w:num w:numId="10">
    <w:abstractNumId w:val="0"/>
  </w:num>
  <w:num w:numId="11">
    <w:abstractNumId w:val="3"/>
  </w:num>
  <w:num w:numId="12">
    <w:abstractNumId w:val="11"/>
  </w:num>
  <w:num w:numId="13">
    <w:abstractNumId w:val="22"/>
  </w:num>
  <w:num w:numId="14">
    <w:abstractNumId w:val="4"/>
  </w:num>
  <w:num w:numId="15">
    <w:abstractNumId w:val="13"/>
  </w:num>
  <w:num w:numId="16">
    <w:abstractNumId w:val="19"/>
  </w:num>
  <w:num w:numId="17">
    <w:abstractNumId w:val="12"/>
  </w:num>
  <w:num w:numId="18">
    <w:abstractNumId w:val="10"/>
  </w:num>
  <w:num w:numId="19">
    <w:abstractNumId w:val="14"/>
  </w:num>
  <w:num w:numId="20">
    <w:abstractNumId w:val="17"/>
  </w:num>
  <w:num w:numId="21">
    <w:abstractNumId w:val="18"/>
  </w:num>
  <w:num w:numId="22">
    <w:abstractNumId w:val="25"/>
  </w:num>
  <w:num w:numId="23">
    <w:abstractNumId w:val="16"/>
  </w:num>
  <w:num w:numId="24">
    <w:abstractNumId w:val="5"/>
  </w:num>
  <w:num w:numId="25">
    <w:abstractNumId w:val="1"/>
  </w:num>
  <w:num w:numId="26">
    <w:abstractNumId w:val="9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  <o:rules v:ext="edit">
        <o:r id="V:Rule3" type="connector" idref="#_x0000_s2050"/>
        <o:r id="V:Rule4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945BC1"/>
    <w:rsid w:val="0001015E"/>
    <w:rsid w:val="000126BA"/>
    <w:rsid w:val="000336ED"/>
    <w:rsid w:val="00041F06"/>
    <w:rsid w:val="00094907"/>
    <w:rsid w:val="000A60D4"/>
    <w:rsid w:val="000B0B92"/>
    <w:rsid w:val="000B1AE2"/>
    <w:rsid w:val="000B7433"/>
    <w:rsid w:val="000F00DD"/>
    <w:rsid w:val="0011136E"/>
    <w:rsid w:val="00161C41"/>
    <w:rsid w:val="001631AB"/>
    <w:rsid w:val="001653F6"/>
    <w:rsid w:val="001703EC"/>
    <w:rsid w:val="001D4E83"/>
    <w:rsid w:val="001E0E5C"/>
    <w:rsid w:val="001E1B8F"/>
    <w:rsid w:val="00243D27"/>
    <w:rsid w:val="00274744"/>
    <w:rsid w:val="00290197"/>
    <w:rsid w:val="00296274"/>
    <w:rsid w:val="002A0A4A"/>
    <w:rsid w:val="002B1820"/>
    <w:rsid w:val="002B28BF"/>
    <w:rsid w:val="002E28E2"/>
    <w:rsid w:val="002E6C21"/>
    <w:rsid w:val="0030123A"/>
    <w:rsid w:val="00302C07"/>
    <w:rsid w:val="00303AC9"/>
    <w:rsid w:val="00305236"/>
    <w:rsid w:val="00347E20"/>
    <w:rsid w:val="003735B4"/>
    <w:rsid w:val="00394213"/>
    <w:rsid w:val="003C36BC"/>
    <w:rsid w:val="003D5BB3"/>
    <w:rsid w:val="003F1C3C"/>
    <w:rsid w:val="004003B5"/>
    <w:rsid w:val="00407698"/>
    <w:rsid w:val="00415DCE"/>
    <w:rsid w:val="00416EB0"/>
    <w:rsid w:val="004376A6"/>
    <w:rsid w:val="00465FCE"/>
    <w:rsid w:val="0048304D"/>
    <w:rsid w:val="004C512D"/>
    <w:rsid w:val="004E4901"/>
    <w:rsid w:val="004E63CF"/>
    <w:rsid w:val="004F714B"/>
    <w:rsid w:val="00504F08"/>
    <w:rsid w:val="005110BF"/>
    <w:rsid w:val="00516332"/>
    <w:rsid w:val="00525978"/>
    <w:rsid w:val="00556771"/>
    <w:rsid w:val="00565F05"/>
    <w:rsid w:val="005721D6"/>
    <w:rsid w:val="00577BED"/>
    <w:rsid w:val="005B7DDD"/>
    <w:rsid w:val="005E4B00"/>
    <w:rsid w:val="006159F5"/>
    <w:rsid w:val="00676117"/>
    <w:rsid w:val="00693E8B"/>
    <w:rsid w:val="006D3620"/>
    <w:rsid w:val="006D5059"/>
    <w:rsid w:val="00713A21"/>
    <w:rsid w:val="00742AE7"/>
    <w:rsid w:val="00750F2D"/>
    <w:rsid w:val="007538AA"/>
    <w:rsid w:val="007C3565"/>
    <w:rsid w:val="007E3EF5"/>
    <w:rsid w:val="008034B8"/>
    <w:rsid w:val="00870642"/>
    <w:rsid w:val="00895EAE"/>
    <w:rsid w:val="008A7BA6"/>
    <w:rsid w:val="008B59C6"/>
    <w:rsid w:val="008E532B"/>
    <w:rsid w:val="008E5C22"/>
    <w:rsid w:val="00916589"/>
    <w:rsid w:val="00945BC1"/>
    <w:rsid w:val="009549F8"/>
    <w:rsid w:val="009805AF"/>
    <w:rsid w:val="00A175AD"/>
    <w:rsid w:val="00A3179B"/>
    <w:rsid w:val="00A901FB"/>
    <w:rsid w:val="00AB3E23"/>
    <w:rsid w:val="00AE2D22"/>
    <w:rsid w:val="00B0045F"/>
    <w:rsid w:val="00B11E36"/>
    <w:rsid w:val="00BA6698"/>
    <w:rsid w:val="00BF0534"/>
    <w:rsid w:val="00BF44F2"/>
    <w:rsid w:val="00C2022F"/>
    <w:rsid w:val="00C70D45"/>
    <w:rsid w:val="00C7681B"/>
    <w:rsid w:val="00C827B4"/>
    <w:rsid w:val="00CA4F20"/>
    <w:rsid w:val="00CC5D6D"/>
    <w:rsid w:val="00D35934"/>
    <w:rsid w:val="00D36A17"/>
    <w:rsid w:val="00D93431"/>
    <w:rsid w:val="00DA797E"/>
    <w:rsid w:val="00DC37C8"/>
    <w:rsid w:val="00E067D6"/>
    <w:rsid w:val="00E24553"/>
    <w:rsid w:val="00E724CA"/>
    <w:rsid w:val="00EA293E"/>
    <w:rsid w:val="00F0465C"/>
    <w:rsid w:val="00F26EC1"/>
    <w:rsid w:val="00F31BAF"/>
    <w:rsid w:val="00F56E23"/>
    <w:rsid w:val="00F741DA"/>
    <w:rsid w:val="00F9121B"/>
    <w:rsid w:val="00F97CB2"/>
    <w:rsid w:val="00FA02DA"/>
    <w:rsid w:val="00FE1866"/>
    <w:rsid w:val="00FE26CA"/>
    <w:rsid w:val="00FE4286"/>
    <w:rsid w:val="00FF5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6332"/>
    <w:pPr>
      <w:spacing w:before="60"/>
      <w:jc w:val="both"/>
    </w:pPr>
    <w:rPr>
      <w:rFonts w:ascii="Times New Roman" w:eastAsia="Times New Roman" w:hAnsi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7FCB77-8CAF-4119-A81A-0D0A1049A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1623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2013-08-09T05:29:00Z</cp:lastPrinted>
  <dcterms:created xsi:type="dcterms:W3CDTF">2016-08-12T04:56:00Z</dcterms:created>
  <dcterms:modified xsi:type="dcterms:W3CDTF">2016-08-15T08:43:00Z</dcterms:modified>
</cp:coreProperties>
</file>