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08D9B2B3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5025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30570E16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D03A61">
        <w:rPr>
          <w:rFonts w:asciiTheme="minorHAnsi" w:hAnsiTheme="minorHAnsi" w:cstheme="minorHAnsi"/>
          <w:b/>
          <w:sz w:val="26"/>
          <w:szCs w:val="26"/>
          <w:u w:val="single"/>
        </w:rPr>
        <w:t>Areál TSHK – oprava skladu soli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19</cp:revision>
  <cp:lastPrinted>2010-03-11T14:25:00Z</cp:lastPrinted>
  <dcterms:created xsi:type="dcterms:W3CDTF">2023-10-04T10:54:00Z</dcterms:created>
  <dcterms:modified xsi:type="dcterms:W3CDTF">2025-02-03T07:54:00Z</dcterms:modified>
</cp:coreProperties>
</file>