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9685" w14:textId="43AB950A" w:rsidR="008F1366" w:rsidRPr="00782DA4" w:rsidRDefault="00486468" w:rsidP="008F1366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Příloha č.</w:t>
      </w:r>
      <w:r w:rsidR="006715C1">
        <w:rPr>
          <w:rFonts w:eastAsia="Times New Roman"/>
          <w:lang w:eastAsia="cs-CZ"/>
        </w:rPr>
        <w:t xml:space="preserve"> </w:t>
      </w:r>
      <w:r w:rsidR="0048161D">
        <w:rPr>
          <w:rFonts w:eastAsia="Times New Roman"/>
          <w:lang w:eastAsia="cs-CZ"/>
        </w:rPr>
        <w:t>2</w:t>
      </w:r>
      <w:r w:rsidR="00EE59DE">
        <w:rPr>
          <w:rFonts w:eastAsia="Times New Roman"/>
          <w:lang w:eastAsia="cs-CZ"/>
        </w:rPr>
        <w:t xml:space="preserve"> - </w:t>
      </w:r>
      <w:r w:rsidR="008F1366" w:rsidRPr="00782DA4">
        <w:rPr>
          <w:rFonts w:eastAsia="Times New Roman"/>
          <w:lang w:eastAsia="cs-CZ"/>
        </w:rPr>
        <w:t>Popis aktuálního IT prostředí</w:t>
      </w:r>
      <w:r w:rsidR="00414CC5">
        <w:rPr>
          <w:rFonts w:eastAsia="Times New Roman"/>
          <w:lang w:eastAsia="cs-CZ"/>
        </w:rPr>
        <w:t xml:space="preserve"> a </w:t>
      </w:r>
      <w:r w:rsidR="00414CC5" w:rsidRPr="00414CC5">
        <w:rPr>
          <w:rFonts w:eastAsia="Times New Roman"/>
          <w:lang w:eastAsia="cs-CZ"/>
        </w:rPr>
        <w:t>budoucího stavu</w:t>
      </w:r>
    </w:p>
    <w:p w14:paraId="618871FD" w14:textId="77777777" w:rsidR="008F1366" w:rsidRPr="00782DA4" w:rsidRDefault="008F1366" w:rsidP="008F136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Naše současné IT prostředí se skládá z několika klíčových prvků, které umožňují plynulý chod našich informačních systémů.</w:t>
      </w:r>
    </w:p>
    <w:p w14:paraId="4A89D28C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1. Hardware</w:t>
      </w:r>
    </w:p>
    <w:p w14:paraId="245F2452" w14:textId="77777777" w:rsidR="008F1366" w:rsidRPr="00782DA4" w:rsidRDefault="008F1366" w:rsidP="008F1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Máme tři fyzické servery: 2x HP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Proliant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DL 360 Gen9 a 1x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Huawei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proofErr w:type="gramStart"/>
      <w:r w:rsidRPr="00782DA4">
        <w:rPr>
          <w:rFonts w:eastAsia="Times New Roman" w:cstheme="minorHAnsi"/>
          <w:kern w:val="0"/>
          <w:lang w:eastAsia="cs-CZ"/>
          <w14:ligatures w14:val="none"/>
        </w:rPr>
        <w:t>1288H</w:t>
      </w:r>
      <w:proofErr w:type="gram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V5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710120FF" w14:textId="77777777" w:rsidR="008F1366" w:rsidRPr="00782DA4" w:rsidRDefault="008F1366" w:rsidP="008F1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Tyto servery jsou základem naší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virtualizační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platformy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535BD437" w14:textId="77777777" w:rsidR="008F1366" w:rsidRPr="00782DA4" w:rsidRDefault="008F1366" w:rsidP="008F1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Naše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virtualizační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řešení je postaveno na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VMware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Essentials Plus ve verzi 7.0.3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04E92C4F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2. Úložiště</w:t>
      </w:r>
    </w:p>
    <w:p w14:paraId="00557C83" w14:textId="77777777" w:rsidR="008F1366" w:rsidRPr="00782DA4" w:rsidRDefault="008F1366" w:rsidP="008F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Pro náš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VMware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cluster využíváme úložiště HP MSA2040 s kapacitou 12TB v konfiguraci RAID5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6A966EB3" w14:textId="77777777" w:rsidR="008F1366" w:rsidRPr="00782DA4" w:rsidRDefault="008F1366" w:rsidP="008F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Aktuálně je využito cca 11TB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2821C350" w14:textId="77777777" w:rsidR="008F1366" w:rsidRPr="00782DA4" w:rsidRDefault="008F1366" w:rsidP="008F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t>Diskové pole HP MSA2040 obsahuje 2 řadiče, přičemž každý řadič disponuje 4x 10Gb SFP+ porty</w:t>
      </w:r>
      <w:r>
        <w:t>.</w:t>
      </w:r>
    </w:p>
    <w:p w14:paraId="324EA6B6" w14:textId="77777777" w:rsidR="008F1366" w:rsidRPr="00782DA4" w:rsidRDefault="008F1366" w:rsidP="008F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t xml:space="preserve">Tato konfigurace zajišťuje rychlý a spolehlivý přenos dat mezi úložištěm a našimi </w:t>
      </w:r>
      <w:proofErr w:type="spellStart"/>
      <w:r w:rsidRPr="00782DA4">
        <w:t>ESXi</w:t>
      </w:r>
      <w:proofErr w:type="spellEnd"/>
      <w:r w:rsidRPr="00782DA4">
        <w:t xml:space="preserve"> servery, což je zásadní pro výkon a dostupnost našich </w:t>
      </w:r>
      <w:proofErr w:type="spellStart"/>
      <w:r w:rsidRPr="00782DA4">
        <w:t>virtualizovaných</w:t>
      </w:r>
      <w:proofErr w:type="spellEnd"/>
      <w:r w:rsidRPr="00782DA4">
        <w:t xml:space="preserve"> aplikací a služeb</w:t>
      </w:r>
      <w:r>
        <w:t>.</w:t>
      </w:r>
    </w:p>
    <w:p w14:paraId="0E5E5502" w14:textId="77777777" w:rsidR="008F1366" w:rsidRPr="00782DA4" w:rsidRDefault="008F1366" w:rsidP="008F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t xml:space="preserve">Díky přímému připojení k </w:t>
      </w:r>
      <w:proofErr w:type="spellStart"/>
      <w:r w:rsidRPr="00782DA4">
        <w:t>ESXi</w:t>
      </w:r>
      <w:proofErr w:type="spellEnd"/>
      <w:r w:rsidRPr="00782DA4">
        <w:t xml:space="preserve"> serverům jsme schopni efektivně využívat výhody vysokorychlostního propojení a minimalizovat latenci, což přispívá k optimálnímu výkonu naší </w:t>
      </w:r>
      <w:proofErr w:type="spellStart"/>
      <w:r w:rsidRPr="00782DA4">
        <w:t>virtualizační</w:t>
      </w:r>
      <w:proofErr w:type="spellEnd"/>
      <w:r w:rsidRPr="00782DA4">
        <w:t xml:space="preserve"> infrastruktury.</w:t>
      </w:r>
    </w:p>
    <w:p w14:paraId="53EFECBE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3. Zálohování</w:t>
      </w:r>
    </w:p>
    <w:p w14:paraId="365A05A6" w14:textId="77777777" w:rsidR="008F1366" w:rsidRPr="00782DA4" w:rsidRDefault="008F1366" w:rsidP="008F1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Pro zálohování našich dat používáme server HP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Proliant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ML350 Gen9 a aplikaci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Veeam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Backup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and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Replication</w:t>
      </w:r>
      <w:proofErr w:type="spellEnd"/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369775DD" w14:textId="77777777" w:rsidR="008F1366" w:rsidRPr="00782DA4" w:rsidRDefault="008F1366" w:rsidP="008F1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Tento server disponuje diskovou kapacitou složenou z 8x 3TB HDD v RAID5 konfiguraci, která slouží k ukládání záloh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6B9180D7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4. Operační systémy</w:t>
      </w:r>
    </w:p>
    <w:p w14:paraId="4808A4FA" w14:textId="77777777" w:rsidR="008F1366" w:rsidRPr="00782DA4" w:rsidRDefault="008F1366" w:rsidP="008F1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Všechny virtuální servery a zálohovací server jsou provozovány na operačním systému Windows Server 2012R2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  <w:bookmarkStart w:id="0" w:name="_GoBack"/>
      <w:bookmarkEnd w:id="0"/>
    </w:p>
    <w:p w14:paraId="0EADE1D1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 xml:space="preserve">5. </w:t>
      </w:r>
      <w:proofErr w:type="spellStart"/>
      <w:r w:rsidRPr="00782DA4">
        <w:rPr>
          <w:rFonts w:eastAsia="Times New Roman"/>
          <w:lang w:eastAsia="cs-CZ"/>
        </w:rPr>
        <w:t>Virtualizace</w:t>
      </w:r>
      <w:proofErr w:type="spellEnd"/>
      <w:r w:rsidRPr="00782DA4">
        <w:rPr>
          <w:rFonts w:eastAsia="Times New Roman"/>
          <w:lang w:eastAsia="cs-CZ"/>
        </w:rPr>
        <w:t xml:space="preserve"> serverů</w:t>
      </w:r>
    </w:p>
    <w:p w14:paraId="3FBCBDFB" w14:textId="77777777" w:rsidR="008F1366" w:rsidRPr="00782DA4" w:rsidRDefault="008F1366" w:rsidP="008F1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Na serverech provozujeme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virtualizační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platformu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VMware</w:t>
      </w:r>
      <w:proofErr w:type="spellEnd"/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46D122B8" w14:textId="77777777" w:rsidR="008F1366" w:rsidRPr="00782DA4" w:rsidRDefault="008F1366" w:rsidP="008F1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Virtuální servery jsou v kombinaci OS Windows Server a Linux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602DD332" w14:textId="77777777" w:rsidR="008F1366" w:rsidRPr="00782DA4" w:rsidRDefault="008F1366" w:rsidP="008F1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Aktuální počet virtuálních serverů je 24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590C03A6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 xml:space="preserve">6. </w:t>
      </w:r>
      <w:proofErr w:type="spellStart"/>
      <w:r w:rsidRPr="00782DA4">
        <w:rPr>
          <w:rFonts w:eastAsia="Times New Roman"/>
          <w:lang w:eastAsia="cs-CZ"/>
        </w:rPr>
        <w:t>Virtualizace</w:t>
      </w:r>
      <w:proofErr w:type="spellEnd"/>
      <w:r w:rsidRPr="00782DA4">
        <w:rPr>
          <w:rFonts w:eastAsia="Times New Roman"/>
          <w:lang w:eastAsia="cs-CZ"/>
        </w:rPr>
        <w:t xml:space="preserve"> desktopů</w:t>
      </w:r>
    </w:p>
    <w:p w14:paraId="3CF4D304" w14:textId="77777777" w:rsidR="008F1366" w:rsidRPr="00782DA4" w:rsidRDefault="008F1366" w:rsidP="008F13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Paralelně se serverovou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virtualizací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provozujeme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virtualizaci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desktopů na platformě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VMware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Horizon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>. Toto řešení nám umožňuje spravovat virtuální pracovní stanice efektivně a spolehlivě.</w:t>
      </w:r>
    </w:p>
    <w:p w14:paraId="175026E2" w14:textId="77777777" w:rsidR="008F1366" w:rsidRPr="00782DA4" w:rsidRDefault="008F1366" w:rsidP="008F13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Aktuální počet virtuálních desktopů je 32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78F06B30" w14:textId="77777777" w:rsidR="008F1366" w:rsidRPr="00782DA4" w:rsidRDefault="008F1366" w:rsidP="008F136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Toto komplexní IT prostředí nám umožňuje dosáhnout vysoké úrovně spolehlivosti, efektivity a bezpečnosti našich IT operací.</w:t>
      </w:r>
    </w:p>
    <w:p w14:paraId="3A4D0E65" w14:textId="77777777" w:rsidR="008F1366" w:rsidRPr="006D4E07" w:rsidRDefault="008F1366" w:rsidP="008F1366">
      <w:pPr>
        <w:pStyle w:val="Nadpis1"/>
        <w:rPr>
          <w:b/>
        </w:rPr>
      </w:pPr>
      <w:r w:rsidRPr="006D4E07">
        <w:rPr>
          <w:b/>
        </w:rPr>
        <w:t>Popis budoucího stavu</w:t>
      </w:r>
    </w:p>
    <w:p w14:paraId="392DF935" w14:textId="77777777" w:rsidR="008F1366" w:rsidRPr="00782DA4" w:rsidRDefault="008F1366" w:rsidP="008F1366">
      <w:r w:rsidRPr="00782DA4">
        <w:t>Všechny nabízené zařízení musí být od jednoho výrobce pro zajištění kompatibility provozu infrastruktury.</w:t>
      </w:r>
    </w:p>
    <w:p w14:paraId="33BE28CB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lastRenderedPageBreak/>
        <w:t>1. Hardware:</w:t>
      </w:r>
    </w:p>
    <w:p w14:paraId="212FB29D" w14:textId="77777777" w:rsidR="008F1366" w:rsidRPr="00782DA4" w:rsidRDefault="008F1366" w:rsidP="008F13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V závislosti na rostoucích požadavcích na výpočetní výkon </w:t>
      </w:r>
      <w:r w:rsidRPr="00782DA4">
        <w:t>plánujeme investovat do nákupu nových serverů. Tyto servery budou vybrány s důrazem na splnění minimálních požadavků specifikovaných v příloze technické specifikace.</w:t>
      </w:r>
    </w:p>
    <w:p w14:paraId="3DE3F3B9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2. Úložiště:</w:t>
      </w:r>
    </w:p>
    <w:p w14:paraId="6D09CD02" w14:textId="77777777" w:rsidR="008F1366" w:rsidRPr="00782DA4" w:rsidRDefault="008F1366" w:rsidP="008F1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S ohledem na rostoucí objem dat a potřeby rychlého přístupu k datům zároveň plánujeme investovat do nákupu nového diskového pole, které bude </w:t>
      </w:r>
      <w:r w:rsidRPr="00782DA4">
        <w:t xml:space="preserve">vybráno s důrazem na splnění minimálních požadavků specifikovaných v příloze technické specifikace. </w:t>
      </w:r>
    </w:p>
    <w:p w14:paraId="2C0AA689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3. Zálohování:</w:t>
      </w:r>
    </w:p>
    <w:p w14:paraId="2FA3A352" w14:textId="77777777" w:rsidR="008F1366" w:rsidRPr="00782DA4" w:rsidRDefault="008F1366" w:rsidP="008F13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t>Součástí komplexního upgrade infrastruktury bude také nákup nového serveru pro zálohování. Parametry tohoto serveru budou splňovat minimální požadavky uvedené v příloze technické specifikace.</w:t>
      </w:r>
    </w:p>
    <w:p w14:paraId="33BD5A8E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4. Operační systémy:</w:t>
      </w:r>
    </w:p>
    <w:p w14:paraId="0247C44B" w14:textId="77777777" w:rsidR="008F1366" w:rsidRPr="00782DA4" w:rsidRDefault="008F1366" w:rsidP="008F13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cstheme="minorHAnsi"/>
        </w:rPr>
        <w:t xml:space="preserve">Současně plánujeme dodání poslední verze operačního systému Microsoft ve verzi </w:t>
      </w:r>
      <w:proofErr w:type="spellStart"/>
      <w:r w:rsidRPr="00782DA4">
        <w:rPr>
          <w:rFonts w:cstheme="minorHAnsi"/>
        </w:rPr>
        <w:t>Datacenter</w:t>
      </w:r>
      <w:proofErr w:type="spellEnd"/>
      <w:r w:rsidRPr="00782DA4">
        <w:rPr>
          <w:rFonts w:cstheme="minorHAnsi"/>
        </w:rPr>
        <w:t xml:space="preserve"> pro každý </w:t>
      </w:r>
      <w:proofErr w:type="spellStart"/>
      <w:r w:rsidRPr="00782DA4">
        <w:rPr>
          <w:rFonts w:cstheme="minorHAnsi"/>
        </w:rPr>
        <w:t>virtualizační</w:t>
      </w:r>
      <w:proofErr w:type="spellEnd"/>
      <w:r w:rsidRPr="00782DA4">
        <w:rPr>
          <w:rFonts w:cstheme="minorHAnsi"/>
        </w:rPr>
        <w:t xml:space="preserve"> server a ve verzi Standard pro zálohovací server.</w:t>
      </w:r>
    </w:p>
    <w:p w14:paraId="16422865" w14:textId="77777777" w:rsidR="008F1366" w:rsidRPr="00782DA4" w:rsidRDefault="008F1366" w:rsidP="008F13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cstheme="minorHAnsi"/>
        </w:rPr>
        <w:t>K nové verzi operačního systému bude nutné získat uživatelské licence User CAL. Tím zajistíme, že budeme v souladu s licenčními požadavky Microsoftu a budeme moci efektivně spravovat uživatelské přístupy.</w:t>
      </w:r>
    </w:p>
    <w:p w14:paraId="0314788C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 xml:space="preserve">5. </w:t>
      </w:r>
      <w:proofErr w:type="spellStart"/>
      <w:r w:rsidRPr="00782DA4">
        <w:rPr>
          <w:rFonts w:eastAsia="Times New Roman"/>
          <w:lang w:eastAsia="cs-CZ"/>
        </w:rPr>
        <w:t>Virtualizace</w:t>
      </w:r>
      <w:proofErr w:type="spellEnd"/>
      <w:r w:rsidRPr="00782DA4">
        <w:rPr>
          <w:rFonts w:eastAsia="Times New Roman"/>
          <w:lang w:eastAsia="cs-CZ"/>
        </w:rPr>
        <w:t xml:space="preserve"> </w:t>
      </w:r>
      <w:proofErr w:type="spellStart"/>
      <w:r w:rsidRPr="00782DA4">
        <w:rPr>
          <w:rFonts w:eastAsia="Times New Roman"/>
          <w:lang w:eastAsia="cs-CZ"/>
        </w:rPr>
        <w:t>VMware</w:t>
      </w:r>
      <w:proofErr w:type="spellEnd"/>
      <w:r w:rsidRPr="00782DA4">
        <w:rPr>
          <w:rFonts w:eastAsia="Times New Roman"/>
          <w:lang w:eastAsia="cs-CZ"/>
        </w:rPr>
        <w:t xml:space="preserve"> a </w:t>
      </w:r>
      <w:proofErr w:type="spellStart"/>
      <w:r w:rsidRPr="00782DA4">
        <w:rPr>
          <w:rFonts w:eastAsia="Times New Roman"/>
          <w:lang w:eastAsia="cs-CZ"/>
        </w:rPr>
        <w:t>Horizon</w:t>
      </w:r>
      <w:proofErr w:type="spellEnd"/>
    </w:p>
    <w:p w14:paraId="436152C6" w14:textId="77777777" w:rsidR="008F1366" w:rsidRPr="00782DA4" w:rsidRDefault="008F1366" w:rsidP="008F13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cstheme="minorHAnsi"/>
        </w:rPr>
        <w:t xml:space="preserve">Infrastruktura bude i nadále provozována na platformě </w:t>
      </w:r>
      <w:proofErr w:type="spellStart"/>
      <w:r w:rsidRPr="00782DA4">
        <w:rPr>
          <w:rFonts w:cstheme="minorHAnsi"/>
        </w:rPr>
        <w:t>VMware</w:t>
      </w:r>
      <w:proofErr w:type="spellEnd"/>
      <w:r w:rsidRPr="00782DA4">
        <w:rPr>
          <w:rFonts w:cstheme="minorHAnsi"/>
        </w:rPr>
        <w:t xml:space="preserve"> ve vysoké dostupnosti. Toto řešení umožní migrovat </w:t>
      </w:r>
      <w:proofErr w:type="spellStart"/>
      <w:r w:rsidRPr="00782DA4">
        <w:rPr>
          <w:rFonts w:cstheme="minorHAnsi"/>
        </w:rPr>
        <w:t>virtualizované</w:t>
      </w:r>
      <w:proofErr w:type="spellEnd"/>
      <w:r w:rsidRPr="00782DA4">
        <w:rPr>
          <w:rFonts w:cstheme="minorHAnsi"/>
        </w:rPr>
        <w:t xml:space="preserve"> prostředky mezi jednotlivými hosty bez významných výpadků služeb. Tím zajistíme, že naše IT prostředí bude co nejstabilnější a spolehlivější</w:t>
      </w:r>
      <w:r w:rsidRPr="00782DA4"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07B14D74" w14:textId="77777777" w:rsidR="008F1366" w:rsidRPr="00782DA4" w:rsidRDefault="008F1366" w:rsidP="008F136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782DA4">
        <w:rPr>
          <w:rFonts w:asciiTheme="minorHAnsi" w:hAnsiTheme="minorHAnsi" w:cstheme="minorHAnsi"/>
          <w:sz w:val="22"/>
          <w:szCs w:val="22"/>
        </w:rPr>
        <w:t>Tímto způsobem plánujeme provést komplexní upgrade infrastruktury, který bude plně odpovídat potřebám naší organizace, zajištění vysoké dostupnosti a bezpečnosti našich IT operací. Bude také splňovat licenční požadavky a umožní nám efektivně spravovat naše uživatelské licence.</w:t>
      </w:r>
    </w:p>
    <w:p w14:paraId="4DD7453C" w14:textId="77777777" w:rsidR="008F1366" w:rsidRPr="006D4E07" w:rsidRDefault="008F1366" w:rsidP="006679A8">
      <w:pPr>
        <w:pStyle w:val="Nadpis1"/>
        <w:spacing w:before="0"/>
        <w:rPr>
          <w:b/>
        </w:rPr>
      </w:pPr>
      <w:r w:rsidRPr="006D4E07">
        <w:rPr>
          <w:b/>
        </w:rPr>
        <w:t>Služby spojené s upgrade infrastruktury</w:t>
      </w:r>
    </w:p>
    <w:p w14:paraId="5687F898" w14:textId="77777777" w:rsidR="008F1366" w:rsidRPr="00782DA4" w:rsidRDefault="008F1366" w:rsidP="008F1366">
      <w:r w:rsidRPr="00782DA4">
        <w:t>Součástí upgrade infrastruktury budou následující služby pro zajištění kompletní migrace do nového prostředí a konfigurace zálohování.</w:t>
      </w:r>
    </w:p>
    <w:p w14:paraId="3958CB57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1. Dodávka HW do místa objednatele</w:t>
      </w:r>
    </w:p>
    <w:p w14:paraId="1E7DA691" w14:textId="77777777" w:rsidR="00D8725F" w:rsidRDefault="00D8725F" w:rsidP="008F13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Pokud to bude nutné, vypracování podrobné, detailní dokumentace dodávky, před nákupem.</w:t>
      </w:r>
    </w:p>
    <w:p w14:paraId="556BD9F9" w14:textId="77777777" w:rsidR="008F1366" w:rsidRPr="00782DA4" w:rsidRDefault="008F1366" w:rsidP="008F13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Zajištění, že nové fyzické servery a další hardware jsou dodány na místo objednatele v souladu s termíny a požadavky.</w:t>
      </w:r>
    </w:p>
    <w:p w14:paraId="2596025F" w14:textId="77777777" w:rsidR="008F1366" w:rsidRPr="00782DA4" w:rsidRDefault="008F1366" w:rsidP="008F13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Profesionální instalace nových serverů do stávajícího racku, včetně zapojení do elektrické sítě a síťové infrastruktury.</w:t>
      </w:r>
    </w:p>
    <w:p w14:paraId="06E5B2FC" w14:textId="77777777" w:rsidR="008F1366" w:rsidRPr="00782DA4" w:rsidRDefault="008F1366" w:rsidP="008F13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Aktualizace firmware všech komponent nového hardwaru na poslední verzi tak, aby byla zajištěna kompatibilita a bezpečnost.</w:t>
      </w:r>
    </w:p>
    <w:p w14:paraId="35101110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2. Nastavení nových serverů</w:t>
      </w:r>
    </w:p>
    <w:p w14:paraId="446B7066" w14:textId="77777777" w:rsidR="008F1366" w:rsidRPr="00782DA4" w:rsidRDefault="008F1366" w:rsidP="008F13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cstheme="minorHAnsi"/>
        </w:rPr>
        <w:t>Instalace a konfigurace operačního systému Windows Server na novém zálohovacím serveru.</w:t>
      </w:r>
    </w:p>
    <w:p w14:paraId="68C3CDDF" w14:textId="77777777" w:rsidR="008F1366" w:rsidRPr="00782DA4" w:rsidRDefault="008F1366" w:rsidP="008F13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lastRenderedPageBreak/>
        <w:t xml:space="preserve">Instalace a konfigurace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VMware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ESXi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hypervizoru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na nových serverech.</w:t>
      </w:r>
    </w:p>
    <w:p w14:paraId="3ABDD587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3. Příprava úložiště</w:t>
      </w:r>
    </w:p>
    <w:p w14:paraId="1FB57D01" w14:textId="77777777" w:rsidR="008F1366" w:rsidRPr="00782DA4" w:rsidRDefault="008F1366" w:rsidP="008F13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Přenesení a migrace dat z existujícího úložiště na nové úložiště, pokud je to nutné.</w:t>
      </w:r>
    </w:p>
    <w:p w14:paraId="1089447E" w14:textId="77777777" w:rsidR="008F1366" w:rsidRPr="00782DA4" w:rsidRDefault="008F1366" w:rsidP="008F13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Zajištění kompatibility nového úložiště s novými servery a souběžnou optimalizaci výkonu.</w:t>
      </w:r>
    </w:p>
    <w:p w14:paraId="7D1540EE" w14:textId="77777777" w:rsidR="008F1366" w:rsidRPr="00782DA4" w:rsidRDefault="008F1366" w:rsidP="008F1366">
      <w:pPr>
        <w:pStyle w:val="Nadpis2"/>
      </w:pPr>
      <w:r w:rsidRPr="00782DA4">
        <w:t xml:space="preserve">4. Instalace a konfigurace </w:t>
      </w:r>
      <w:proofErr w:type="spellStart"/>
      <w:r w:rsidRPr="00782DA4">
        <w:t>VMware</w:t>
      </w:r>
      <w:proofErr w:type="spellEnd"/>
      <w:r w:rsidRPr="00782DA4">
        <w:t xml:space="preserve"> </w:t>
      </w:r>
      <w:proofErr w:type="spellStart"/>
      <w:r w:rsidRPr="00782DA4">
        <w:t>vCenter</w:t>
      </w:r>
      <w:proofErr w:type="spellEnd"/>
      <w:r w:rsidRPr="00782DA4">
        <w:t xml:space="preserve"> Server</w:t>
      </w:r>
    </w:p>
    <w:p w14:paraId="3368DC47" w14:textId="77777777" w:rsidR="008F1366" w:rsidRPr="00782DA4" w:rsidRDefault="008F1366" w:rsidP="008F13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782DA4">
        <w:rPr>
          <w:rFonts w:cstheme="minorHAnsi"/>
        </w:rPr>
        <w:t xml:space="preserve">Instalace a konfigurace </w:t>
      </w:r>
      <w:proofErr w:type="spellStart"/>
      <w:r w:rsidRPr="00782DA4">
        <w:rPr>
          <w:rFonts w:cstheme="minorHAnsi"/>
        </w:rPr>
        <w:t>VMware</w:t>
      </w:r>
      <w:proofErr w:type="spellEnd"/>
      <w:r w:rsidRPr="00782DA4">
        <w:rPr>
          <w:rFonts w:cstheme="minorHAnsi"/>
        </w:rPr>
        <w:t xml:space="preserve"> </w:t>
      </w:r>
      <w:proofErr w:type="spellStart"/>
      <w:r w:rsidRPr="00782DA4">
        <w:rPr>
          <w:rFonts w:cstheme="minorHAnsi"/>
        </w:rPr>
        <w:t>vCenter</w:t>
      </w:r>
      <w:proofErr w:type="spellEnd"/>
      <w:r w:rsidRPr="00782DA4">
        <w:rPr>
          <w:rFonts w:cstheme="minorHAnsi"/>
        </w:rPr>
        <w:t xml:space="preserve"> Server na novém serveru pro správu a monitorování clusteru.</w:t>
      </w:r>
    </w:p>
    <w:p w14:paraId="58D76655" w14:textId="77777777" w:rsidR="008F1366" w:rsidRPr="00782DA4" w:rsidRDefault="008F1366" w:rsidP="008F13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782DA4">
        <w:rPr>
          <w:rFonts w:cstheme="minorHAnsi"/>
        </w:rPr>
        <w:t xml:space="preserve">Přenesení konfigurace a nastavení z existujícího </w:t>
      </w:r>
      <w:proofErr w:type="spellStart"/>
      <w:r w:rsidRPr="00782DA4">
        <w:rPr>
          <w:rFonts w:cstheme="minorHAnsi"/>
        </w:rPr>
        <w:t>vCenter</w:t>
      </w:r>
      <w:proofErr w:type="spellEnd"/>
      <w:r w:rsidRPr="00782DA4">
        <w:rPr>
          <w:rFonts w:cstheme="minorHAnsi"/>
        </w:rPr>
        <w:t xml:space="preserve"> Serveru na nový.</w:t>
      </w:r>
    </w:p>
    <w:p w14:paraId="5A7DC336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5. Migrace virtuálních strojů (VM)</w:t>
      </w:r>
    </w:p>
    <w:p w14:paraId="25B6E3E2" w14:textId="77777777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Postupné migrování virtuálních strojů z původního clusteru na nový cluster na nových serverech.</w:t>
      </w:r>
    </w:p>
    <w:p w14:paraId="745112D7" w14:textId="77777777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Použití nástrojů pro migraci (např.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VMware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vMotion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nebo </w:t>
      </w:r>
      <w:proofErr w:type="spellStart"/>
      <w:r w:rsidRPr="00782DA4">
        <w:rPr>
          <w:rFonts w:eastAsia="Times New Roman" w:cstheme="minorHAnsi"/>
          <w:kern w:val="0"/>
          <w:lang w:eastAsia="cs-CZ"/>
          <w14:ligatures w14:val="none"/>
        </w:rPr>
        <w:t>VMware</w:t>
      </w:r>
      <w:proofErr w:type="spellEnd"/>
      <w:r w:rsidRPr="00782DA4">
        <w:rPr>
          <w:rFonts w:eastAsia="Times New Roman" w:cstheme="minorHAnsi"/>
          <w:kern w:val="0"/>
          <w:lang w:eastAsia="cs-CZ"/>
          <w14:ligatures w14:val="none"/>
        </w:rPr>
        <w:t xml:space="preserve"> HCX) pro minimalizaci výpadků provozu.</w:t>
      </w:r>
    </w:p>
    <w:p w14:paraId="654CB5B8" w14:textId="77777777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Testování migrace virtuálních strojů a ověření jejich správného fungování.</w:t>
      </w:r>
    </w:p>
    <w:p w14:paraId="4AE4382C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6. Aktualizace a migrace sítě</w:t>
      </w:r>
    </w:p>
    <w:p w14:paraId="304BD224" w14:textId="77777777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Zajištění, že síťové konfigurace virtuálních strojů budou plně kompatibilní s novými servery.</w:t>
      </w:r>
    </w:p>
    <w:p w14:paraId="67C986F8" w14:textId="77777777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Migrace síťových nastavení a konfigurace.</w:t>
      </w:r>
    </w:p>
    <w:p w14:paraId="394BB468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7. Zálohování a obnova</w:t>
      </w:r>
    </w:p>
    <w:p w14:paraId="2854CB3B" w14:textId="77777777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Zálohování důležitých dat a konfigurací před migrací, aby bylo možné provést obnovu v případě potřeby.</w:t>
      </w:r>
    </w:p>
    <w:p w14:paraId="58055AEB" w14:textId="77777777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Ověření, že zálohy jsou aktuální a funkční.</w:t>
      </w:r>
    </w:p>
    <w:p w14:paraId="607DC3F5" w14:textId="77777777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Přenesení stávající konfigurace zálohování na nový zálohovací server a zachování historie aktuálních záloh.</w:t>
      </w:r>
    </w:p>
    <w:p w14:paraId="53D37EFF" w14:textId="77777777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Zachování redundantního úložiště pro zálohy na zařízení typu NAS, které je umístěné v oddělené lokalitě.</w:t>
      </w:r>
    </w:p>
    <w:p w14:paraId="73BBD32D" w14:textId="77777777" w:rsidR="008F1366" w:rsidRPr="00782DA4" w:rsidRDefault="008F1366" w:rsidP="008F1366">
      <w:pPr>
        <w:pStyle w:val="Nadpis2"/>
        <w:rPr>
          <w:rFonts w:eastAsia="Times New Roman"/>
          <w:lang w:eastAsia="cs-CZ"/>
        </w:rPr>
      </w:pPr>
      <w:r w:rsidRPr="00782DA4">
        <w:rPr>
          <w:rFonts w:eastAsia="Times New Roman"/>
          <w:lang w:eastAsia="cs-CZ"/>
        </w:rPr>
        <w:t>8. Testování a ověření</w:t>
      </w:r>
    </w:p>
    <w:p w14:paraId="07A15DB0" w14:textId="77777777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Důkladné testování všech virtuálních strojů a aplikací po migraci.</w:t>
      </w:r>
    </w:p>
    <w:p w14:paraId="5493D19F" w14:textId="77777777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Ověření, že nové servery a cluster plně splňují výkonnostní a bezpečnostní požadavky.</w:t>
      </w:r>
    </w:p>
    <w:p w14:paraId="45DDB2CD" w14:textId="77777777" w:rsidR="008F1366" w:rsidRPr="00782DA4" w:rsidRDefault="00D8725F" w:rsidP="008F1366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9. Dokumentace,</w:t>
      </w:r>
      <w:r w:rsidR="008F1366" w:rsidRPr="00782DA4">
        <w:rPr>
          <w:rFonts w:eastAsia="Times New Roman"/>
          <w:lang w:eastAsia="cs-CZ"/>
        </w:rPr>
        <w:t xml:space="preserve"> školení</w:t>
      </w:r>
      <w:r>
        <w:rPr>
          <w:rFonts w:eastAsia="Times New Roman"/>
          <w:lang w:eastAsia="cs-CZ"/>
        </w:rPr>
        <w:t>, ostatní</w:t>
      </w:r>
      <w:r w:rsidR="000B279D">
        <w:rPr>
          <w:rFonts w:eastAsia="Times New Roman"/>
          <w:lang w:eastAsia="cs-CZ"/>
        </w:rPr>
        <w:t xml:space="preserve"> služby</w:t>
      </w:r>
    </w:p>
    <w:p w14:paraId="2B5D3734" w14:textId="2AF081E6" w:rsidR="006679A8" w:rsidRDefault="006679A8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Součástí bude:</w:t>
      </w:r>
    </w:p>
    <w:p w14:paraId="65214DD8" w14:textId="30A0FED6" w:rsidR="008F1366" w:rsidRPr="00782DA4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Aktualizace dokumentace infrastruktury a konfigurace.</w:t>
      </w:r>
    </w:p>
    <w:p w14:paraId="49B43C79" w14:textId="77777777" w:rsidR="008F1366" w:rsidRDefault="008F1366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782DA4">
        <w:rPr>
          <w:rFonts w:eastAsia="Times New Roman" w:cstheme="minorHAnsi"/>
          <w:kern w:val="0"/>
          <w:lang w:eastAsia="cs-CZ"/>
          <w14:ligatures w14:val="none"/>
        </w:rPr>
        <w:t>Poskytnutí školení a podpory týmu pro správu a monitorování nového clusteru.</w:t>
      </w:r>
    </w:p>
    <w:p w14:paraId="2280C21B" w14:textId="77777777" w:rsidR="00D8725F" w:rsidRDefault="00D8725F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Veškeré montáže, zapojení, oživení, revize, likvidace obalů, dokončující úklid.</w:t>
      </w:r>
    </w:p>
    <w:p w14:paraId="40A3389C" w14:textId="77777777" w:rsidR="00D8725F" w:rsidRDefault="00D8725F" w:rsidP="008F1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 xml:space="preserve">Veškerá doprava, přesuny dodávaného zboží </w:t>
      </w:r>
      <w:r w:rsidR="008C65EB">
        <w:rPr>
          <w:rFonts w:eastAsia="Times New Roman" w:cstheme="minorHAnsi"/>
          <w:kern w:val="0"/>
          <w:lang w:eastAsia="cs-CZ"/>
          <w14:ligatures w14:val="none"/>
        </w:rPr>
        <w:t>i pracovníků dodavatele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50BF985B" w14:textId="67EDB119" w:rsidR="00D8725F" w:rsidRDefault="000B279D" w:rsidP="00A651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V</w:t>
      </w:r>
      <w:r w:rsidR="00D8725F" w:rsidRPr="00D8725F">
        <w:rPr>
          <w:rFonts w:eastAsia="Times New Roman" w:cstheme="minorHAnsi"/>
          <w:kern w:val="0"/>
          <w:lang w:eastAsia="cs-CZ"/>
          <w14:ligatures w14:val="none"/>
        </w:rPr>
        <w:t>eškeré náklady jako např. telefonní poplatky, technické a programové vybavení, provoz doprav</w:t>
      </w:r>
      <w:r w:rsidR="008C65EB">
        <w:rPr>
          <w:rFonts w:eastAsia="Times New Roman" w:cstheme="minorHAnsi"/>
          <w:kern w:val="0"/>
          <w:lang w:eastAsia="cs-CZ"/>
          <w14:ligatures w14:val="none"/>
        </w:rPr>
        <w:t>-</w:t>
      </w:r>
      <w:proofErr w:type="spellStart"/>
      <w:r w:rsidR="00D8725F" w:rsidRPr="00D8725F">
        <w:rPr>
          <w:rFonts w:eastAsia="Times New Roman" w:cstheme="minorHAnsi"/>
          <w:kern w:val="0"/>
          <w:lang w:eastAsia="cs-CZ"/>
          <w14:ligatures w14:val="none"/>
        </w:rPr>
        <w:t>ního</w:t>
      </w:r>
      <w:proofErr w:type="spellEnd"/>
      <w:r w:rsidR="00D8725F" w:rsidRPr="00D8725F">
        <w:rPr>
          <w:rFonts w:eastAsia="Times New Roman" w:cstheme="minorHAnsi"/>
          <w:kern w:val="0"/>
          <w:lang w:eastAsia="cs-CZ"/>
          <w14:ligatures w14:val="none"/>
        </w:rPr>
        <w:t xml:space="preserve"> prostředku, tuzemské služební cesty, cestovné, cestovní náhrady</w:t>
      </w:r>
      <w:r w:rsidR="00A6511E" w:rsidRPr="00A6511E">
        <w:t xml:space="preserve"> </w:t>
      </w:r>
      <w:r w:rsidR="00A6511E" w:rsidRPr="00A6511E">
        <w:rPr>
          <w:rFonts w:eastAsia="Times New Roman" w:cstheme="minorHAnsi"/>
          <w:kern w:val="0"/>
          <w:lang w:eastAsia="cs-CZ"/>
          <w14:ligatures w14:val="none"/>
        </w:rPr>
        <w:t>a čas strávený na cestě</w:t>
      </w:r>
      <w:r w:rsidR="00D8725F" w:rsidRPr="00D8725F"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24AFF6A2" w14:textId="75BD4D9A" w:rsidR="006679A8" w:rsidRPr="00782DA4" w:rsidRDefault="006F259B" w:rsidP="00A651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 xml:space="preserve">Demontáž, </w:t>
      </w:r>
      <w:r w:rsidR="004444AE">
        <w:rPr>
          <w:rFonts w:eastAsia="Times New Roman" w:cstheme="minorHAnsi"/>
          <w:kern w:val="0"/>
          <w:lang w:eastAsia="cs-CZ"/>
          <w14:ligatures w14:val="none"/>
        </w:rPr>
        <w:t xml:space="preserve">přesun, </w:t>
      </w:r>
      <w:r>
        <w:rPr>
          <w:rFonts w:eastAsia="Times New Roman" w:cstheme="minorHAnsi"/>
          <w:kern w:val="0"/>
          <w:lang w:eastAsia="cs-CZ"/>
          <w14:ligatures w14:val="none"/>
        </w:rPr>
        <w:t>o</w:t>
      </w:r>
      <w:r w:rsidR="006679A8">
        <w:rPr>
          <w:rFonts w:eastAsia="Times New Roman" w:cstheme="minorHAnsi"/>
          <w:kern w:val="0"/>
          <w:lang w:eastAsia="cs-CZ"/>
          <w14:ligatures w14:val="none"/>
        </w:rPr>
        <w:t>dvoz, zpětný odběr a ekologická likvidace původního demontovaného</w:t>
      </w:r>
      <w:r>
        <w:rPr>
          <w:rFonts w:eastAsia="Times New Roman" w:cstheme="minorHAnsi"/>
          <w:kern w:val="0"/>
          <w:lang w:eastAsia="cs-CZ"/>
          <w14:ligatures w14:val="none"/>
        </w:rPr>
        <w:t xml:space="preserve"> a</w:t>
      </w:r>
      <w:r w:rsidR="006679A8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cs-CZ"/>
          <w14:ligatures w14:val="none"/>
        </w:rPr>
        <w:t xml:space="preserve">nahrazeného, </w:t>
      </w:r>
      <w:r w:rsidR="006679A8">
        <w:rPr>
          <w:rFonts w:eastAsia="Times New Roman" w:cstheme="minorHAnsi"/>
          <w:kern w:val="0"/>
          <w:lang w:eastAsia="cs-CZ"/>
          <w14:ligatures w14:val="none"/>
        </w:rPr>
        <w:t>nepotřebného zařízení, serverů, HW, komponent a kabeláže, které předem určí kupující.</w:t>
      </w:r>
    </w:p>
    <w:p w14:paraId="6144B32C" w14:textId="77777777" w:rsidR="008F1366" w:rsidRPr="00782DA4" w:rsidRDefault="008F1366" w:rsidP="008F1366"/>
    <w:p w14:paraId="239A9034" w14:textId="77777777" w:rsidR="008F1366" w:rsidRPr="00782DA4" w:rsidRDefault="008F1366" w:rsidP="008F1366">
      <w:pPr>
        <w:pStyle w:val="Nadpis1"/>
      </w:pPr>
      <w:r w:rsidRPr="00782DA4">
        <w:t>Akceptační protokol</w:t>
      </w:r>
    </w:p>
    <w:p w14:paraId="7B9ADFF9" w14:textId="77777777" w:rsidR="008F1366" w:rsidRPr="00782DA4" w:rsidRDefault="008F1366" w:rsidP="008F13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2830"/>
      </w:tblGrid>
      <w:tr w:rsidR="008F1366" w:rsidRPr="00782DA4" w14:paraId="216D98EB" w14:textId="77777777" w:rsidTr="00D7566E">
        <w:tc>
          <w:tcPr>
            <w:tcW w:w="4957" w:type="dxa"/>
            <w:shd w:val="clear" w:color="auto" w:fill="E2EFD9" w:themeFill="accent6" w:themeFillTint="33"/>
          </w:tcPr>
          <w:p w14:paraId="7F8F3F6D" w14:textId="77777777" w:rsidR="008F1366" w:rsidRPr="00782DA4" w:rsidRDefault="008F1366" w:rsidP="00D7566E">
            <w:pPr>
              <w:jc w:val="center"/>
              <w:rPr>
                <w:b/>
                <w:bCs/>
              </w:rPr>
            </w:pPr>
            <w:r w:rsidRPr="00782DA4">
              <w:rPr>
                <w:b/>
                <w:bCs/>
              </w:rPr>
              <w:t>Popis činnosti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35812F0F" w14:textId="77777777" w:rsidR="008F1366" w:rsidRPr="00782DA4" w:rsidRDefault="008F1366" w:rsidP="00D7566E">
            <w:pPr>
              <w:jc w:val="center"/>
              <w:rPr>
                <w:b/>
                <w:bCs/>
              </w:rPr>
            </w:pPr>
            <w:r w:rsidRPr="00782DA4">
              <w:rPr>
                <w:b/>
                <w:bCs/>
              </w:rPr>
              <w:t>Splněno ANO / NE</w:t>
            </w:r>
          </w:p>
        </w:tc>
        <w:tc>
          <w:tcPr>
            <w:tcW w:w="2830" w:type="dxa"/>
            <w:shd w:val="clear" w:color="auto" w:fill="E2EFD9" w:themeFill="accent6" w:themeFillTint="33"/>
          </w:tcPr>
          <w:p w14:paraId="37F73308" w14:textId="77777777" w:rsidR="008F1366" w:rsidRPr="00782DA4" w:rsidRDefault="008F1366" w:rsidP="00D7566E">
            <w:pPr>
              <w:jc w:val="center"/>
              <w:rPr>
                <w:b/>
                <w:bCs/>
              </w:rPr>
            </w:pPr>
            <w:r w:rsidRPr="00782DA4">
              <w:rPr>
                <w:b/>
                <w:bCs/>
              </w:rPr>
              <w:t>Poznámka</w:t>
            </w:r>
          </w:p>
        </w:tc>
      </w:tr>
      <w:tr w:rsidR="008F1366" w:rsidRPr="00782DA4" w14:paraId="09F5D319" w14:textId="77777777" w:rsidTr="00D7566E">
        <w:tc>
          <w:tcPr>
            <w:tcW w:w="4957" w:type="dxa"/>
            <w:shd w:val="clear" w:color="auto" w:fill="DEEAF6" w:themeFill="accent5" w:themeFillTint="33"/>
          </w:tcPr>
          <w:p w14:paraId="04902F24" w14:textId="77777777" w:rsidR="008F1366" w:rsidRPr="00782DA4" w:rsidRDefault="008F1366" w:rsidP="00D7566E">
            <w:pPr>
              <w:rPr>
                <w:b/>
                <w:bCs/>
              </w:rPr>
            </w:pPr>
            <w:r w:rsidRPr="00782DA4">
              <w:rPr>
                <w:b/>
                <w:bCs/>
              </w:rPr>
              <w:t>Fyzické servery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A6D1B4C" w14:textId="77777777" w:rsidR="008F1366" w:rsidRPr="00782DA4" w:rsidRDefault="008F1366" w:rsidP="00D7566E">
            <w:pPr>
              <w:rPr>
                <w:b/>
                <w:bCs/>
              </w:rPr>
            </w:pPr>
          </w:p>
        </w:tc>
        <w:tc>
          <w:tcPr>
            <w:tcW w:w="2830" w:type="dxa"/>
            <w:shd w:val="clear" w:color="auto" w:fill="DEEAF6" w:themeFill="accent5" w:themeFillTint="33"/>
          </w:tcPr>
          <w:p w14:paraId="36BCF453" w14:textId="77777777" w:rsidR="008F1366" w:rsidRPr="00782DA4" w:rsidRDefault="008F1366" w:rsidP="00D7566E">
            <w:pPr>
              <w:rPr>
                <w:b/>
                <w:bCs/>
              </w:rPr>
            </w:pPr>
          </w:p>
        </w:tc>
      </w:tr>
      <w:tr w:rsidR="008F1366" w:rsidRPr="00782DA4" w14:paraId="780EC798" w14:textId="77777777" w:rsidTr="00D7566E">
        <w:tc>
          <w:tcPr>
            <w:tcW w:w="4957" w:type="dxa"/>
          </w:tcPr>
          <w:p w14:paraId="36B00960" w14:textId="77777777" w:rsidR="008F1366" w:rsidRPr="00782DA4" w:rsidRDefault="008F1366" w:rsidP="00D7566E">
            <w:r w:rsidRPr="00782DA4">
              <w:t>Funkčnost při výpadku jednoho PSU</w:t>
            </w:r>
          </w:p>
        </w:tc>
        <w:tc>
          <w:tcPr>
            <w:tcW w:w="1275" w:type="dxa"/>
          </w:tcPr>
          <w:p w14:paraId="1A64708F" w14:textId="77777777" w:rsidR="008F1366" w:rsidRPr="00782DA4" w:rsidRDefault="008F1366" w:rsidP="00D7566E"/>
        </w:tc>
        <w:tc>
          <w:tcPr>
            <w:tcW w:w="2830" w:type="dxa"/>
          </w:tcPr>
          <w:p w14:paraId="1A3ED8C5" w14:textId="77777777" w:rsidR="008F1366" w:rsidRPr="00782DA4" w:rsidRDefault="008F1366" w:rsidP="00D7566E"/>
        </w:tc>
      </w:tr>
      <w:tr w:rsidR="008F1366" w:rsidRPr="00782DA4" w14:paraId="75D1E9A2" w14:textId="77777777" w:rsidTr="00D7566E">
        <w:tc>
          <w:tcPr>
            <w:tcW w:w="4957" w:type="dxa"/>
          </w:tcPr>
          <w:p w14:paraId="6A0BFDBD" w14:textId="77777777" w:rsidR="008F1366" w:rsidRPr="00782DA4" w:rsidRDefault="008F1366" w:rsidP="00D7566E"/>
        </w:tc>
        <w:tc>
          <w:tcPr>
            <w:tcW w:w="1275" w:type="dxa"/>
          </w:tcPr>
          <w:p w14:paraId="69122EAC" w14:textId="77777777" w:rsidR="008F1366" w:rsidRPr="00782DA4" w:rsidRDefault="008F1366" w:rsidP="00D7566E"/>
        </w:tc>
        <w:tc>
          <w:tcPr>
            <w:tcW w:w="2830" w:type="dxa"/>
          </w:tcPr>
          <w:p w14:paraId="799575B7" w14:textId="77777777" w:rsidR="008F1366" w:rsidRPr="00782DA4" w:rsidRDefault="008F1366" w:rsidP="00D7566E"/>
        </w:tc>
      </w:tr>
      <w:tr w:rsidR="008F1366" w:rsidRPr="00782DA4" w14:paraId="485E0FBD" w14:textId="77777777" w:rsidTr="00D7566E">
        <w:tc>
          <w:tcPr>
            <w:tcW w:w="4957" w:type="dxa"/>
            <w:shd w:val="clear" w:color="auto" w:fill="DEEAF6" w:themeFill="accent5" w:themeFillTint="33"/>
          </w:tcPr>
          <w:p w14:paraId="10FCEB4F" w14:textId="77777777" w:rsidR="008F1366" w:rsidRPr="00782DA4" w:rsidRDefault="008F1366" w:rsidP="00D7566E">
            <w:pPr>
              <w:rPr>
                <w:b/>
                <w:bCs/>
              </w:rPr>
            </w:pPr>
            <w:r w:rsidRPr="00782DA4">
              <w:rPr>
                <w:b/>
                <w:bCs/>
              </w:rPr>
              <w:t>Diskové pole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51DBE820" w14:textId="77777777" w:rsidR="008F1366" w:rsidRPr="00782DA4" w:rsidRDefault="008F1366" w:rsidP="00D7566E">
            <w:pPr>
              <w:rPr>
                <w:b/>
                <w:bCs/>
              </w:rPr>
            </w:pPr>
          </w:p>
        </w:tc>
        <w:tc>
          <w:tcPr>
            <w:tcW w:w="2830" w:type="dxa"/>
            <w:shd w:val="clear" w:color="auto" w:fill="DEEAF6" w:themeFill="accent5" w:themeFillTint="33"/>
          </w:tcPr>
          <w:p w14:paraId="7C64F6D4" w14:textId="77777777" w:rsidR="008F1366" w:rsidRPr="00782DA4" w:rsidRDefault="008F1366" w:rsidP="00D7566E">
            <w:pPr>
              <w:rPr>
                <w:b/>
                <w:bCs/>
              </w:rPr>
            </w:pPr>
          </w:p>
        </w:tc>
      </w:tr>
      <w:tr w:rsidR="008F1366" w:rsidRPr="00782DA4" w14:paraId="204C2BAF" w14:textId="77777777" w:rsidTr="00D7566E">
        <w:tc>
          <w:tcPr>
            <w:tcW w:w="4957" w:type="dxa"/>
            <w:shd w:val="clear" w:color="auto" w:fill="auto"/>
          </w:tcPr>
          <w:p w14:paraId="5B8E8EB7" w14:textId="77777777" w:rsidR="008F1366" w:rsidRPr="00782DA4" w:rsidRDefault="008F1366" w:rsidP="00D7566E">
            <w:r w:rsidRPr="00782DA4">
              <w:t>Funkčnost při výpadku jednoho PSU</w:t>
            </w:r>
          </w:p>
        </w:tc>
        <w:tc>
          <w:tcPr>
            <w:tcW w:w="1275" w:type="dxa"/>
            <w:shd w:val="clear" w:color="auto" w:fill="auto"/>
          </w:tcPr>
          <w:p w14:paraId="0705E025" w14:textId="77777777" w:rsidR="008F1366" w:rsidRPr="00782DA4" w:rsidRDefault="008F1366" w:rsidP="00D7566E"/>
        </w:tc>
        <w:tc>
          <w:tcPr>
            <w:tcW w:w="2830" w:type="dxa"/>
            <w:shd w:val="clear" w:color="auto" w:fill="auto"/>
          </w:tcPr>
          <w:p w14:paraId="0774A0DE" w14:textId="77777777" w:rsidR="008F1366" w:rsidRPr="00782DA4" w:rsidRDefault="008F1366" w:rsidP="00D7566E"/>
        </w:tc>
      </w:tr>
      <w:tr w:rsidR="008F1366" w:rsidRPr="00782DA4" w14:paraId="72247434" w14:textId="77777777" w:rsidTr="00D7566E">
        <w:tc>
          <w:tcPr>
            <w:tcW w:w="4957" w:type="dxa"/>
            <w:shd w:val="clear" w:color="auto" w:fill="auto"/>
          </w:tcPr>
          <w:p w14:paraId="2534938B" w14:textId="77777777" w:rsidR="008F1366" w:rsidRPr="00782DA4" w:rsidRDefault="008F1366" w:rsidP="00D7566E"/>
        </w:tc>
        <w:tc>
          <w:tcPr>
            <w:tcW w:w="1275" w:type="dxa"/>
            <w:shd w:val="clear" w:color="auto" w:fill="auto"/>
          </w:tcPr>
          <w:p w14:paraId="6D0D1376" w14:textId="77777777" w:rsidR="008F1366" w:rsidRPr="00782DA4" w:rsidRDefault="008F1366" w:rsidP="00D7566E"/>
        </w:tc>
        <w:tc>
          <w:tcPr>
            <w:tcW w:w="2830" w:type="dxa"/>
            <w:shd w:val="clear" w:color="auto" w:fill="auto"/>
          </w:tcPr>
          <w:p w14:paraId="29B07926" w14:textId="77777777" w:rsidR="008F1366" w:rsidRPr="00782DA4" w:rsidRDefault="008F1366" w:rsidP="00D7566E"/>
        </w:tc>
      </w:tr>
      <w:tr w:rsidR="008F1366" w:rsidRPr="00782DA4" w14:paraId="12BAF106" w14:textId="77777777" w:rsidTr="00D7566E">
        <w:tc>
          <w:tcPr>
            <w:tcW w:w="4957" w:type="dxa"/>
            <w:shd w:val="clear" w:color="auto" w:fill="DEEAF6" w:themeFill="accent5" w:themeFillTint="33"/>
          </w:tcPr>
          <w:p w14:paraId="7B8AE114" w14:textId="77777777" w:rsidR="008F1366" w:rsidRPr="00782DA4" w:rsidRDefault="008F1366" w:rsidP="00D7566E">
            <w:pPr>
              <w:rPr>
                <w:b/>
                <w:bCs/>
              </w:rPr>
            </w:pPr>
            <w:proofErr w:type="spellStart"/>
            <w:r w:rsidRPr="00782DA4">
              <w:rPr>
                <w:b/>
                <w:bCs/>
              </w:rPr>
              <w:t>VMware</w:t>
            </w:r>
            <w:proofErr w:type="spellEnd"/>
            <w:r w:rsidRPr="00782DA4">
              <w:rPr>
                <w:b/>
                <w:bCs/>
              </w:rPr>
              <w:t xml:space="preserve"> cluster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19E9B594" w14:textId="77777777" w:rsidR="008F1366" w:rsidRPr="00782DA4" w:rsidRDefault="008F1366" w:rsidP="00D7566E">
            <w:pPr>
              <w:rPr>
                <w:b/>
                <w:bCs/>
              </w:rPr>
            </w:pPr>
          </w:p>
        </w:tc>
        <w:tc>
          <w:tcPr>
            <w:tcW w:w="2830" w:type="dxa"/>
            <w:shd w:val="clear" w:color="auto" w:fill="DEEAF6" w:themeFill="accent5" w:themeFillTint="33"/>
          </w:tcPr>
          <w:p w14:paraId="35E7A53D" w14:textId="77777777" w:rsidR="008F1366" w:rsidRPr="00782DA4" w:rsidRDefault="008F1366" w:rsidP="00D7566E">
            <w:pPr>
              <w:rPr>
                <w:b/>
                <w:bCs/>
              </w:rPr>
            </w:pPr>
          </w:p>
        </w:tc>
      </w:tr>
      <w:tr w:rsidR="008F1366" w:rsidRPr="00782DA4" w14:paraId="341124BD" w14:textId="77777777" w:rsidTr="00D7566E">
        <w:tc>
          <w:tcPr>
            <w:tcW w:w="4957" w:type="dxa"/>
          </w:tcPr>
          <w:p w14:paraId="28BD412F" w14:textId="77777777" w:rsidR="008F1366" w:rsidRPr="00782DA4" w:rsidRDefault="008F1366" w:rsidP="00D7566E">
            <w:r w:rsidRPr="00782DA4">
              <w:t xml:space="preserve">Dostupnost prostředků při výpadku jednoho libovolného </w:t>
            </w:r>
            <w:proofErr w:type="spellStart"/>
            <w:r w:rsidRPr="00782DA4">
              <w:t>ESXi</w:t>
            </w:r>
            <w:proofErr w:type="spellEnd"/>
            <w:r w:rsidRPr="00782DA4">
              <w:t xml:space="preserve"> serveru</w:t>
            </w:r>
          </w:p>
        </w:tc>
        <w:tc>
          <w:tcPr>
            <w:tcW w:w="1275" w:type="dxa"/>
          </w:tcPr>
          <w:p w14:paraId="7F7A5EEB" w14:textId="77777777" w:rsidR="008F1366" w:rsidRPr="00782DA4" w:rsidRDefault="008F1366" w:rsidP="00D7566E"/>
        </w:tc>
        <w:tc>
          <w:tcPr>
            <w:tcW w:w="2830" w:type="dxa"/>
          </w:tcPr>
          <w:p w14:paraId="14985C14" w14:textId="77777777" w:rsidR="008F1366" w:rsidRPr="00782DA4" w:rsidRDefault="008F1366" w:rsidP="00D7566E"/>
        </w:tc>
      </w:tr>
      <w:tr w:rsidR="008F1366" w:rsidRPr="00782DA4" w14:paraId="1EB02756" w14:textId="77777777" w:rsidTr="00D7566E">
        <w:tc>
          <w:tcPr>
            <w:tcW w:w="4957" w:type="dxa"/>
          </w:tcPr>
          <w:p w14:paraId="10BB265A" w14:textId="77777777" w:rsidR="008F1366" w:rsidRPr="00782DA4" w:rsidRDefault="008F1366" w:rsidP="00D7566E">
            <w:r w:rsidRPr="00782DA4">
              <w:t xml:space="preserve">Migrace </w:t>
            </w:r>
            <w:proofErr w:type="spellStart"/>
            <w:r w:rsidRPr="00782DA4">
              <w:t>virtualizovaných</w:t>
            </w:r>
            <w:proofErr w:type="spellEnd"/>
            <w:r w:rsidRPr="00782DA4">
              <w:t xml:space="preserve"> prostředků mezi jednotlivými </w:t>
            </w:r>
            <w:proofErr w:type="spellStart"/>
            <w:r w:rsidRPr="00782DA4">
              <w:t>ESXi</w:t>
            </w:r>
            <w:proofErr w:type="spellEnd"/>
            <w:r w:rsidRPr="00782DA4">
              <w:t xml:space="preserve"> servery</w:t>
            </w:r>
          </w:p>
        </w:tc>
        <w:tc>
          <w:tcPr>
            <w:tcW w:w="1275" w:type="dxa"/>
          </w:tcPr>
          <w:p w14:paraId="76BB0D4E" w14:textId="77777777" w:rsidR="008F1366" w:rsidRPr="00782DA4" w:rsidRDefault="008F1366" w:rsidP="00D7566E"/>
        </w:tc>
        <w:tc>
          <w:tcPr>
            <w:tcW w:w="2830" w:type="dxa"/>
          </w:tcPr>
          <w:p w14:paraId="00FA5589" w14:textId="77777777" w:rsidR="008F1366" w:rsidRPr="00782DA4" w:rsidRDefault="008F1366" w:rsidP="00D7566E"/>
        </w:tc>
      </w:tr>
      <w:tr w:rsidR="008F1366" w:rsidRPr="00782DA4" w14:paraId="0D0F27E7" w14:textId="77777777" w:rsidTr="00D7566E">
        <w:tc>
          <w:tcPr>
            <w:tcW w:w="4957" w:type="dxa"/>
          </w:tcPr>
          <w:p w14:paraId="66E1DB6B" w14:textId="77777777" w:rsidR="008F1366" w:rsidRPr="00782DA4" w:rsidRDefault="008F1366" w:rsidP="00D7566E">
            <w:r w:rsidRPr="00782DA4">
              <w:t xml:space="preserve">Monitoring zátěže CPU, RAM jednotlivých </w:t>
            </w:r>
            <w:proofErr w:type="spellStart"/>
            <w:r w:rsidRPr="00782DA4">
              <w:t>ESXi</w:t>
            </w:r>
            <w:proofErr w:type="spellEnd"/>
            <w:r w:rsidRPr="00782DA4">
              <w:t xml:space="preserve"> hostů a celého </w:t>
            </w:r>
            <w:proofErr w:type="spellStart"/>
            <w:r w:rsidRPr="00782DA4">
              <w:t>VMware</w:t>
            </w:r>
            <w:proofErr w:type="spellEnd"/>
            <w:r w:rsidRPr="00782DA4">
              <w:t xml:space="preserve"> clusteru</w:t>
            </w:r>
          </w:p>
        </w:tc>
        <w:tc>
          <w:tcPr>
            <w:tcW w:w="1275" w:type="dxa"/>
          </w:tcPr>
          <w:p w14:paraId="01AB80AA" w14:textId="77777777" w:rsidR="008F1366" w:rsidRPr="00782DA4" w:rsidRDefault="008F1366" w:rsidP="00D7566E"/>
        </w:tc>
        <w:tc>
          <w:tcPr>
            <w:tcW w:w="2830" w:type="dxa"/>
          </w:tcPr>
          <w:p w14:paraId="2B739B07" w14:textId="77777777" w:rsidR="008F1366" w:rsidRPr="00782DA4" w:rsidRDefault="008F1366" w:rsidP="00D7566E"/>
        </w:tc>
      </w:tr>
      <w:tr w:rsidR="008F1366" w:rsidRPr="00782DA4" w14:paraId="40E61189" w14:textId="77777777" w:rsidTr="00D7566E">
        <w:tc>
          <w:tcPr>
            <w:tcW w:w="4957" w:type="dxa"/>
          </w:tcPr>
          <w:p w14:paraId="197A708F" w14:textId="77777777" w:rsidR="008F1366" w:rsidRPr="00782DA4" w:rsidRDefault="008F1366" w:rsidP="00D7566E">
            <w:r w:rsidRPr="00782DA4">
              <w:t xml:space="preserve">dostupnost všech </w:t>
            </w:r>
            <w:proofErr w:type="spellStart"/>
            <w:r w:rsidRPr="00782DA4">
              <w:t>virtualizovaných</w:t>
            </w:r>
            <w:proofErr w:type="spellEnd"/>
            <w:r w:rsidRPr="00782DA4">
              <w:t xml:space="preserve"> prostředků po migraci (virtuální servery a virtuální desktopy)</w:t>
            </w:r>
          </w:p>
        </w:tc>
        <w:tc>
          <w:tcPr>
            <w:tcW w:w="1275" w:type="dxa"/>
          </w:tcPr>
          <w:p w14:paraId="093CD4CD" w14:textId="77777777" w:rsidR="008F1366" w:rsidRPr="00782DA4" w:rsidRDefault="008F1366" w:rsidP="00D7566E"/>
        </w:tc>
        <w:tc>
          <w:tcPr>
            <w:tcW w:w="2830" w:type="dxa"/>
          </w:tcPr>
          <w:p w14:paraId="7DBC6E72" w14:textId="77777777" w:rsidR="008F1366" w:rsidRPr="00782DA4" w:rsidRDefault="008F1366" w:rsidP="00D7566E"/>
        </w:tc>
      </w:tr>
      <w:tr w:rsidR="008F1366" w:rsidRPr="00782DA4" w14:paraId="4FCB733F" w14:textId="77777777" w:rsidTr="00D7566E">
        <w:tc>
          <w:tcPr>
            <w:tcW w:w="4957" w:type="dxa"/>
          </w:tcPr>
          <w:p w14:paraId="553B9401" w14:textId="77777777" w:rsidR="008F1366" w:rsidRPr="00782DA4" w:rsidRDefault="008F1366" w:rsidP="00D7566E"/>
        </w:tc>
        <w:tc>
          <w:tcPr>
            <w:tcW w:w="1275" w:type="dxa"/>
          </w:tcPr>
          <w:p w14:paraId="69A9BF08" w14:textId="77777777" w:rsidR="008F1366" w:rsidRPr="00782DA4" w:rsidRDefault="008F1366" w:rsidP="00D7566E"/>
        </w:tc>
        <w:tc>
          <w:tcPr>
            <w:tcW w:w="2830" w:type="dxa"/>
          </w:tcPr>
          <w:p w14:paraId="3012797D" w14:textId="77777777" w:rsidR="008F1366" w:rsidRPr="00782DA4" w:rsidRDefault="008F1366" w:rsidP="00D7566E"/>
        </w:tc>
      </w:tr>
      <w:tr w:rsidR="008F1366" w:rsidRPr="00782DA4" w14:paraId="1F3DA6AB" w14:textId="77777777" w:rsidTr="00D7566E">
        <w:tc>
          <w:tcPr>
            <w:tcW w:w="4957" w:type="dxa"/>
            <w:shd w:val="clear" w:color="auto" w:fill="DEEAF6" w:themeFill="accent5" w:themeFillTint="33"/>
          </w:tcPr>
          <w:p w14:paraId="4B1112A0" w14:textId="77777777" w:rsidR="008F1366" w:rsidRPr="00782DA4" w:rsidRDefault="008F1366" w:rsidP="00D7566E">
            <w:pPr>
              <w:rPr>
                <w:b/>
                <w:bCs/>
              </w:rPr>
            </w:pPr>
            <w:r w:rsidRPr="00782DA4">
              <w:rPr>
                <w:b/>
                <w:bCs/>
              </w:rPr>
              <w:t>Zálohování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9045CB0" w14:textId="77777777" w:rsidR="008F1366" w:rsidRPr="00782DA4" w:rsidRDefault="008F1366" w:rsidP="00D7566E"/>
        </w:tc>
        <w:tc>
          <w:tcPr>
            <w:tcW w:w="2830" w:type="dxa"/>
            <w:shd w:val="clear" w:color="auto" w:fill="DEEAF6" w:themeFill="accent5" w:themeFillTint="33"/>
          </w:tcPr>
          <w:p w14:paraId="6764C099" w14:textId="77777777" w:rsidR="008F1366" w:rsidRPr="00782DA4" w:rsidRDefault="008F1366" w:rsidP="00D7566E"/>
        </w:tc>
      </w:tr>
      <w:tr w:rsidR="008F1366" w:rsidRPr="00782DA4" w14:paraId="728B22BD" w14:textId="77777777" w:rsidTr="00D7566E">
        <w:tc>
          <w:tcPr>
            <w:tcW w:w="4957" w:type="dxa"/>
          </w:tcPr>
          <w:p w14:paraId="1B2FB5FB" w14:textId="77777777" w:rsidR="008F1366" w:rsidRPr="00782DA4" w:rsidRDefault="008F1366" w:rsidP="00D7566E">
            <w:r w:rsidRPr="00782DA4">
              <w:t>Ověření funkčnosti zálohování</w:t>
            </w:r>
          </w:p>
        </w:tc>
        <w:tc>
          <w:tcPr>
            <w:tcW w:w="1275" w:type="dxa"/>
          </w:tcPr>
          <w:p w14:paraId="10651915" w14:textId="77777777" w:rsidR="008F1366" w:rsidRPr="00782DA4" w:rsidRDefault="008F1366" w:rsidP="00D7566E"/>
        </w:tc>
        <w:tc>
          <w:tcPr>
            <w:tcW w:w="2830" w:type="dxa"/>
          </w:tcPr>
          <w:p w14:paraId="117FE544" w14:textId="77777777" w:rsidR="008F1366" w:rsidRPr="00782DA4" w:rsidRDefault="008F1366" w:rsidP="00D7566E"/>
        </w:tc>
      </w:tr>
      <w:tr w:rsidR="008F1366" w:rsidRPr="00782DA4" w14:paraId="4424CAEE" w14:textId="77777777" w:rsidTr="00D7566E">
        <w:tc>
          <w:tcPr>
            <w:tcW w:w="4957" w:type="dxa"/>
          </w:tcPr>
          <w:p w14:paraId="5EC09FF9" w14:textId="77777777" w:rsidR="008F1366" w:rsidRPr="00782DA4" w:rsidRDefault="008F1366" w:rsidP="00D7566E">
            <w:r w:rsidRPr="00782DA4">
              <w:t>Test obnovy libovolné VM</w:t>
            </w:r>
          </w:p>
        </w:tc>
        <w:tc>
          <w:tcPr>
            <w:tcW w:w="1275" w:type="dxa"/>
          </w:tcPr>
          <w:p w14:paraId="1EC60247" w14:textId="77777777" w:rsidR="008F1366" w:rsidRPr="00782DA4" w:rsidRDefault="008F1366" w:rsidP="00D7566E"/>
        </w:tc>
        <w:tc>
          <w:tcPr>
            <w:tcW w:w="2830" w:type="dxa"/>
          </w:tcPr>
          <w:p w14:paraId="2D522A12" w14:textId="77777777" w:rsidR="008F1366" w:rsidRPr="00782DA4" w:rsidRDefault="008F1366" w:rsidP="00D7566E"/>
        </w:tc>
      </w:tr>
      <w:tr w:rsidR="008F1366" w:rsidRPr="00782DA4" w14:paraId="75231FEA" w14:textId="77777777" w:rsidTr="00D7566E">
        <w:tc>
          <w:tcPr>
            <w:tcW w:w="4957" w:type="dxa"/>
          </w:tcPr>
          <w:p w14:paraId="5289F6DC" w14:textId="77777777" w:rsidR="008F1366" w:rsidRPr="00782DA4" w:rsidRDefault="008F1366" w:rsidP="00D7566E"/>
        </w:tc>
        <w:tc>
          <w:tcPr>
            <w:tcW w:w="1275" w:type="dxa"/>
          </w:tcPr>
          <w:p w14:paraId="11D02D11" w14:textId="77777777" w:rsidR="008F1366" w:rsidRPr="00782DA4" w:rsidRDefault="008F1366" w:rsidP="00D7566E"/>
        </w:tc>
        <w:tc>
          <w:tcPr>
            <w:tcW w:w="2830" w:type="dxa"/>
          </w:tcPr>
          <w:p w14:paraId="7A5DA22A" w14:textId="77777777" w:rsidR="008F1366" w:rsidRPr="00782DA4" w:rsidRDefault="008F1366" w:rsidP="00D7566E"/>
        </w:tc>
      </w:tr>
    </w:tbl>
    <w:p w14:paraId="5F8C3B2F" w14:textId="77777777" w:rsidR="008F1366" w:rsidRPr="00782DA4" w:rsidRDefault="008F1366" w:rsidP="008F1366"/>
    <w:p w14:paraId="21C75890" w14:textId="77777777" w:rsidR="00141B8F" w:rsidRDefault="00141B8F"/>
    <w:sectPr w:rsidR="00141B8F" w:rsidSect="008F1366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43F28" w14:textId="77777777" w:rsidR="000464BB" w:rsidRDefault="000464BB" w:rsidP="00BD7B1A">
      <w:pPr>
        <w:spacing w:after="0" w:line="240" w:lineRule="auto"/>
      </w:pPr>
      <w:r>
        <w:separator/>
      </w:r>
    </w:p>
  </w:endnote>
  <w:endnote w:type="continuationSeparator" w:id="0">
    <w:p w14:paraId="1223C526" w14:textId="77777777" w:rsidR="000464BB" w:rsidRDefault="000464BB" w:rsidP="00BD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23DBB" w14:textId="77777777" w:rsidR="000464BB" w:rsidRDefault="000464BB" w:rsidP="00BD7B1A">
      <w:pPr>
        <w:spacing w:after="0" w:line="240" w:lineRule="auto"/>
      </w:pPr>
      <w:r>
        <w:separator/>
      </w:r>
    </w:p>
  </w:footnote>
  <w:footnote w:type="continuationSeparator" w:id="0">
    <w:p w14:paraId="16128AE8" w14:textId="77777777" w:rsidR="000464BB" w:rsidRDefault="000464BB" w:rsidP="00BD7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D16"/>
    <w:multiLevelType w:val="multilevel"/>
    <w:tmpl w:val="F040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C13CE"/>
    <w:multiLevelType w:val="multilevel"/>
    <w:tmpl w:val="D238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61AA"/>
    <w:multiLevelType w:val="multilevel"/>
    <w:tmpl w:val="DE8A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A2866"/>
    <w:multiLevelType w:val="multilevel"/>
    <w:tmpl w:val="3C74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3272F"/>
    <w:multiLevelType w:val="multilevel"/>
    <w:tmpl w:val="D4BA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07A4D"/>
    <w:multiLevelType w:val="multilevel"/>
    <w:tmpl w:val="8040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50ECE"/>
    <w:multiLevelType w:val="multilevel"/>
    <w:tmpl w:val="58D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629B4"/>
    <w:multiLevelType w:val="multilevel"/>
    <w:tmpl w:val="3830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A5C1E"/>
    <w:multiLevelType w:val="multilevel"/>
    <w:tmpl w:val="89FA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90D69"/>
    <w:multiLevelType w:val="multilevel"/>
    <w:tmpl w:val="6A24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721CC"/>
    <w:multiLevelType w:val="multilevel"/>
    <w:tmpl w:val="7DBE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76FBA"/>
    <w:multiLevelType w:val="multilevel"/>
    <w:tmpl w:val="E1D2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325DC"/>
    <w:multiLevelType w:val="multilevel"/>
    <w:tmpl w:val="4DC4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20AF8"/>
    <w:multiLevelType w:val="multilevel"/>
    <w:tmpl w:val="F374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2"/>
  </w:num>
  <w:num w:numId="9">
    <w:abstractNumId w:val="13"/>
  </w:num>
  <w:num w:numId="10">
    <w:abstractNumId w:val="12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66"/>
    <w:rsid w:val="000464BB"/>
    <w:rsid w:val="000B279D"/>
    <w:rsid w:val="00141B8F"/>
    <w:rsid w:val="003F1230"/>
    <w:rsid w:val="00414CC5"/>
    <w:rsid w:val="00415A9C"/>
    <w:rsid w:val="004444AE"/>
    <w:rsid w:val="0048161D"/>
    <w:rsid w:val="00486468"/>
    <w:rsid w:val="006679A8"/>
    <w:rsid w:val="006715C1"/>
    <w:rsid w:val="006D4E07"/>
    <w:rsid w:val="006F259B"/>
    <w:rsid w:val="008C65EB"/>
    <w:rsid w:val="008F1366"/>
    <w:rsid w:val="00A6511E"/>
    <w:rsid w:val="00BD7B1A"/>
    <w:rsid w:val="00D5729E"/>
    <w:rsid w:val="00D8725F"/>
    <w:rsid w:val="00E75C1D"/>
    <w:rsid w:val="00E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FC9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1366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8F1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1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136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rsid w:val="008F1366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lnweb">
    <w:name w:val="Normal (Web)"/>
    <w:basedOn w:val="Normln"/>
    <w:uiPriority w:val="99"/>
    <w:unhideWhenUsed/>
    <w:rsid w:val="008F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8F136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D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B1A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BD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B1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2023-11-09T13:50:00Z</dcterms:created>
  <dcterms:modified xsi:type="dcterms:W3CDTF">2023-11-10T07:39:00Z</dcterms:modified>
</cp:coreProperties>
</file>