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Verdana" w:hAnsi="Verdana" w:cs="Arial"/>
          <w:b/>
          <w:b/>
          <w:bCs/>
          <w:sz w:val="36"/>
          <w:szCs w:val="36"/>
        </w:rPr>
      </w:pPr>
      <w:r>
        <w:rPr>
          <w:rFonts w:cs="Arial" w:ascii="Verdana" w:hAnsi="Verdana"/>
          <w:b/>
          <w:bCs/>
          <w:sz w:val="36"/>
          <w:szCs w:val="36"/>
        </w:rPr>
        <w:t>ODŮVODNĚNÍ ÚČELNOSTI VEŘEJNÉ ZAKÁZKY</w:t>
      </w:r>
    </w:p>
    <w:p>
      <w:pPr>
        <w:pStyle w:val="ListParagraph"/>
        <w:ind w:left="0" w:hanging="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ListParagraph"/>
        <w:ind w:left="0" w:hanging="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Normal"/>
        <w:ind w:left="1843" w:hanging="1843"/>
        <w:rPr>
          <w:rStyle w:val="Hps"/>
          <w:rFonts w:ascii="Verdana" w:hAnsi="Verdana"/>
          <w:b/>
          <w:b/>
        </w:rPr>
      </w:pPr>
      <w:r>
        <w:rPr>
          <w:rFonts w:cs="Arial" w:ascii="Verdana" w:hAnsi="Verdana"/>
          <w:b/>
          <w:sz w:val="20"/>
          <w:szCs w:val="20"/>
        </w:rPr>
        <w:t>Název zakázky</w:t>
      </w:r>
      <w:r>
        <w:rPr>
          <w:rFonts w:cs="Arial" w:ascii="Verdana" w:hAnsi="Verdana"/>
          <w:sz w:val="20"/>
          <w:szCs w:val="20"/>
        </w:rPr>
        <w:t>:</w:t>
      </w:r>
      <w:r>
        <w:rPr>
          <w:rFonts w:cs="Arial"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Style w:val="Hps"/>
          <w:rFonts w:ascii="Verdana" w:hAnsi="Verdana"/>
          <w:b/>
        </w:rPr>
        <w:t>„Dodávka Management Serverů“</w:t>
      </w:r>
    </w:p>
    <w:p>
      <w:pPr>
        <w:pStyle w:val="Normal"/>
        <w:ind w:left="1843" w:hanging="1843"/>
        <w:rPr>
          <w:rStyle w:val="Hps"/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ListParagraph"/>
        <w:ind w:left="2410" w:hanging="241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  <w:t>Druh a limit zakázky</w:t>
      </w:r>
      <w:r>
        <w:rPr>
          <w:rFonts w:cs="Arial" w:ascii="Verdana" w:hAnsi="Verdana"/>
          <w:sz w:val="20"/>
          <w:szCs w:val="20"/>
        </w:rPr>
        <w:t>: veřejná zakázka na dodávky zadávaná v zavedeném dynamickém nákupním systému „Control servers“</w:t>
      </w:r>
    </w:p>
    <w:p>
      <w:pPr>
        <w:pStyle w:val="ListParagraph"/>
        <w:ind w:left="0" w:hanging="0"/>
        <w:rPr>
          <w:rFonts w:ascii="Verdana" w:hAnsi="Verdana" w:cs="Arial"/>
          <w:sz w:val="20"/>
          <w:szCs w:val="20"/>
        </w:rPr>
      </w:pPr>
      <w:r>
        <w:rPr>
          <w:rFonts w:cs="Arial" w:ascii="Verdana" w:hAnsi="Verdana"/>
          <w:sz w:val="20"/>
          <w:szCs w:val="20"/>
        </w:rPr>
      </w:r>
    </w:p>
    <w:p>
      <w:pPr>
        <w:pStyle w:val="ListParagraph"/>
        <w:ind w:left="0" w:hanging="0"/>
        <w:rPr>
          <w:rFonts w:ascii="Verdana" w:hAnsi="Verdana"/>
          <w:sz w:val="20"/>
          <w:szCs w:val="20"/>
        </w:rPr>
      </w:pPr>
      <w:r>
        <w:rPr>
          <w:rFonts w:cs="Arial" w:ascii="Verdana" w:hAnsi="Verdana"/>
          <w:b/>
          <w:sz w:val="20"/>
          <w:szCs w:val="20"/>
        </w:rPr>
        <w:t>Číslo ve Věstníku veřejných zakázek</w:t>
      </w:r>
      <w:r>
        <w:rPr>
          <w:rFonts w:cs="Arial"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 </w:t>
      </w:r>
      <w:r>
        <w:rPr>
          <w:rFonts w:cs="Arial" w:ascii="Verdana" w:hAnsi="Verdana"/>
          <w:bCs/>
          <w:sz w:val="20"/>
          <w:szCs w:val="20"/>
        </w:rPr>
        <w:t>523780</w:t>
      </w:r>
    </w:p>
    <w:p>
      <w:pPr>
        <w:pStyle w:val="NoSpacing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Zadavatel: </w:t>
        <w:tab/>
        <w:tab/>
        <w:tab/>
      </w:r>
      <w:r>
        <w:rPr>
          <w:rFonts w:ascii="Verdana" w:hAnsi="Verdana"/>
          <w:color w:val="000000"/>
          <w:sz w:val="20"/>
          <w:szCs w:val="20"/>
        </w:rPr>
        <w:t>Fyzikální ústav AV ČR, v. v. i.</w:t>
      </w:r>
      <w:r>
        <w:rPr>
          <w:rFonts w:ascii="Verdana" w:hAnsi="Verdana"/>
          <w:sz w:val="20"/>
          <w:szCs w:val="20"/>
        </w:rPr>
        <w:t xml:space="preserve"> </w:t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Sídlo: </w:t>
        <w:tab/>
        <w:tab/>
        <w:tab/>
        <w:tab/>
      </w:r>
      <w:r>
        <w:rPr>
          <w:rFonts w:cs="Tahoma" w:ascii="Verdana" w:hAnsi="Verdana"/>
          <w:color w:val="000000"/>
          <w:sz w:val="20"/>
          <w:szCs w:val="20"/>
        </w:rPr>
        <w:t>Na Slovance 2, 182 21 Praha 8</w:t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IČO:</w:t>
        <w:tab/>
        <w:tab/>
        <w:tab/>
        <w:tab/>
        <w:t>683 78 271</w:t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Osoba oprávněná </w:t>
      </w:r>
    </w:p>
    <w:p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jednat za zadavatele: </w:t>
        <w:tab/>
        <w:t>prof. Jan Řídký, DrSc., ředitel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464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801"/>
        <w:gridCol w:w="6662"/>
      </w:tblGrid>
      <w:tr>
        <w:trPr/>
        <w:tc>
          <w:tcPr>
            <w:tcW w:w="94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účelnosti veřejné zakázky podle § 2 vyhlášky č. 232/2012 Sb.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Veřejný zadavatel popíše změny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a) v popisu potřeb, které mají být splněním veřejné zakázky naplněny,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b)v popisu předmětu veřejné zakázky,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c) vzájemného vztahu předmětu veřejné zakázky a potřeb zadavatele,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d) v předpokládaném termínu plnění veřejné zakázky,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cs="Arial" w:ascii="Arial" w:hAnsi="Arial"/>
                <w:sz w:val="20"/>
                <w:szCs w:val="20"/>
              </w:rPr>
              <w:t>oproti skutečnostem uvedeným podle § 1 vyhlášky.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>Management servery jsou určeny pro správu komplexních počítačových komponent (blade server, infiniband switche).</w:t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Zadavatel požaduje uskutečnit dodávku management serverů.</w:t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Uskutečněním této veřejné zakázky zadavatel naplní výše uvedené potřeby.</w:t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Předpokládaný termín plnění je prosinec 2015.</w:t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Popis rizik souvisejících s plněním veřejné zakázky, která zadavatel zohlednil při stanovení zadávacích podmínek. Jde zejména o rizika nerealizace veřejné zakázky, prodlení s plněním veřejné zakázky, snížené kvality plnění, vynaložení dalších finančních nákladů.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Zadavatel zohlednil riziko nerealizace zakázky. Nerealizace zakázky by znamenala nemožnost realizace Projektu, k jehož realizaci se zadavatel zavázal. Proto je zakázka zadávána. Riziko prodlení je zohledněno stanovením smluvní pokuty za opožděné plnění. Ostatní rizika plnění jsou pak zohledněna příslušnými obchodními podmínkami.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tbl>
      <w:tblPr>
        <w:tblW w:w="9464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801"/>
        <w:gridCol w:w="6662"/>
      </w:tblGrid>
      <w:tr>
        <w:trPr/>
        <w:tc>
          <w:tcPr>
            <w:tcW w:w="94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přiměřenosti požadavků na technické kvalifikační předpoklady pro plnění veřejné zakázky na dodávky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Odůvodnění přiměřenosti požadavků na seznam významných dodávek. </w:t>
            </w:r>
            <w:r>
              <w:rPr>
                <w:rFonts w:eastAsia="Calibri" w:cs="Arial" w:ascii="Verdana" w:hAnsi="Verdana"/>
                <w:sz w:val="18"/>
                <w:szCs w:val="18"/>
                <w:lang w:eastAsia="en-US"/>
              </w:rPr>
              <w:t>(Veřejný zadavatel povinně vyplní, pokud požadovaná finanční hodnota všech významných dodávek činí v souhrnu minimálně trojnásobek předpokládané hodnoty veřejné zakázky.)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33" w:leader="none"/>
              </w:tabs>
              <w:spacing w:before="0" w:after="120"/>
              <w:ind w:left="33" w:hanging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Zadavatel nepožaduje předložení v rozsahu podléhajícím zdůvodnění. 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  <w:tr>
        <w:trPr/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Verdana" w:hAnsi="Verdana"/>
                <w:sz w:val="18"/>
                <w:szCs w:val="18"/>
              </w:rPr>
              <w:t>Zadavatel nepožaduje.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ind w:lef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ind w:lef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288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67"/>
        <w:gridCol w:w="5920"/>
      </w:tblGrid>
      <w:tr>
        <w:trPr/>
        <w:tc>
          <w:tcPr>
            <w:tcW w:w="92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vymezení obchodních podmínek veřejné zakázky na dodávky a veřejné zakázky na služby ve vztahu k potřebám veřejného zadavatele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splatnost faktur, překračuje-li 30 dnů.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Splatnost je 30 dnů. 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požadavek na pojištění odpovědnosti za škodu způsobenou dodavatelem třetím osobám, přesahuje-li dvojnásobek předpokládané hodnoty veřejné zakázky.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</w:rPr>
              <w:t>Pojištění odpovědnosti za škodu není požadováno.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požadavek bankovní záruky, je-li vyšší než 5% ceny veřejné zakázky.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</w:rPr>
              <w:t>Není požadována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záruční lhůtu, je-li delší 24 měsíců.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Zadavatel požaduje delší záruční dobu než 24 měsíců z důvodu, že tato delší záruční doba je na trhu pro tyto produkty obvyklá.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smluvní pokutu za prodlení dodavatele, přesahuje-li 0,2 % předpokládané hodnoty za den prodlení.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</w:rPr>
              <w:t>Smluvní pokuta nepřesahuje 0,2 % předpokládané hodnoty za den prodlení.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obchodní podmínky stanovící smluvní pokutu za prodlení zadavatele s úhradou faktur, je-li vyšší než 0,05 % z dlužné částky za každý den prodlení.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  <w:highlight w:val="green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cs="Arial" w:ascii="Arial" w:hAnsi="Arial"/>
                <w:sz w:val="20"/>
                <w:szCs w:val="20"/>
              </w:rPr>
              <w:t>Smluvní pokuta nepřesahuje 0,05 % z dlužné částky za každý den prodlení.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Odůvodnění vymezení dalších obchodních podmínek, pokud byly stanoveny.</w:t>
            </w:r>
          </w:p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Ostatní obchodní podmínky v podobě závazného návrhu smlouvy jsou standardními obchodními podmínkami pro podobný druh odběratelských vztahů. Zadavatel používá standardizované návrhy smluv, které používá pro obdobné typy smluvních vztahů. </w:t>
            </w:r>
          </w:p>
          <w:p>
            <w:pPr>
              <w:pStyle w:val="ListParagraph"/>
              <w:spacing w:before="0" w:after="120"/>
              <w:ind w:left="0" w:hanging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212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67"/>
        <w:gridCol w:w="5844"/>
      </w:tblGrid>
      <w:tr>
        <w:trPr/>
        <w:tc>
          <w:tcPr>
            <w:tcW w:w="9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vymezení technických podmínek veřejné zakázky ve vztahu k potřebám veřejného zadavatele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technické podmínky</w:t>
            </w:r>
          </w:p>
        </w:tc>
      </w:tr>
      <w:tr>
        <w:trPr>
          <w:trHeight w:val="1458" w:hRule="atLeast"/>
        </w:trPr>
        <w:tc>
          <w:tcPr>
            <w:tcW w:w="9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Skříň, rack mount do 19“ skříně – server je dislokovaný v serverovně a musí být namontován v 19“ racku</w:t>
            </w:r>
          </w:p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CPU – dodávaný výkon je nutný pro spolehlivou správu komplexních počítačových zařízení</w:t>
            </w:r>
          </w:p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RAM 16GB – toto minimální množství paměti je nutné pro spolehlivý běh softwaru pro management zařízení</w:t>
            </w:r>
          </w:p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 xml:space="preserve">Disky , </w:t>
            </w:r>
            <w:r>
              <w:rPr>
                <w:rFonts w:cs="Calibri" w:ascii="Calibri" w:hAnsi="Calibri"/>
                <w:sz w:val="20"/>
                <w:szCs w:val="20"/>
              </w:rPr>
              <w:t>Minimálně 2x 120GB s podporou hot-plug enterprise SSD konfigurované v RAID-1, minimálně 2x 200GB SAS</w:t>
            </w:r>
            <w:r>
              <w:rPr>
                <w:rFonts w:cs="Arial" w:ascii="Arial" w:hAnsi="Arial"/>
                <w:sz w:val="20"/>
                <w:szCs w:val="20"/>
              </w:rPr>
              <w:t>– disková kapacita pro instalaci základního OS a softwaru pro management</w:t>
            </w:r>
          </w:p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Expanzní sloty, m</w:t>
            </w: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inimálně 4x PCIe 3.0, všechny porty minimálně PCIe x8 – nutné pro vložení karet určených pro správu komplexních zařízení.</w:t>
            </w:r>
          </w:p>
          <w:p>
            <w:pPr>
              <w:pStyle w:val="Normal"/>
              <w:jc w:val="both"/>
              <w:rPr/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Infiniband konektivita, minimálně 2x FDR14 infiniband slots – rozhraní určené pro komunikaci s infiniband switchem.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  <w:highlight w:val="yellow"/>
        </w:rPr>
      </w:pPr>
      <w:r>
        <w:rPr>
          <w:rFonts w:cs="Arial" w:ascii="Arial" w:hAnsi="Arial"/>
          <w:color w:val="FF0000"/>
          <w:sz w:val="20"/>
          <w:szCs w:val="20"/>
          <w:highlight w:val="yellow"/>
        </w:rPr>
      </w:r>
    </w:p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  <w:highlight w:val="yellow"/>
        </w:rPr>
      </w:pPr>
      <w:r>
        <w:rPr>
          <w:rFonts w:cs="Arial" w:ascii="Arial" w:hAnsi="Arial"/>
          <w:color w:val="FF0000"/>
          <w:sz w:val="20"/>
          <w:szCs w:val="20"/>
          <w:highlight w:val="yellow"/>
        </w:rPr>
      </w:r>
    </w:p>
    <w:tbl>
      <w:tblPr>
        <w:tblW w:w="9212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67"/>
        <w:gridCol w:w="5844"/>
      </w:tblGrid>
      <w:tr>
        <w:trPr/>
        <w:tc>
          <w:tcPr>
            <w:tcW w:w="9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Odůvodnění stanovení základních a dílčích hodnotících kritérií ve vztahu k potřebám veřejného zadavatele 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Odůvodnění </w:t>
            </w:r>
          </w:p>
        </w:tc>
      </w:tr>
      <w:tr>
        <w:trPr>
          <w:trHeight w:val="985" w:hRule="atLeast"/>
        </w:trPr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Nejnižší nabídková cena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Jedná se o nejvhodnější hodnotící kritérium pro tuto zakázku.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tbl>
      <w:tblPr>
        <w:tblW w:w="9180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486"/>
        <w:gridCol w:w="2693"/>
      </w:tblGrid>
      <w:tr>
        <w:trPr>
          <w:trHeight w:val="294" w:hRule="atLeast"/>
        </w:trPr>
        <w:tc>
          <w:tcPr>
            <w:tcW w:w="9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 způsobu hodnocení nabídek ve vztahu k potřebám veřejného zadavatele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</w:p>
        </w:tc>
      </w:tr>
      <w:tr>
        <w:trPr>
          <w:trHeight w:val="155" w:hRule="atLeast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Způsob hodnocení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</w:t>
            </w:r>
          </w:p>
        </w:tc>
      </w:tr>
      <w:tr>
        <w:trPr>
          <w:trHeight w:val="415" w:hRule="atLeast"/>
        </w:trPr>
        <w:tc>
          <w:tcPr>
            <w:tcW w:w="64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Hodnotit se bude podle nejnižší nabídkové ceny.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V souladu se zásadami účelnost, hospodárnosti a efektivnosti zamýšlí dodavatel pořídit plnění, které naplňuje jeho potřeby, a to za nejnižší tržní cenu.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tbl>
      <w:tblPr>
        <w:tblW w:w="9212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367"/>
        <w:gridCol w:w="5844"/>
      </w:tblGrid>
      <w:tr>
        <w:trPr/>
        <w:tc>
          <w:tcPr>
            <w:tcW w:w="9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Odůvodnění předpokládané hodnoty 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Hodnota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Odůvodnění</w:t>
            </w:r>
          </w:p>
        </w:tc>
      </w:tr>
      <w:tr>
        <w:trPr/>
        <w:tc>
          <w:tcPr>
            <w:tcW w:w="3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200.000,- Kč bez DPH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  <w:p>
            <w:pPr>
              <w:pStyle w:val="ListParagraph"/>
              <w:ind w:left="0" w:hanging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cs="Arial" w:ascii="Arial" w:hAnsi="Arial"/>
                <w:color w:val="FF0000"/>
                <w:sz w:val="20"/>
                <w:szCs w:val="20"/>
              </w:rPr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ListParagraph"/>
              <w:ind w:left="0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Předpokládaná hodnota byla stanovena na základě obdobných veřejných zakázek z minulosti.</w:t>
            </w:r>
          </w:p>
        </w:tc>
      </w:tr>
    </w:tbl>
    <w:p>
      <w:pPr>
        <w:pStyle w:val="ListParagraph"/>
        <w:ind w:left="0" w:hanging="0"/>
        <w:rPr>
          <w:rFonts w:ascii="Arial" w:hAnsi="Arial" w:cs="Arial"/>
          <w:color w:val="FF0000"/>
          <w:sz w:val="20"/>
          <w:szCs w:val="20"/>
        </w:rPr>
      </w:pPr>
      <w:r>
        <w:rPr>
          <w:rFonts w:cs="Arial" w:ascii="Arial" w:hAnsi="Arial"/>
          <w:color w:val="FF0000"/>
          <w:sz w:val="20"/>
          <w:szCs w:val="20"/>
        </w:rPr>
      </w:r>
    </w:p>
    <w:p>
      <w:pPr>
        <w:pStyle w:val="ListParagraph"/>
        <w:ind w:lef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Foo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276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1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Square wrapText="largest"/>
              <wp:docPr id="4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fillcolor="white" stroked="f" style="position:absolute;margin-left:223.75pt;margin-top:0.05pt;width:6pt;height:13.65pt;mso-position-horizontal:center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center" w:pos="4536" w:leader="none"/>
        <w:tab w:val="left" w:pos="7375" w:leader="none"/>
        <w:tab w:val="right" w:pos="9072" w:leader="none"/>
      </w:tabs>
      <w:rPr>
        <w:b/>
        <w:b/>
      </w:rPr>
    </w:pPr>
    <w:r>
      <w:rPr>
        <w:b/>
      </w:rPr>
      <w:drawing>
        <wp:anchor behindDoc="1" distT="0" distB="0" distL="114300" distR="114300" simplePos="0" locked="0" layoutInCell="1" allowOverlap="1" relativeHeight="5">
          <wp:simplePos x="0" y="0"/>
          <wp:positionH relativeFrom="column">
            <wp:posOffset>73025</wp:posOffset>
          </wp:positionH>
          <wp:positionV relativeFrom="paragraph">
            <wp:posOffset>-214630</wp:posOffset>
          </wp:positionV>
          <wp:extent cx="1190625" cy="571500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9">
          <wp:simplePos x="0" y="0"/>
          <wp:positionH relativeFrom="column">
            <wp:posOffset>1536700</wp:posOffset>
          </wp:positionH>
          <wp:positionV relativeFrom="paragraph">
            <wp:posOffset>-384175</wp:posOffset>
          </wp:positionV>
          <wp:extent cx="2962910" cy="895350"/>
          <wp:effectExtent l="0" t="0" r="0" b="0"/>
          <wp:wrapSquare wrapText="bothSides"/>
          <wp:docPr id="2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13">
          <wp:simplePos x="0" y="0"/>
          <wp:positionH relativeFrom="column">
            <wp:posOffset>4761865</wp:posOffset>
          </wp:positionH>
          <wp:positionV relativeFrom="paragraph">
            <wp:posOffset>-210185</wp:posOffset>
          </wp:positionV>
          <wp:extent cx="790575" cy="638175"/>
          <wp:effectExtent l="0" t="0" r="0" b="0"/>
          <wp:wrapSquare wrapText="bothSides"/>
          <wp:docPr id="3" name="Image2" descr="Logo OP VaV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Logo OP VaVpI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ab/>
    </w:r>
  </w:p>
  <w:p>
    <w:pPr>
      <w:pStyle w:val="Header"/>
      <w:rPr>
        <w:b/>
        <w:b/>
      </w:rPr>
    </w:pPr>
    <w:r>
      <w:rPr>
        <w:b/>
      </w:rPr>
    </w:r>
  </w:p>
  <w:p>
    <w:pPr>
      <w:pStyle w:val="Header"/>
      <w:rPr>
        <w:b/>
        <w:b/>
      </w:rPr>
    </w:pPr>
    <w:r>
      <w:rPr>
        <w:b/>
      </w:rPr>
    </w:r>
  </w:p>
  <w:p>
    <w:pPr>
      <w:pStyle w:val="Header"/>
      <w:jc w:val="both"/>
      <w:rPr>
        <w:b/>
        <w:b/>
        <w:lang w:val="en-US"/>
      </w:rPr>
    </w:pPr>
    <w:r>
      <w:rPr>
        <w:b/>
      </w:rPr>
      <w:t>Veřejná zakázka: Control servers</w:t>
    </w:r>
  </w:p>
  <w:p>
    <w:pPr>
      <w:pStyle w:val="Header"/>
      <w:rPr>
        <w:b/>
        <w:b/>
      </w:rPr>
    </w:pPr>
    <w:r>
      <w:rPr>
        <w:b/>
      </w:rPr>
    </w:r>
  </w:p>
</w:hdr>
</file>

<file path=word/settings.xml><?xml version="1.0" encoding="utf-8"?>
<w:settings xmlns:w="http://schemas.openxmlformats.org/wordprocessingml/2006/main">
  <w:zoom w:percent="110"/>
  <w:embedSystemFonts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2a0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cs-CZ" w:eastAsia="cs-CZ" w:bidi="ar-SA"/>
    </w:rPr>
  </w:style>
  <w:style w:type="paragraph" w:styleId="Heading1">
    <w:name w:val="Heading 1"/>
    <w:basedOn w:val="Heading"/>
    <w:qFormat/>
    <w:pPr/>
    <w:rPr/>
  </w:style>
  <w:style w:type="paragraph" w:styleId="Heading2">
    <w:name w:val="Heading 2"/>
    <w:basedOn w:val="Heading"/>
    <w:qFormat/>
    <w:pPr/>
    <w:rPr/>
  </w:style>
  <w:style w:type="paragraph" w:styleId="Heading3">
    <w:name w:val="Heading 3"/>
    <w:basedOn w:val="Heading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semiHidden/>
    <w:unhideWhenUsed/>
    <w:qFormat/>
    <w:rsid w:val="00026694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026694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026694"/>
    <w:rPr>
      <w:b/>
      <w:bCs/>
    </w:rPr>
  </w:style>
  <w:style w:type="character" w:styleId="TextbublinyChar" w:customStyle="1">
    <w:name w:val="Text bubliny Char"/>
    <w:link w:val="Textbubliny"/>
    <w:uiPriority w:val="99"/>
    <w:semiHidden/>
    <w:qFormat/>
    <w:rsid w:val="0002669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qFormat/>
    <w:rsid w:val="007d44c1"/>
    <w:rPr/>
  </w:style>
  <w:style w:type="character" w:styleId="ZhlavChar" w:customStyle="1">
    <w:name w:val="Záhlaví Char"/>
    <w:link w:val="Zhlav"/>
    <w:uiPriority w:val="99"/>
    <w:qFormat/>
    <w:rsid w:val="000c520b"/>
    <w:rPr>
      <w:sz w:val="24"/>
      <w:szCs w:val="24"/>
    </w:rPr>
  </w:style>
  <w:style w:type="character" w:styleId="ProsttextChar" w:customStyle="1">
    <w:name w:val="Prostý text Char"/>
    <w:basedOn w:val="DefaultParagraphFont"/>
    <w:link w:val="Prosttext"/>
    <w:uiPriority w:val="99"/>
    <w:semiHidden/>
    <w:qFormat/>
    <w:rsid w:val="00ad166c"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character" w:styleId="ZkladntextChar" w:customStyle="1">
    <w:name w:val="Základní text Char"/>
    <w:basedOn w:val="DefaultParagraphFont"/>
    <w:link w:val="TextBody"/>
    <w:uiPriority w:val="99"/>
    <w:semiHidden/>
    <w:qFormat/>
    <w:rsid w:val="00700db5"/>
    <w:rPr>
      <w:sz w:val="24"/>
      <w:szCs w:val="24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rsid w:val="002565d9"/>
    <w:rPr>
      <w:sz w:val="24"/>
      <w:szCs w:val="24"/>
    </w:rPr>
  </w:style>
  <w:style w:type="character" w:styleId="ListLabel1" w:customStyle="1">
    <w:name w:val="ListLabel 1"/>
    <w:qFormat/>
    <w:rPr>
      <w:rFonts w:eastAsia="Times New Roman" w:cs="Times New Roman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color w:val="00000A"/>
    </w:rPr>
  </w:style>
  <w:style w:type="character" w:styleId="ListLabel4" w:customStyle="1">
    <w:name w:val="ListLabel 4"/>
    <w:qFormat/>
    <w:rPr>
      <w:rFonts w:eastAsia="Times New Roman" w:cs="Arial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sz w:val="18"/>
      <w:szCs w:val="18"/>
    </w:rPr>
  </w:style>
  <w:style w:type="character" w:styleId="Hps" w:customStyle="1">
    <w:name w:val="hps"/>
    <w:qFormat/>
    <w:rsid w:val="000053ec"/>
    <w:rPr/>
  </w:style>
  <w:style w:type="character" w:styleId="ListLabel7">
    <w:name w:val="ListLabel 7"/>
    <w:qFormat/>
    <w:rPr>
      <w:sz w:val="18"/>
      <w:szCs w:val="18"/>
    </w:rPr>
  </w:style>
  <w:style w:type="paragraph" w:styleId="Heading" w:customStyle="1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Zen Hei" w:cs="Lohit Hindi"/>
      <w:sz w:val="28"/>
      <w:szCs w:val="28"/>
    </w:rPr>
  </w:style>
  <w:style w:type="paragraph" w:styleId="TextBody" w:customStyle="1">
    <w:name w:val="Text Body"/>
    <w:basedOn w:val="Normal"/>
    <w:link w:val="ZkladntextChar"/>
    <w:uiPriority w:val="99"/>
    <w:semiHidden/>
    <w:unhideWhenUsed/>
    <w:rsid w:val="00700db5"/>
    <w:pPr>
      <w:spacing w:lineRule="auto" w:line="288" w:before="0" w:after="120"/>
    </w:pPr>
    <w:rPr/>
  </w:style>
  <w:style w:type="paragraph" w:styleId="List">
    <w:name w:val="List"/>
    <w:basedOn w:val="TextBody"/>
    <w:pPr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Hindi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styleId="ListParagraph">
    <w:name w:val="List Paragraph"/>
    <w:basedOn w:val="Normal"/>
    <w:uiPriority w:val="99"/>
    <w:qFormat/>
    <w:rsid w:val="000d263e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026694"/>
    <w:pPr/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026694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26694"/>
    <w:pPr/>
    <w:rPr>
      <w:rFonts w:ascii="Tahoma" w:hAnsi="Tahoma"/>
      <w:sz w:val="16"/>
      <w:szCs w:val="16"/>
    </w:rPr>
  </w:style>
  <w:style w:type="paragraph" w:styleId="Textparagrafu" w:customStyle="1">
    <w:name w:val="Text paragrafu"/>
    <w:basedOn w:val="Normal"/>
    <w:qFormat/>
    <w:rsid w:val="00091669"/>
    <w:pPr>
      <w:spacing w:before="240" w:after="0"/>
      <w:ind w:firstLine="425"/>
      <w:outlineLvl w:val="5"/>
    </w:pPr>
    <w:rPr/>
  </w:style>
  <w:style w:type="paragraph" w:styleId="Textbodu" w:customStyle="1">
    <w:name w:val="Text bodu"/>
    <w:basedOn w:val="Normal"/>
    <w:qFormat/>
    <w:rsid w:val="00091669"/>
    <w:pPr>
      <w:tabs>
        <w:tab w:val="left" w:pos="851" w:leader="none"/>
      </w:tabs>
      <w:ind w:left="851" w:hanging="0"/>
      <w:outlineLvl w:val="8"/>
    </w:pPr>
    <w:rPr/>
  </w:style>
  <w:style w:type="paragraph" w:styleId="Textpsmene" w:customStyle="1">
    <w:name w:val="Text písmene"/>
    <w:basedOn w:val="Normal"/>
    <w:qFormat/>
    <w:rsid w:val="00091669"/>
    <w:pPr>
      <w:tabs>
        <w:tab w:val="left" w:pos="928" w:leader="none"/>
      </w:tabs>
      <w:ind w:left="720" w:firstLine="425"/>
      <w:outlineLvl w:val="7"/>
    </w:pPr>
    <w:rPr/>
  </w:style>
  <w:style w:type="paragraph" w:styleId="Textodstavce" w:customStyle="1">
    <w:name w:val="Text odstavce"/>
    <w:basedOn w:val="Normal"/>
    <w:qFormat/>
    <w:rsid w:val="00091669"/>
    <w:pPr>
      <w:tabs>
        <w:tab w:val="left" w:pos="785" w:leader="none"/>
        <w:tab w:val="left" w:pos="851" w:leader="none"/>
        <w:tab w:val="left" w:pos="928" w:leader="none"/>
      </w:tabs>
      <w:spacing w:before="120" w:after="120"/>
      <w:ind w:left="720" w:firstLine="425"/>
      <w:outlineLvl w:val="6"/>
    </w:pPr>
    <w:rPr/>
  </w:style>
  <w:style w:type="paragraph" w:styleId="St" w:customStyle="1">
    <w:name w:val="Část"/>
    <w:qFormat/>
    <w:rsid w:val="00091669"/>
    <w:pPr>
      <w:widowControl/>
      <w:suppressAutoHyphens w:val="true"/>
      <w:bidi w:val="0"/>
      <w:spacing w:lineRule="auto" w:line="480" w:before="600" w:after="120"/>
      <w:contextualSpacing/>
      <w:jc w:val="center"/>
    </w:pPr>
    <w:rPr>
      <w:rFonts w:ascii="Times New Roman" w:hAnsi="Times New Roman" w:eastAsia="Times New Roman" w:cs="Times New Roman"/>
      <w:caps/>
      <w:color w:val="auto"/>
      <w:sz w:val="24"/>
      <w:szCs w:val="20"/>
      <w:lang w:val="cs-CZ" w:eastAsia="cs-CZ" w:bidi="ar-SA"/>
    </w:rPr>
  </w:style>
  <w:style w:type="paragraph" w:styleId="Footer">
    <w:name w:val="Footer"/>
    <w:basedOn w:val="Normal"/>
    <w:rsid w:val="007d44c1"/>
    <w:pPr>
      <w:tabs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a9671c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val="cs-CZ" w:eastAsia="cs-CZ" w:bidi="ar-SA"/>
    </w:rPr>
  </w:style>
  <w:style w:type="paragraph" w:styleId="Header">
    <w:name w:val="Header"/>
    <w:basedOn w:val="Normal"/>
    <w:link w:val="ZhlavChar"/>
    <w:uiPriority w:val="99"/>
    <w:unhideWhenUsed/>
    <w:rsid w:val="000c520b"/>
    <w:pPr>
      <w:tabs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link w:val="ProsttextChar"/>
    <w:uiPriority w:val="99"/>
    <w:semiHidden/>
    <w:unhideWhenUsed/>
    <w:qFormat/>
    <w:rsid w:val="00ad166c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2565d9"/>
    <w:pPr>
      <w:spacing w:lineRule="auto" w:line="480" w:before="0" w:after="120"/>
    </w:pPr>
    <w:rPr/>
  </w:style>
  <w:style w:type="paragraph" w:styleId="FrameContents" w:customStyle="1">
    <w:name w:val="Frame Contents"/>
    <w:basedOn w:val="Normal"/>
    <w:qFormat/>
    <w:pPr/>
    <w:rPr/>
  </w:style>
  <w:style w:type="paragraph" w:styleId="NoSpacing">
    <w:name w:val="No Spacing"/>
    <w:uiPriority w:val="1"/>
    <w:qFormat/>
    <w:rsid w:val="000053ec"/>
    <w:pPr>
      <w:widowControl/>
      <w:bidi w:val="0"/>
      <w:jc w:val="left"/>
    </w:pPr>
    <w:rPr>
      <w:rFonts w:ascii="Calibri" w:hAnsi="Calibri" w:eastAsia="Calibri" w:cs="Times New Roman"/>
      <w:color w:val="auto"/>
      <w:sz w:val="22"/>
      <w:szCs w:val="22"/>
      <w:lang w:eastAsia="en-US" w:val="cs-CZ" w:bidi="ar-SA"/>
    </w:rPr>
  </w:style>
  <w:style w:type="paragraph" w:styleId="Quotations">
    <w:name w:val="Quotations"/>
    <w:basedOn w:val="Normal"/>
    <w:qFormat/>
    <w:pPr/>
    <w:rPr/>
  </w:style>
  <w:style w:type="paragraph" w:styleId="Title">
    <w:name w:val="Title"/>
    <w:basedOn w:val="Heading"/>
    <w:qFormat/>
    <w:pPr/>
    <w:rPr/>
  </w:style>
  <w:style w:type="paragraph" w:styleId="Subtitle">
    <w:name w:val="Subtitle"/>
    <w:basedOn w:val="Heading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06641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LibreOffice/5.0.1.2$Linux_X86_64 LibreOffice_project/81898c9f5c0d43f3473ba111d7b351050be20261</Application>
  <Paragraphs>79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2015-10-21T12:47:00Z</dcterms:created>
  <dc:creator>uzivatel</dc:creator>
  <dc:language>en-US</dc:language>
  <cp:lastPrinted>2013-11-19T11:41:00Z</cp:lastPrinted>
  <dcterms:modified xsi:type="dcterms:W3CDTF">2015-10-23T01:57:05Z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