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E72" w:rsidRDefault="001C5E72">
      <w:pPr>
        <w:spacing w:after="80"/>
        <w:jc w:val="both"/>
        <w:rPr>
          <w:rFonts w:ascii="Times New Roman" w:hAnsi="Times New Roman" w:cs="Times New Roman"/>
          <w:b/>
          <w:bCs/>
          <w:color w:val="000000"/>
        </w:rPr>
      </w:pPr>
      <w:r>
        <w:rPr>
          <w:b/>
          <w:bCs/>
          <w:color w:val="000000"/>
        </w:rPr>
        <w:t>DODATEČNÁ INFORMACE č. 6</w:t>
      </w:r>
    </w:p>
    <w:p w:rsidR="001C5E72" w:rsidRDefault="001C5E72">
      <w:pPr>
        <w:spacing w:after="120"/>
        <w:jc w:val="both"/>
      </w:pPr>
      <w:r>
        <w:t>V čl. IV. Návrhu smlouvy o dílo jsou uvedeny následující termíny realizace, citujeme:</w:t>
      </w:r>
    </w:p>
    <w:p w:rsidR="001C5E72" w:rsidRDefault="001C5E72">
      <w:pPr>
        <w:spacing w:after="120"/>
        <w:jc w:val="both"/>
        <w:rPr>
          <w:rFonts w:ascii="Times New Roman" w:hAnsi="Times New Roman" w:cs="Times New Roman"/>
        </w:rPr>
      </w:pPr>
      <w:r>
        <w:t>4.1 Zhotovitel se zavazuje provést celé dílo (tj. řádně dokončit a předat objednateli)nejpozději do 31. srpna 2015, a to v</w:t>
      </w:r>
      <w:bookmarkStart w:id="0" w:name="_GoBack"/>
      <w:bookmarkEnd w:id="0"/>
      <w:r>
        <w:t> souladu s harmonogramem, který tvoří přílohu č. 2 této smlouvy. První část díla týkající se ulic Příčná, U Parku a V Jezírku, která je předmětem spolufinancování z Regionálního operačního programu NUTS II Střední Čechy, však bude provedena (tj. řádně dokončena a předána Objednateli) nejpozději do 15. listopadu 2014.</w:t>
      </w:r>
    </w:p>
    <w:p w:rsidR="001C5E72" w:rsidRDefault="001C5E72">
      <w:pPr>
        <w:spacing w:after="120"/>
        <w:jc w:val="both"/>
      </w:pPr>
      <w:r>
        <w:t>4.2 Práce na díle týkající se první části díla, tj. ulic Příčná, U Parku a V Jezírku budou Zhotovitelem zahájeny okamžitě po podpisu smlouvy a převzetí staveniště, cca 1. 8. 2014. Práce na první části díla budou však nutně koordinovány s přeložkou telefonního vedení prováděnou spol. Telefonica Czech Republic, a.s. v ul. V Jezírku. Práce na druhé části díla týkající se ulice Tovární budou Zhotovitelem zahájeny v koordinaci se stavbou inženýrských sítí, kterou bude v této ulici provádět jiný investor pro lokalitu „Nové Průhonice“(dešťová kanalizace, sdělovací vedení, 4 přípojky splaškové kanalizace, 5 přípojek vody, propojení NN vedení, telekomunikační vedení, stl plynovodu) – zahájení prací cca květen 2015.</w:t>
      </w:r>
    </w:p>
    <w:p w:rsidR="001C5E72" w:rsidRDefault="001C5E72">
      <w:pPr>
        <w:spacing w:after="120"/>
        <w:jc w:val="both"/>
        <w:rPr>
          <w:rFonts w:ascii="Times New Roman" w:hAnsi="Times New Roman" w:cs="Times New Roman"/>
        </w:rPr>
      </w:pPr>
      <w:r>
        <w:t>4.3 Termíny uvedené v tomto článku smlouvy jsou závazné a překročitelné pouze na základě souhlasu objednatele zpracovaného formou dodatku k této smlouvě.</w:t>
      </w:r>
    </w:p>
    <w:p w:rsidR="001C5E72" w:rsidRDefault="001C5E72">
      <w:pPr>
        <w:spacing w:after="120"/>
        <w:jc w:val="both"/>
      </w:pPr>
      <w:r>
        <w:t>4.4 Místem plnění jsou ulice U Parku, Příčná, Tovární a V Jezírku, vše v katastrálním území Průhonice a Hole u Průhonic, obec Průhonice.</w:t>
      </w:r>
    </w:p>
    <w:p w:rsidR="001C5E72" w:rsidRDefault="001C5E72">
      <w:pPr>
        <w:spacing w:after="120"/>
        <w:jc w:val="both"/>
      </w:pPr>
      <w:r>
        <w:t>Z toho tedy vyplývá následující časová osa:</w:t>
      </w:r>
    </w:p>
    <w:p w:rsidR="001C5E72" w:rsidRDefault="001C5E72">
      <w:pPr>
        <w:spacing w:after="120"/>
        <w:jc w:val="both"/>
        <w:rPr>
          <w:rFonts w:ascii="Times New Roman" w:hAnsi="Times New Roman" w:cs="Times New Roman"/>
        </w:rPr>
      </w:pPr>
      <w:r>
        <w:t>Podpis smlouvy o dílo → přidělení finančních prostředků ze SFŽP pro financování díla → předání staveniště → zahájení prací cca 1. 8. 2014, resp. 05/2015→ dokončení do 15. 11. 2014, resp. do 31. 8. 2015.</w:t>
      </w:r>
    </w:p>
    <w:p w:rsidR="001C5E72" w:rsidRDefault="001C5E72">
      <w:pPr>
        <w:spacing w:after="120"/>
        <w:jc w:val="both"/>
      </w:pPr>
      <w:r>
        <w:t>Dle čl. II. 3) Oznámení o zahájení zadávacího řízení je doba realizace 13 měsíců.</w:t>
      </w:r>
    </w:p>
    <w:p w:rsidR="001C5E72" w:rsidRDefault="001C5E72">
      <w:pPr>
        <w:spacing w:after="120"/>
        <w:jc w:val="both"/>
      </w:pPr>
      <w:r>
        <w:t>Ke všemu je však navíc přičíst tu skutečnost, že zahájení realizace je závislé na financování – dotačních titulech - První část díla týkající se ulic Příčná, U Parku a V Jezírku, která je předmětem spolufinancování z Regionálního operačního programu NUTS II Střední Čechy, má být dokončena do 15. 11. 2014.</w:t>
      </w:r>
    </w:p>
    <w:p w:rsidR="001C5E72" w:rsidRDefault="001C5E72">
      <w:pPr>
        <w:spacing w:after="120"/>
        <w:jc w:val="both"/>
      </w:pPr>
      <w:r>
        <w:t>Termíny jsou závazné a překročitelné pouze na základě souhlasu objednatele zpracovaného formou dodatku k této smlouvě.</w:t>
      </w:r>
    </w:p>
    <w:p w:rsidR="001C5E72" w:rsidRDefault="001C5E72">
      <w:pPr>
        <w:spacing w:after="120"/>
        <w:jc w:val="both"/>
        <w:rPr>
          <w:rFonts w:ascii="Times New Roman" w:hAnsi="Times New Roman" w:cs="Times New Roman"/>
        </w:rPr>
      </w:pPr>
      <w:r>
        <w:t>Teoreticky může nastat situace, že celý proces zahájení prací zhotovitele může být zdržen prodloužením zadávacího řízení, nevydáním platného stavebního povolení či nepřidělením dotace z NUTS II Střední Čechy anebo i jinou skutečností nezávislou na vůli stran, když dodavatel z vlastní zkušenosti musel odložit zahájení prací o téměř 24 měsíců.</w:t>
      </w:r>
    </w:p>
    <w:p w:rsidR="001C5E72" w:rsidRDefault="001C5E72">
      <w:pPr>
        <w:snapToGrid w:val="0"/>
        <w:spacing w:after="120"/>
        <w:jc w:val="both"/>
      </w:pPr>
      <w:r>
        <w:t>Riziko prodloužení zadávacího řízení, nevydání platného stavebního povolení či nepřidělení dotace z NUTS II Střední Čechy anebo i jiných skutečností by pak mělo za následek, že po uplynutí delšího časového období, po nějž by k podpisu smlouvy o dílo nebo k předání staveniště a tím pádem nezahájení prací, by již vítězný zájemce nemohl garantovat vysoutěženou cenu z důvodu její neaktuálnosti a její změny v čase, neboť svou nabídkovou je vázán pouze 4 měsíce, tedy nejpozději do 31. 10. 2014.</w:t>
      </w:r>
    </w:p>
    <w:p w:rsidR="001C5E72" w:rsidRDefault="001C5E72">
      <w:pPr>
        <w:snapToGrid w:val="0"/>
        <w:spacing w:after="120"/>
        <w:jc w:val="both"/>
      </w:pPr>
      <w:r>
        <w:t xml:space="preserve">Z toho tedy vyplývá, že k zahájení prací může vést poměrně dlouhá cesta závislá na několika okolnostech. </w:t>
      </w:r>
    </w:p>
    <w:p w:rsidR="001C5E72" w:rsidRDefault="001C5E72">
      <w:pPr>
        <w:snapToGrid w:val="0"/>
        <w:spacing w:after="120"/>
        <w:jc w:val="both"/>
      </w:pPr>
      <w:r>
        <w:t>V době před podáním nabídek tak tedy vůbec jasné, jak a kdy se začne s realizací prací a v jakém období bude dílo prováděno a do kdy má být dokončeno.</w:t>
      </w:r>
    </w:p>
    <w:p w:rsidR="001C5E72" w:rsidRDefault="001C5E72">
      <w:pPr>
        <w:spacing w:after="360"/>
        <w:jc w:val="both"/>
        <w:rPr>
          <w:rFonts w:ascii="Times New Roman" w:hAnsi="Times New Roman" w:cs="Times New Roman"/>
          <w:u w:val="single"/>
        </w:rPr>
      </w:pPr>
      <w:r>
        <w:rPr>
          <w:u w:val="single"/>
        </w:rPr>
        <w:t>Dotaz:</w:t>
      </w:r>
      <w:r>
        <w:t xml:space="preserve"> Jak bude zadavatel postupovat a jak bude řešena situace, když z jakýchkoliv důvodů na straně objednatele bude muset být odložen termín podpisu smlouvy o dílo a předání staveniště a zahájení prací a k těmto tak nedojde bez zbytečného odkladu po ukončení zadávacího řízení, nejpozději k 1. 8. 2014?</w:t>
      </w:r>
    </w:p>
    <w:p w:rsidR="001C5E72" w:rsidRDefault="001C5E72">
      <w:pPr>
        <w:spacing w:after="0"/>
        <w:jc w:val="both"/>
        <w:rPr>
          <w:color w:val="000000"/>
          <w:u w:val="single"/>
        </w:rPr>
      </w:pPr>
      <w:r>
        <w:rPr>
          <w:color w:val="000000"/>
          <w:u w:val="single"/>
        </w:rPr>
        <w:t>Odpověď:</w:t>
      </w:r>
    </w:p>
    <w:p w:rsidR="001C5E72" w:rsidRDefault="001C5E72">
      <w:pPr>
        <w:jc w:val="both"/>
        <w:rPr>
          <w:rFonts w:ascii="Times New Roman" w:hAnsi="Times New Roman" w:cs="Times New Roman"/>
        </w:rPr>
      </w:pPr>
      <w:r>
        <w:t xml:space="preserve">Zadavatel si je plně vědom toho, že zahájení realizace stavby závisí na celé řadě skutečností, které nemůže ovlivnit. Tyto skutečnosti však nemůže v současnosti reálně předvídat a termíny realizace stavby jsou nastaveny v souladu s projektem schváleným poskytovatelem dotace. Jedná se tak o termíny, které jsou v současnosti stále realizovatelné. Pokud dojde k objektivně daným skutečnostem, které by vyžadovaly posun termínu, bude toto zohledněno i v rámci smluvního vztahu mezi zadavatelem a dodavatelem. Samozřejmě vše je též odvislé od možností případného posunu termínu v rámci schváleného projektu. Dodavatel tak v současnosti musí počítat s termíny stanovenými ve smlouvě a v zadávací dokumentaci. </w:t>
      </w:r>
    </w:p>
    <w:p w:rsidR="001C5E72" w:rsidRDefault="001C5E72">
      <w:pPr>
        <w:rPr>
          <w:rFonts w:ascii="Times New Roman" w:hAnsi="Times New Roman" w:cs="Times New Roman"/>
          <w:color w:val="000000"/>
        </w:rPr>
      </w:pPr>
    </w:p>
    <w:p w:rsidR="001C5E72" w:rsidRDefault="001C5E72">
      <w:pPr>
        <w:spacing w:after="80"/>
        <w:jc w:val="both"/>
        <w:rPr>
          <w:rFonts w:ascii="Times New Roman" w:hAnsi="Times New Roman" w:cs="Times New Roman"/>
          <w:b/>
          <w:bCs/>
          <w:color w:val="000000"/>
        </w:rPr>
      </w:pPr>
      <w:r>
        <w:rPr>
          <w:b/>
          <w:bCs/>
          <w:color w:val="000000"/>
        </w:rPr>
        <w:t>DODATEČNÁ INFORMACE č. 7</w:t>
      </w:r>
    </w:p>
    <w:p w:rsidR="001C5E72" w:rsidRDefault="001C5E72">
      <w:pPr>
        <w:jc w:val="both"/>
      </w:pPr>
      <w:r>
        <w:t>Již ve svém předchozím dotaze č. 1 uchazeč upozornil na problematiku, že podpis smlouvy o dílo s následným předáním staveniště a zahájením prací je závislý na okolnosti, kterou může zadavatel ovlivnit jen částečně a uchazeči už vůbec ne a to na ukončení zadávacího řízení, vydání stavebního povolení a zajištění financování a případně dalších okolnostech na straně objednatele.</w:t>
      </w:r>
    </w:p>
    <w:p w:rsidR="001C5E72" w:rsidRDefault="001C5E72">
      <w:pPr>
        <w:snapToGrid w:val="0"/>
        <w:spacing w:after="120"/>
        <w:jc w:val="both"/>
      </w:pPr>
      <w:r>
        <w:t>V době před podáním nabídek tak tedy vůbec jasné, jak a kdy se začne s realizací prací a v jakém období bude dílo prováděno a do kdy má být dokončeno.</w:t>
      </w:r>
    </w:p>
    <w:p w:rsidR="001C5E72" w:rsidRDefault="001C5E72">
      <w:pPr>
        <w:snapToGrid w:val="0"/>
        <w:spacing w:after="120"/>
        <w:jc w:val="both"/>
      </w:pPr>
      <w:r>
        <w:t>K této skutečnosti však přistupuje i další okolnosti a to:</w:t>
      </w:r>
    </w:p>
    <w:p w:rsidR="001C5E72" w:rsidRDefault="001C5E72">
      <w:pPr>
        <w:snapToGrid w:val="0"/>
        <w:spacing w:after="120"/>
        <w:jc w:val="both"/>
      </w:pPr>
      <w:r>
        <w:t>v čl. IV. Doba Plnění Návrhu smlouvy o dílo zcela absentuje způsob řešení provádění prací v nevhodných klimatických podmínkách, zejména pak v zimním období.</w:t>
      </w:r>
    </w:p>
    <w:p w:rsidR="001C5E72" w:rsidRDefault="001C5E72">
      <w:pPr>
        <w:snapToGrid w:val="0"/>
        <w:spacing w:after="120"/>
        <w:jc w:val="both"/>
      </w:pPr>
      <w:r>
        <w:t>Zadavatel jako základní hodnotící kritérium použil Nejnižší nabídkovou cenu.</w:t>
      </w:r>
    </w:p>
    <w:p w:rsidR="001C5E72" w:rsidRDefault="001C5E72">
      <w:pPr>
        <w:snapToGrid w:val="0"/>
        <w:spacing w:after="120"/>
        <w:jc w:val="both"/>
      </w:pPr>
      <w:r>
        <w:t>HMG musí předložit uchazeči již do svých nabídek.</w:t>
      </w:r>
    </w:p>
    <w:p w:rsidR="001C5E72" w:rsidRDefault="001C5E72">
      <w:pPr>
        <w:snapToGrid w:val="0"/>
        <w:spacing w:after="120"/>
        <w:jc w:val="both"/>
      </w:pPr>
    </w:p>
    <w:p w:rsidR="001C5E72" w:rsidRDefault="001C5E72">
      <w:pPr>
        <w:snapToGrid w:val="0"/>
        <w:spacing w:after="120"/>
        <w:jc w:val="both"/>
      </w:pPr>
      <w:r>
        <w:t>I za naplnění ideálního scénáře zahájení prací popsaného výše, tedy že by k podpisu smlouvy o dílo, vydání stavebního povolení, zajištění financování a předání staveniště a zahájení prací došlo tak, že by bylo možné práce zahájit dne 1. 8. 2014, pak práce všech uchazečů budou nepochybně spadat do zimního období přelomu roku 2014/2015.</w:t>
      </w:r>
    </w:p>
    <w:p w:rsidR="001C5E72" w:rsidRDefault="001C5E72">
      <w:pPr>
        <w:snapToGrid w:val="0"/>
        <w:spacing w:after="120"/>
        <w:jc w:val="both"/>
      </w:pPr>
      <w:r>
        <w:t>Obdobná situace pak může nastat i v ostatních případech, např. když by k zahájení prací došlo z důvodů na straně objednatele až v pozdějším termínu, např. 12/2014 a vítězný zájemce by byl nucen řešit problematiku nevhodných klimatických podmínek, zejména zimního období.</w:t>
      </w:r>
    </w:p>
    <w:p w:rsidR="001C5E72" w:rsidRDefault="001C5E72">
      <w:pPr>
        <w:snapToGrid w:val="0"/>
        <w:spacing w:after="120"/>
        <w:jc w:val="both"/>
      </w:pPr>
      <w:r>
        <w:t>Zájemci jako odborné firmy mají povinnost postupovat při realizaci prací tak, že musí respektovat platné právní předpisy a normy a řada z nich provádění určitých stavebních prací v zimním období nepřipouští.</w:t>
      </w:r>
    </w:p>
    <w:p w:rsidR="001C5E72" w:rsidRDefault="001C5E72">
      <w:pPr>
        <w:snapToGrid w:val="0"/>
        <w:spacing w:after="120"/>
        <w:jc w:val="both"/>
      </w:pPr>
      <w:r>
        <w:t>Lze si reálně představit situaci, kdy k předání staveniště a zahájení prací dojde např. v období 12/2014 a provádění podstatné části prací tak může spadat i na přelom roku 2014/2015, tedy do zimního období klimaticky absolutně nevhodného pro tento typ prací – ve smlouvě však možnost přerušení prací v zimním období zcela absentuje.</w:t>
      </w:r>
    </w:p>
    <w:p w:rsidR="001C5E72" w:rsidRDefault="001C5E72">
      <w:pPr>
        <w:snapToGrid w:val="0"/>
        <w:spacing w:after="120"/>
        <w:jc w:val="both"/>
      </w:pPr>
      <w:r>
        <w:t>Navíc na straně zájemců panuje nejistota ohledně té skutečnosti, jak tato okolnost má být vítězným zájemcem zohledněna v rámci jeho HMG, tedy zda v HMG má zohlednit zimní přestávku či nikoliv a pakliže zní odpověď kladně, pak tedy jakým způsobem.</w:t>
      </w:r>
    </w:p>
    <w:p w:rsidR="001C5E72" w:rsidRDefault="001C5E72">
      <w:pPr>
        <w:tabs>
          <w:tab w:val="left" w:pos="5232"/>
        </w:tabs>
      </w:pPr>
      <w:r>
        <w:t>Situace je navíc o to závažnější, že v bodě XVIII. návrhu smlouvy o dílo jsou za překročení termínu dokončení sjednány poměrně velmi výrazná sankce</w:t>
      </w:r>
    </w:p>
    <w:p w:rsidR="001C5E72" w:rsidRDefault="001C5E72">
      <w:pPr>
        <w:spacing w:after="360"/>
        <w:jc w:val="both"/>
      </w:pPr>
      <w:r>
        <w:rPr>
          <w:u w:val="single"/>
        </w:rPr>
        <w:t>Dotaz:</w:t>
      </w:r>
      <w:r>
        <w:rPr>
          <w:b/>
          <w:bCs/>
        </w:rPr>
        <w:t xml:space="preserve"> </w:t>
      </w:r>
      <w:r>
        <w:t xml:space="preserve">Mohl by zadavatel sdělit, jak bude postupovat v případě, že podepsání smlouvy s vítězným zájemcem, předání staveniště a zahájení prací nebude možné uskutečnit po ukončení zadávacího řízení ke dni 1. 8. 2014? Jak bude řešena situace, kdy některé práce budou spadat do zimního období? Upraví zadavatel znění čl. IV. Doba Plnění návrhu smlouvy o dílo tak, aby tento nově zohledňoval přerušení prací či prodloužení termínu dokončení v případě nevhodných klimatických podmínek? Jakým způsobem mají uchazeči zohlednit zimní přestávku v rámci jimi zpracovaných HMG? </w:t>
      </w:r>
    </w:p>
    <w:p w:rsidR="001C5E72" w:rsidRDefault="001C5E72">
      <w:pPr>
        <w:spacing w:after="0"/>
        <w:jc w:val="both"/>
        <w:rPr>
          <w:color w:val="000000"/>
          <w:u w:val="single"/>
        </w:rPr>
      </w:pPr>
      <w:r>
        <w:rPr>
          <w:color w:val="000000"/>
          <w:u w:val="single"/>
        </w:rPr>
        <w:t>Odpověď:</w:t>
      </w:r>
    </w:p>
    <w:p w:rsidR="001C5E72" w:rsidRDefault="001C5E72">
      <w:pPr>
        <w:spacing w:after="120"/>
        <w:jc w:val="both"/>
        <w:rPr>
          <w:rFonts w:ascii="Times New Roman" w:hAnsi="Times New Roman" w:cs="Times New Roman"/>
        </w:rPr>
      </w:pPr>
      <w:r>
        <w:t xml:space="preserve">Zadavatel je přesvědčen, že termíny plnění jsou v rámci smlouvy a zadávací dokumentace stanoveny zcela jednoznačně. Zpracování harmonogramu je ponecháno na jednotlivých uchazečích s tím, že zadavatel by chtěl mít alespoň rámcovou představu o realizaci prací na díle. Harmonogram je také přílohou smlouvy o dílo, která dává plnění smlouvy časový rámec. Jak již bylo uvedeno v odpovědi na předchozí dotaz, zadavatel bude reagovat na objektivní skutečnosti spojené s realizací stavby, nicméně </w:t>
      </w:r>
    </w:p>
    <w:p w:rsidR="001C5E72" w:rsidRDefault="001C5E72">
      <w:pPr>
        <w:tabs>
          <w:tab w:val="left" w:pos="5232"/>
        </w:tabs>
        <w:rPr>
          <w:rFonts w:ascii="Times New Roman" w:hAnsi="Times New Roman" w:cs="Times New Roman"/>
        </w:rPr>
      </w:pPr>
      <w:r>
        <w:rPr>
          <w:rFonts w:ascii="Times New Roman" w:hAnsi="Times New Roman" w:cs="Times New Roman"/>
        </w:rPr>
        <w:tab/>
      </w:r>
    </w:p>
    <w:p w:rsidR="001C5E72" w:rsidRDefault="001C5E72">
      <w:pPr>
        <w:spacing w:after="80"/>
        <w:jc w:val="both"/>
        <w:rPr>
          <w:rFonts w:ascii="Times New Roman" w:hAnsi="Times New Roman" w:cs="Times New Roman"/>
          <w:b/>
          <w:bCs/>
          <w:color w:val="000000"/>
        </w:rPr>
      </w:pPr>
      <w:r>
        <w:rPr>
          <w:b/>
          <w:bCs/>
          <w:color w:val="000000"/>
        </w:rPr>
        <w:t>DODATEČNÁ INFORMACE č. 8</w:t>
      </w:r>
    </w:p>
    <w:p w:rsidR="001C5E72" w:rsidRDefault="001C5E72">
      <w:pPr>
        <w:spacing w:after="120"/>
        <w:jc w:val="both"/>
        <w:rPr>
          <w:rFonts w:ascii="Times New Roman" w:hAnsi="Times New Roman" w:cs="Times New Roman"/>
        </w:rPr>
      </w:pPr>
      <w:r>
        <w:t>S předchozími dotazy č. 1 a č. 2 je úzce spojena i problematika platnosti nabídkové ceny – v ZD i čl. V. návrhu smlouvy o dílo je stanoveno, že nabídková cena je nejvýše přípustná a jsou v ní zahrnuty veškeré náklady zhotovitele související s prováděním díla.</w:t>
      </w:r>
    </w:p>
    <w:p w:rsidR="001C5E72" w:rsidRDefault="001C5E72">
      <w:pPr>
        <w:spacing w:after="120"/>
        <w:jc w:val="both"/>
      </w:pPr>
      <w:r>
        <w:t>Vzhledem k předpokládané době plnění cca 13 měsíců bude jen velmi málo uchazečů schopno garantovat nabídnutou cenu bez toho, aniž by znali, jakým způsobem se bude vyvíjet ekonomika a jakým tempem např. poroste inflace apod.</w:t>
      </w:r>
    </w:p>
    <w:p w:rsidR="001C5E72" w:rsidRDefault="001C5E72">
      <w:pPr>
        <w:spacing w:after="360"/>
        <w:jc w:val="both"/>
      </w:pPr>
      <w:r>
        <w:rPr>
          <w:u w:val="single"/>
        </w:rPr>
        <w:t>Dotaz:</w:t>
      </w:r>
      <w:r>
        <w:rPr>
          <w:b/>
          <w:bCs/>
        </w:rPr>
        <w:t xml:space="preserve"> </w:t>
      </w:r>
      <w:r>
        <w:t>Neuvažuje zadavatel o tom, že by se např. jednotkové ceny valorizovaly každý rok o prokázaný přírůstek inflace dle statistiky ČSÚ? Pokud by zadavatel trval na své formulaci ohledně platnosti ceny na celou dobu výstavby, pak uchazeč laskavě žádá zadavatele, aby určil pravděpodobné % inflace po dobu výstavby,  předpokládaný kurzovní vývoj a další parametry tak, aby uchazeči na jejich základě byli schopni tyto zakalkulovat a zohlednit ve svých nabídkových cenách tak, aby tyto byly zodpovědně zpracované a obsahovaly všechny budoucí náklady.</w:t>
      </w:r>
    </w:p>
    <w:p w:rsidR="001C5E72" w:rsidRDefault="001C5E72">
      <w:pPr>
        <w:spacing w:after="0"/>
        <w:jc w:val="both"/>
        <w:rPr>
          <w:color w:val="000000"/>
          <w:u w:val="single"/>
        </w:rPr>
      </w:pPr>
      <w:r>
        <w:rPr>
          <w:color w:val="000000"/>
          <w:u w:val="single"/>
        </w:rPr>
        <w:t>Odpověď:</w:t>
      </w:r>
    </w:p>
    <w:p w:rsidR="001C5E72" w:rsidRDefault="001C5E72">
      <w:pPr>
        <w:suppressAutoHyphens w:val="0"/>
        <w:autoSpaceDE w:val="0"/>
        <w:adjustRightInd w:val="0"/>
        <w:spacing w:after="0" w:line="240" w:lineRule="auto"/>
        <w:jc w:val="both"/>
        <w:textAlignment w:val="auto"/>
      </w:pPr>
      <w:r>
        <w:t xml:space="preserve">Otázka adekvátního ocenění poskytnutého plnění je záležitostí, která je plně ponechána jednotlivým uchazečům. Zadavatel tak do smluvních podmínek nezahrne inflační doložku a v tomto ohledu pro zadávací řízení nestanoví ani požadovanou pravděpodobnou míru inflace nebo předpokládaný vývoj kurzů. Tato rizika spojená s pohybem cen ponese po celou dobu realizace veřejné zakázky vybraný uchazeč.  </w:t>
      </w:r>
    </w:p>
    <w:p w:rsidR="001C5E72" w:rsidRDefault="001C5E72">
      <w:pPr>
        <w:suppressAutoHyphens w:val="0"/>
        <w:autoSpaceDE w:val="0"/>
        <w:adjustRightInd w:val="0"/>
        <w:spacing w:after="0" w:line="240" w:lineRule="auto"/>
        <w:textAlignment w:val="auto"/>
      </w:pPr>
    </w:p>
    <w:p w:rsidR="001C5E72" w:rsidRDefault="001C5E72">
      <w:pPr>
        <w:suppressAutoHyphens w:val="0"/>
        <w:autoSpaceDE w:val="0"/>
        <w:adjustRightInd w:val="0"/>
        <w:spacing w:after="0" w:line="240" w:lineRule="auto"/>
        <w:textAlignment w:val="auto"/>
      </w:pPr>
    </w:p>
    <w:p w:rsidR="001C5E72" w:rsidRDefault="001C5E72">
      <w:pPr>
        <w:spacing w:after="80"/>
        <w:jc w:val="both"/>
        <w:rPr>
          <w:rFonts w:ascii="Times New Roman" w:hAnsi="Times New Roman" w:cs="Times New Roman"/>
          <w:b/>
          <w:bCs/>
          <w:color w:val="000000"/>
        </w:rPr>
      </w:pPr>
      <w:r>
        <w:rPr>
          <w:b/>
          <w:bCs/>
          <w:color w:val="000000"/>
        </w:rPr>
        <w:t>DODATEČNÁ INFORMACE č. 9</w:t>
      </w:r>
    </w:p>
    <w:p w:rsidR="001C5E72" w:rsidRDefault="001C5E72">
      <w:pPr>
        <w:spacing w:after="120"/>
        <w:jc w:val="both"/>
      </w:pPr>
      <w:r>
        <w:t>V čl. XVIII. Návrhu smlouvy o dílo jsou uvedeny poměrně velmi citelné sankce za různá důležitá či méně důležitá porušení smluvních povinností, např. za prodlení s dokončením díla, odstraněním vad atd.</w:t>
      </w:r>
    </w:p>
    <w:p w:rsidR="001C5E72" w:rsidRDefault="001C5E72">
      <w:pPr>
        <w:spacing w:after="120"/>
        <w:jc w:val="both"/>
      </w:pPr>
      <w:r>
        <w:t>Běžnou součástí smluv o dílo podobného rozsahu bývá velmi často ustanovení o limitaci celkové výše smluvních pokut a to např. % částkou z ceny díla (např. 10 % z ceny díla apod.).</w:t>
      </w:r>
    </w:p>
    <w:p w:rsidR="001C5E72" w:rsidRDefault="001C5E72">
      <w:pPr>
        <w:spacing w:after="120"/>
        <w:jc w:val="both"/>
      </w:pPr>
      <w:r>
        <w:t>Tento limit smluvních je výrazem vyváženosti postavení obou smluvních stran a současně zabraňuje tomu, aby se zadavatel mohl nepřiměřeně „hojit“ na dodavateli a smluvní pokuty se tak nestaly nástrojem „pomsty“ či ekonomické likvidace dodavatele.</w:t>
      </w:r>
    </w:p>
    <w:p w:rsidR="001C5E72" w:rsidRDefault="001C5E72">
      <w:pPr>
        <w:spacing w:after="360"/>
        <w:jc w:val="both"/>
      </w:pPr>
      <w:r>
        <w:rPr>
          <w:u w:val="single"/>
        </w:rPr>
        <w:t>Dotaz:</w:t>
      </w:r>
      <w:r>
        <w:t xml:space="preserve"> Neuvažuje zadavatel o doplnění tohoto limitu případných smluvních pokut v uchazečem navržené nebo jiné výši? </w:t>
      </w:r>
    </w:p>
    <w:p w:rsidR="001C5E72" w:rsidRDefault="001C5E72">
      <w:pPr>
        <w:spacing w:after="0"/>
        <w:jc w:val="both"/>
        <w:rPr>
          <w:rFonts w:ascii="Times New Roman" w:hAnsi="Times New Roman" w:cs="Times New Roman"/>
          <w:color w:val="000000"/>
          <w:u w:val="single"/>
        </w:rPr>
      </w:pPr>
      <w:r>
        <w:rPr>
          <w:color w:val="000000"/>
          <w:u w:val="single"/>
        </w:rPr>
        <w:t>Odpověď:</w:t>
      </w:r>
    </w:p>
    <w:p w:rsidR="001C5E72" w:rsidRDefault="001C5E72">
      <w:pPr>
        <w:spacing w:after="0"/>
        <w:jc w:val="both"/>
      </w:pPr>
      <w:r>
        <w:t>Smluvní pokuta je primárně zajišťovacím institutem, který zadavateli poskytuje určitou právní jistotu toho, že dodavatel splní své povinnosti vyplývající z uzavřené smlouvy. Smluvní pokuta za nesplnění termínů bývá běžně stanovena v opakujícím se plnění tak, aby byl dostatečným způsobem zajištěn účel tohoto institutu (tj. dosažení splnění závazku smluvní stranou, která je v prodlení). Účelem smluvní pokuty není v žádném případě pomsta nebo snaha o dosažení zisku nad rámec smluvního vztahu. Pokud tedy vybraný uchazeč, s kterým byla podepsána smlouva, splní řádně a včas veškeré smluvené povinnosti, nemusí se tohoto institutu nikterak obávat. Zadavatel tedy neuvažuje o stanovení maximálního limitu smluvních pokut a závazkový vztah považuje komplexně za dostatečně vyvážený.</w:t>
      </w:r>
    </w:p>
    <w:p w:rsidR="001C5E72" w:rsidRDefault="001C5E72">
      <w:pPr>
        <w:spacing w:after="0"/>
        <w:jc w:val="both"/>
      </w:pPr>
    </w:p>
    <w:p w:rsidR="001C5E72" w:rsidRDefault="001C5E72">
      <w:pPr>
        <w:spacing w:after="0"/>
        <w:jc w:val="both"/>
      </w:pPr>
    </w:p>
    <w:p w:rsidR="001C5E72" w:rsidRDefault="001C5E72">
      <w:pPr>
        <w:spacing w:after="80"/>
        <w:jc w:val="both"/>
        <w:rPr>
          <w:rFonts w:ascii="Times New Roman" w:hAnsi="Times New Roman" w:cs="Times New Roman"/>
          <w:b/>
          <w:bCs/>
          <w:color w:val="000000"/>
        </w:rPr>
      </w:pPr>
    </w:p>
    <w:p w:rsidR="001C5E72" w:rsidRDefault="001C5E72">
      <w:pPr>
        <w:spacing w:after="80"/>
        <w:jc w:val="both"/>
        <w:rPr>
          <w:rFonts w:ascii="Times New Roman" w:hAnsi="Times New Roman" w:cs="Times New Roman"/>
          <w:b/>
          <w:bCs/>
          <w:color w:val="000000"/>
        </w:rPr>
      </w:pPr>
      <w:r>
        <w:rPr>
          <w:b/>
          <w:bCs/>
          <w:color w:val="000000"/>
        </w:rPr>
        <w:t>DODATEČNÁ INFORMACE č. 10</w:t>
      </w:r>
    </w:p>
    <w:p w:rsidR="001C5E72" w:rsidRDefault="001C5E72">
      <w:pPr>
        <w:spacing w:after="120"/>
        <w:jc w:val="both"/>
      </w:pPr>
      <w:r>
        <w:t>V bodech 15.5 a 15.6 je uvedeno:</w:t>
      </w:r>
    </w:p>
    <w:p w:rsidR="001C5E72" w:rsidRDefault="001C5E72">
      <w:pPr>
        <w:spacing w:after="120"/>
        <w:jc w:val="both"/>
        <w:rPr>
          <w:color w:val="000000"/>
        </w:rPr>
      </w:pPr>
      <w:r>
        <w:t xml:space="preserve">15.5 Objednatel má právo zcela nebo z části převzetí předmětu díla či jeho části odmítnout, jestliže předmět díla vykazuje zjevné vady nebo nebyly odstraněny vady vytýkané v průběhu zhotovování díla; objednatel není povinen převzít dílo nebo jeho část, vykazuje-li jen vady, které nebrání tomu, aby dílo sloužilo svému účelu. </w:t>
      </w:r>
      <w:r>
        <w:rPr>
          <w:color w:val="000000"/>
        </w:rPr>
        <w:t>Jestliže objednatel dílo převezme, ač k tomu nebyl povinen, je zhotovitel povinen uvést předmět díla nebo jeho část do bezvadného a úplného stavu a odstranit veškeré případné vady a/nebo nedodělky uvedené v předávacím protokolu a/nebo kolaudačním rozhodnutí do 14 dnů od převzetí předmětu díla nebo jeho části, nedohodnou-li se smluvní strany písemně jinak. Převzetím díla s vadami není dotčeno ustanovení smlouvy o smluvní pokutě.</w:t>
      </w:r>
    </w:p>
    <w:p w:rsidR="001C5E72" w:rsidRDefault="001C5E72">
      <w:pPr>
        <w:spacing w:after="120"/>
        <w:jc w:val="both"/>
      </w:pPr>
      <w:r>
        <w:t>15.6 Až do okamžiku odstranění poslední vady se dílo nebo jeho část nepovažují za řádně dokončené.</w:t>
      </w:r>
    </w:p>
    <w:p w:rsidR="001C5E72" w:rsidRDefault="001C5E72">
      <w:pPr>
        <w:spacing w:before="120" w:after="120"/>
        <w:jc w:val="both"/>
      </w:pPr>
      <w:r>
        <w:t>Uchazeč si v této souvislosti dovoluje upozornit na znění § 2628 z. č. 89/2012 Sb., v pl. znění, citujeme:</w:t>
      </w:r>
    </w:p>
    <w:p w:rsidR="001C5E72" w:rsidRDefault="001C5E72">
      <w:pPr>
        <w:widowControl w:val="0"/>
        <w:autoSpaceDE w:val="0"/>
        <w:adjustRightInd w:val="0"/>
        <w:spacing w:after="120"/>
        <w:jc w:val="both"/>
      </w:pPr>
      <w:r>
        <w:t xml:space="preserve">„Objednatel nemá právo odmítnout převzetí stavby pro ojedinělé drobné vady, které samy o sobě ani ve spojení s jinými nebrání užívání stavby funkčně nebo esteticky, ani její užívání podstatným způsobem neomezují.“ </w:t>
      </w:r>
    </w:p>
    <w:p w:rsidR="001C5E72" w:rsidRDefault="001C5E72">
      <w:pPr>
        <w:spacing w:after="360"/>
        <w:jc w:val="both"/>
      </w:pPr>
      <w:r>
        <w:rPr>
          <w:u w:val="single"/>
        </w:rPr>
        <w:t>Dotaz:</w:t>
      </w:r>
      <w:r>
        <w:t xml:space="preserve"> Mohl by laskavě zadavatel upravit znění bodu 14.6 do souladu s tímto zákonným ustanovením § 2628 NOBZ? </w:t>
      </w:r>
    </w:p>
    <w:p w:rsidR="001C5E72" w:rsidRDefault="001C5E72">
      <w:pPr>
        <w:spacing w:after="0"/>
        <w:jc w:val="both"/>
        <w:rPr>
          <w:rFonts w:ascii="Times New Roman" w:hAnsi="Times New Roman" w:cs="Times New Roman"/>
          <w:color w:val="000000"/>
          <w:u w:val="single"/>
        </w:rPr>
      </w:pPr>
      <w:r>
        <w:rPr>
          <w:color w:val="000000"/>
          <w:u w:val="single"/>
        </w:rPr>
        <w:t>Odpověď:</w:t>
      </w:r>
    </w:p>
    <w:p w:rsidR="001C5E72" w:rsidRDefault="001C5E72">
      <w:pPr>
        <w:suppressAutoHyphens w:val="0"/>
        <w:autoSpaceDE w:val="0"/>
        <w:adjustRightInd w:val="0"/>
        <w:spacing w:after="0" w:line="240" w:lineRule="auto"/>
        <w:jc w:val="both"/>
        <w:textAlignment w:val="auto"/>
      </w:pPr>
      <w:r>
        <w:rPr>
          <w:color w:val="000000"/>
        </w:rPr>
        <w:t>Zadavatel si je vědom</w:t>
      </w:r>
      <w:r>
        <w:t xml:space="preserve"> znění ust. § 2628 zákona č. 89/2012 Sb., občanský zákoník, v účinném znění, upozorňuje však uchazeče na to, že toto ustanovení je ustanovením dispozitivním, od nějž se mohou smluvní strany projevem vůle odchýlit. Zadavatel nepovažuje toto ustanovení zákona za nejvhodnější, a proto v rámci smluvního vztahu přistoupil k odlišné úpravě způsobu převzetí stavby. Tato obchodní podmínka je pro všechny uchazeče o veřejnou zakázku stejná. Je stanovena v návrhu smlouvy, která musí být uchazečem v rámci zadávacího řízení bez výhrad akceptována. Zadavatel v současnosti neuvažuje o změně této ani jiné obchodní podmínky vyplývající z podkladů k zadávacímu řízení.    </w:t>
      </w:r>
    </w:p>
    <w:p w:rsidR="001C5E72" w:rsidRDefault="001C5E72">
      <w:pPr>
        <w:spacing w:after="80"/>
        <w:jc w:val="both"/>
        <w:rPr>
          <w:rFonts w:ascii="Times New Roman" w:hAnsi="Times New Roman" w:cs="Times New Roman"/>
          <w:b/>
          <w:bCs/>
          <w:color w:val="000000"/>
        </w:rPr>
      </w:pPr>
    </w:p>
    <w:p w:rsidR="001C5E72" w:rsidRDefault="001C5E72">
      <w:pPr>
        <w:spacing w:after="80"/>
        <w:jc w:val="both"/>
        <w:rPr>
          <w:rFonts w:ascii="Times New Roman" w:hAnsi="Times New Roman" w:cs="Times New Roman"/>
          <w:b/>
          <w:bCs/>
          <w:color w:val="000000"/>
        </w:rPr>
      </w:pPr>
      <w:r>
        <w:rPr>
          <w:b/>
          <w:bCs/>
          <w:color w:val="000000"/>
        </w:rPr>
        <w:t>DODATEČNÁ INFORMACE č. 11</w:t>
      </w:r>
    </w:p>
    <w:p w:rsidR="001C5E72" w:rsidRDefault="001C5E72">
      <w:pPr>
        <w:snapToGrid w:val="0"/>
        <w:spacing w:after="120"/>
        <w:jc w:val="both"/>
        <w:rPr>
          <w:rFonts w:ascii="Times New Roman" w:hAnsi="Times New Roman" w:cs="Times New Roman"/>
        </w:rPr>
      </w:pPr>
      <w:r>
        <w:t xml:space="preserve">Zadavatel stanovil v čl. 5 třetím odstavci ZD, že uchazeči musí již do svých nabídek doložit jako přílohu návrhu smlouvy závazný HMG realizace a pokud tento nebude přiložen, bude nabídka uchazeče vyřazena. </w:t>
      </w:r>
    </w:p>
    <w:p w:rsidR="001C5E72" w:rsidRDefault="001C5E72">
      <w:pPr>
        <w:spacing w:after="360"/>
        <w:jc w:val="both"/>
      </w:pPr>
      <w:r>
        <w:rPr>
          <w:u w:val="single"/>
        </w:rPr>
        <w:t>Dotaz:</w:t>
      </w:r>
      <w:r>
        <w:t xml:space="preserve"> Může předložit časový a finanční harmonogram až vítězný uchazeč? Uchazeč má za to, že v této fázi zadávacího řízení (podání nabídek) je zpracování těchto dokumentů zbytečné a předčasně a zadavatel tak jednotlivé uchazeče pouze nadměrně zatěžuje.</w:t>
      </w:r>
    </w:p>
    <w:p w:rsidR="001C5E72" w:rsidRDefault="001C5E72">
      <w:pPr>
        <w:spacing w:after="0"/>
        <w:jc w:val="both"/>
        <w:rPr>
          <w:rFonts w:ascii="Times New Roman" w:hAnsi="Times New Roman" w:cs="Times New Roman"/>
          <w:color w:val="000000"/>
          <w:u w:val="single"/>
        </w:rPr>
      </w:pPr>
      <w:r>
        <w:rPr>
          <w:color w:val="000000"/>
          <w:u w:val="single"/>
        </w:rPr>
        <w:t>Odpověď:</w:t>
      </w:r>
    </w:p>
    <w:p w:rsidR="001C5E72" w:rsidRDefault="001C5E72">
      <w:pPr>
        <w:spacing w:after="0"/>
        <w:jc w:val="both"/>
        <w:rPr>
          <w:color w:val="000000"/>
        </w:rPr>
      </w:pPr>
      <w:r>
        <w:rPr>
          <w:color w:val="000000"/>
        </w:rPr>
        <w:t xml:space="preserve">Zadavatel považuje časový harmonogram za poměrně klíčový v tom, zda je uchazeč dostatečným způsobem srozuměn s termíny realizace veřejné zakázky. Tento harmonogram je mj. součástí smlouvy a s jeho plněním je spojena řádná realizace celého díla. Zadavatel tak trvá na předložení časového harmonogramu již v rámci nabídky uchazeče, přičemž takto stanovenou povinnost považuje za standardní v rámci obdobných zadávacích řízení a za přiměřenou s ohledem na hodnotu veřejné zakázky. </w:t>
      </w:r>
    </w:p>
    <w:p w:rsidR="001C5E72" w:rsidRDefault="001C5E72">
      <w:pPr>
        <w:spacing w:after="0"/>
        <w:jc w:val="both"/>
        <w:rPr>
          <w:color w:val="000000"/>
        </w:rPr>
      </w:pPr>
    </w:p>
    <w:p w:rsidR="001C5E72" w:rsidRDefault="001C5E72">
      <w:pPr>
        <w:spacing w:after="0"/>
        <w:jc w:val="both"/>
        <w:rPr>
          <w:color w:val="000000"/>
        </w:rPr>
      </w:pPr>
    </w:p>
    <w:p w:rsidR="001C5E72" w:rsidRDefault="001C5E72">
      <w:pPr>
        <w:spacing w:after="80"/>
        <w:jc w:val="both"/>
        <w:rPr>
          <w:rFonts w:ascii="Times New Roman" w:hAnsi="Times New Roman" w:cs="Times New Roman"/>
          <w:b/>
          <w:bCs/>
          <w:color w:val="000000"/>
        </w:rPr>
      </w:pPr>
      <w:r>
        <w:rPr>
          <w:b/>
          <w:bCs/>
          <w:color w:val="000000"/>
        </w:rPr>
        <w:t>DODATEČNÁ INFORMACE č. 12</w:t>
      </w:r>
    </w:p>
    <w:p w:rsidR="001C5E72" w:rsidRDefault="001C5E72">
      <w:pPr>
        <w:spacing w:after="120"/>
        <w:jc w:val="both"/>
        <w:rPr>
          <w:rFonts w:ascii="Times New Roman" w:hAnsi="Times New Roman" w:cs="Times New Roman"/>
        </w:rPr>
      </w:pPr>
      <w:r>
        <w:t>Po prostudování zadávací dokumentace narazil uchazeč na nejasnost ve výkazu výměr 6577_202_55_4124 001_REKONSTRUKCE_PRICNA_140303.xlsx (veřejné osvětlení). V dodávce sloupů VO je uvedeno množství 1ks stožáru, 1ks venkovního svítidla atd. ovšem v položce 2.21 je uvedeno 16ks pro hloubení nezapažených jam pro stožáry veřejného osvětlení v hornině třídy 3</w:t>
      </w:r>
      <w:r>
        <w:rPr>
          <w:rFonts w:ascii="Times New Roman" w:hAnsi="Times New Roman" w:cs="Times New Roman"/>
        </w:rPr>
        <w:t>.</w:t>
      </w:r>
    </w:p>
    <w:p w:rsidR="001C5E72" w:rsidRDefault="001C5E72">
      <w:pPr>
        <w:spacing w:after="360"/>
        <w:jc w:val="both"/>
      </w:pPr>
      <w:r>
        <w:rPr>
          <w:u w:val="single"/>
        </w:rPr>
        <w:t>Dotaz:</w:t>
      </w:r>
      <w:r>
        <w:t xml:space="preserve"> Uchazeč žádá o prověření počtu stožárů a hloubení a případnou opravu výkazu výměr.</w:t>
      </w:r>
    </w:p>
    <w:p w:rsidR="001C5E72" w:rsidRDefault="001C5E72">
      <w:pPr>
        <w:spacing w:after="0"/>
        <w:jc w:val="both"/>
        <w:rPr>
          <w:rFonts w:ascii="Times New Roman" w:hAnsi="Times New Roman" w:cs="Times New Roman"/>
          <w:color w:val="000000"/>
          <w:u w:val="single"/>
        </w:rPr>
      </w:pPr>
      <w:r>
        <w:rPr>
          <w:color w:val="000000"/>
          <w:u w:val="single"/>
        </w:rPr>
        <w:t>Odpověď:</w:t>
      </w:r>
    </w:p>
    <w:p w:rsidR="001C5E72" w:rsidRDefault="001C5E72">
      <w:pPr>
        <w:suppressAutoHyphens w:val="0"/>
        <w:autoSpaceDE w:val="0"/>
        <w:adjustRightInd w:val="0"/>
        <w:spacing w:after="0" w:line="240" w:lineRule="auto"/>
        <w:textAlignment w:val="auto"/>
      </w:pPr>
      <w:r>
        <w:t xml:space="preserve">V rámci uvedeného výkazu výměr je skutečně chybně uvedena výměra u položky 2.21 (Hloubení nezapažených jam pro stožáry veřejného v hornině třídy 3). Počet kusů má být 1, což ostatně dostatečným způsobem vyplývá z navazujících rozpočtovaných položek. Uchazeč v tomto směru provede u položky 2.21 změnu dotčeného výkazu výměr. </w:t>
      </w:r>
    </w:p>
    <w:p w:rsidR="001C5E72" w:rsidRDefault="001C5E72">
      <w:pPr>
        <w:suppressAutoHyphens w:val="0"/>
        <w:autoSpaceDE w:val="0"/>
        <w:adjustRightInd w:val="0"/>
        <w:spacing w:after="0" w:line="240" w:lineRule="auto"/>
        <w:textAlignment w:val="auto"/>
        <w:rPr>
          <w:u w:val="single"/>
        </w:rPr>
      </w:pPr>
    </w:p>
    <w:p w:rsidR="001C5E72" w:rsidRDefault="001C5E72">
      <w:pPr>
        <w:jc w:val="both"/>
        <w:rPr>
          <w:rFonts w:ascii="Times New Roman" w:hAnsi="Times New Roman" w:cs="Times New Roman"/>
        </w:rPr>
      </w:pPr>
    </w:p>
    <w:p w:rsidR="001C5E72" w:rsidRDefault="001C5E72">
      <w:pPr>
        <w:spacing w:after="80"/>
        <w:jc w:val="both"/>
        <w:rPr>
          <w:rFonts w:ascii="Times New Roman" w:hAnsi="Times New Roman" w:cs="Times New Roman"/>
          <w:b/>
          <w:bCs/>
          <w:color w:val="000000"/>
        </w:rPr>
      </w:pPr>
      <w:r>
        <w:rPr>
          <w:b/>
          <w:bCs/>
          <w:color w:val="000000"/>
        </w:rPr>
        <w:t>DODATEČNÁ INFORMACE č. 13</w:t>
      </w:r>
    </w:p>
    <w:p w:rsidR="001C5E72" w:rsidRDefault="001C5E72">
      <w:pPr>
        <w:spacing w:after="120"/>
        <w:jc w:val="both"/>
        <w:rPr>
          <w:rFonts w:ascii="Times New Roman" w:hAnsi="Times New Roman" w:cs="Times New Roman"/>
        </w:rPr>
      </w:pPr>
      <w:r>
        <w:t>Ve výkazech výměr je součásti ceny jakási Výkonová fáze 9 - Profesní výkony po dokončení stavby a uvedení stavby do užívání (SKP)</w:t>
      </w:r>
      <w:r>
        <w:rPr>
          <w:rFonts w:ascii="Times New Roman" w:hAnsi="Times New Roman" w:cs="Times New Roman"/>
        </w:rPr>
        <w:t>.</w:t>
      </w:r>
    </w:p>
    <w:p w:rsidR="001C5E72" w:rsidRDefault="001C5E72">
      <w:pPr>
        <w:spacing w:after="360"/>
        <w:jc w:val="both"/>
      </w:pPr>
      <w:r>
        <w:rPr>
          <w:u w:val="single"/>
        </w:rPr>
        <w:t>Dotaz:</w:t>
      </w:r>
      <w:r>
        <w:t xml:space="preserve"> Je na uchazeči, aby stanovil výši ceny této výkonové fáze respektive, aby stanovil procentuální podíl ze ZRN příslušné ulice (té kde se výkonová fáze požaduje), nebo tuto hodnotu stanoví zadavatel?</w:t>
      </w:r>
    </w:p>
    <w:p w:rsidR="001C5E72" w:rsidRDefault="001C5E72">
      <w:pPr>
        <w:spacing w:after="0"/>
        <w:jc w:val="both"/>
        <w:rPr>
          <w:rFonts w:ascii="Times New Roman" w:hAnsi="Times New Roman" w:cs="Times New Roman"/>
          <w:color w:val="000000"/>
          <w:u w:val="single"/>
        </w:rPr>
      </w:pPr>
      <w:r>
        <w:rPr>
          <w:color w:val="000000"/>
          <w:u w:val="single"/>
        </w:rPr>
        <w:t>Odpověď:</w:t>
      </w:r>
    </w:p>
    <w:p w:rsidR="001C5E72" w:rsidRDefault="001C5E72">
      <w:pPr>
        <w:suppressAutoHyphens w:val="0"/>
        <w:autoSpaceDE w:val="0"/>
        <w:adjustRightInd w:val="0"/>
        <w:spacing w:after="0" w:line="240" w:lineRule="auto"/>
        <w:textAlignment w:val="auto"/>
      </w:pPr>
      <w:r>
        <w:t>Výkonová fáze 9 v rámci výkazu výměr obsahuje dokumentaci skutečného provedení dle stavebního zákona. Uchazeč stanoví cenu výkonové fáze sám. Zadavatel nebude tuto cenu nikterak ovlivňovat.</w:t>
      </w:r>
    </w:p>
    <w:p w:rsidR="001C5E72" w:rsidRDefault="001C5E72">
      <w:pPr>
        <w:suppressAutoHyphens w:val="0"/>
        <w:autoSpaceDE w:val="0"/>
        <w:adjustRightInd w:val="0"/>
        <w:spacing w:after="0" w:line="240" w:lineRule="auto"/>
        <w:textAlignment w:val="auto"/>
      </w:pPr>
    </w:p>
    <w:p w:rsidR="001C5E72" w:rsidRDefault="001C5E72">
      <w:pPr>
        <w:spacing w:after="80"/>
        <w:jc w:val="both"/>
        <w:rPr>
          <w:rFonts w:ascii="Times New Roman" w:hAnsi="Times New Roman" w:cs="Times New Roman"/>
          <w:b/>
          <w:bCs/>
          <w:color w:val="000000"/>
        </w:rPr>
      </w:pPr>
    </w:p>
    <w:p w:rsidR="001C5E72" w:rsidRDefault="001C5E72">
      <w:pPr>
        <w:spacing w:after="80"/>
        <w:jc w:val="both"/>
        <w:rPr>
          <w:rFonts w:ascii="Times New Roman" w:hAnsi="Times New Roman" w:cs="Times New Roman"/>
          <w:b/>
          <w:bCs/>
          <w:color w:val="000000"/>
        </w:rPr>
      </w:pPr>
      <w:r>
        <w:rPr>
          <w:b/>
          <w:bCs/>
          <w:color w:val="000000"/>
        </w:rPr>
        <w:t>DODATEČNÁ INFORMACE č. 14</w:t>
      </w:r>
    </w:p>
    <w:p w:rsidR="001C5E72" w:rsidRDefault="001C5E72">
      <w:pPr>
        <w:jc w:val="both"/>
      </w:pPr>
      <w:r>
        <w:t>Součástí výkazů výměr jsou položky: Jiné materiály, montáž, atd., neuvedené výše, ale které je nutné zahrnout do celkového rozsahu prací podle výkresů a praxe dodavatele.</w:t>
      </w:r>
    </w:p>
    <w:p w:rsidR="001C5E72" w:rsidRDefault="001C5E72">
      <w:pPr>
        <w:jc w:val="both"/>
      </w:pPr>
      <w:r>
        <w:rPr>
          <w:u w:val="single"/>
        </w:rPr>
        <w:t>Dotaz:</w:t>
      </w:r>
      <w:r>
        <w:t xml:space="preserve"> Tím, že zde není uvedeno množství a uchazeč může prohlásit, že vše v této položce popsané je zahrnuto v cenách ostatních položek výše, nemusí tuto položku vyplňovat?</w:t>
      </w:r>
    </w:p>
    <w:p w:rsidR="001C5E72" w:rsidRDefault="001C5E72">
      <w:pPr>
        <w:spacing w:after="0"/>
        <w:jc w:val="both"/>
        <w:rPr>
          <w:rFonts w:ascii="Times New Roman" w:hAnsi="Times New Roman" w:cs="Times New Roman"/>
          <w:color w:val="000000"/>
          <w:u w:val="single"/>
        </w:rPr>
      </w:pPr>
      <w:r>
        <w:rPr>
          <w:color w:val="000000"/>
          <w:u w:val="single"/>
        </w:rPr>
        <w:t>Odpověď:</w:t>
      </w:r>
    </w:p>
    <w:p w:rsidR="001C5E72" w:rsidRDefault="001C5E72">
      <w:pPr>
        <w:suppressAutoHyphens w:val="0"/>
        <w:autoSpaceDE w:val="0"/>
        <w:adjustRightInd w:val="0"/>
        <w:spacing w:after="0" w:line="240" w:lineRule="auto"/>
        <w:textAlignment w:val="auto"/>
      </w:pPr>
      <w:r>
        <w:t>V uvedeném případě uchazeč nemusí tuto položku vyplňovat.</w:t>
      </w:r>
    </w:p>
    <w:p w:rsidR="001C5E72" w:rsidRDefault="001C5E72">
      <w:pPr>
        <w:suppressAutoHyphens w:val="0"/>
        <w:autoSpaceDE w:val="0"/>
        <w:adjustRightInd w:val="0"/>
        <w:spacing w:after="0" w:line="240" w:lineRule="auto"/>
        <w:textAlignment w:val="auto"/>
        <w:rPr>
          <w:u w:val="single"/>
        </w:rPr>
      </w:pPr>
    </w:p>
    <w:sectPr w:rsidR="001C5E72" w:rsidSect="001C5E72">
      <w:headerReference w:type="default" r:id="rId6"/>
      <w:footerReference w:type="default" r:id="rId7"/>
      <w:pgSz w:w="11906" w:h="16838"/>
      <w:pgMar w:top="1417" w:right="1417" w:bottom="1417" w:left="1417"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5E72" w:rsidRDefault="001C5E72">
      <w:pPr>
        <w:spacing w:after="0" w:line="240" w:lineRule="auto"/>
        <w:rPr>
          <w:rFonts w:ascii="Times New Roman" w:hAnsi="Times New Roman" w:cs="Times New Roman"/>
        </w:rPr>
      </w:pPr>
      <w:r>
        <w:rPr>
          <w:rFonts w:ascii="Times New Roman" w:hAnsi="Times New Roman" w:cs="Times New Roman"/>
        </w:rPr>
        <w:separator/>
      </w:r>
    </w:p>
  </w:endnote>
  <w:endnote w:type="continuationSeparator" w:id="0">
    <w:p w:rsidR="001C5E72" w:rsidRDefault="001C5E72">
      <w:pPr>
        <w:spacing w:after="0" w:line="240" w:lineRule="auto"/>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Verdana">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E72" w:rsidRDefault="001C5E72">
    <w:pPr>
      <w:pStyle w:val="Footer"/>
      <w:jc w:val="center"/>
      <w:rPr>
        <w:rFonts w:ascii="Times New Roman" w:hAnsi="Times New Roman" w:cs="Times New Roman"/>
      </w:rPr>
    </w:pPr>
    <w:fldSimple w:instr=" PAGE ">
      <w:r>
        <w:rPr>
          <w:noProof/>
        </w:rPr>
        <w:t>1</w:t>
      </w:r>
    </w:fldSimple>
  </w:p>
  <w:p w:rsidR="001C5E72" w:rsidRDefault="001C5E72">
    <w:pPr>
      <w:pStyle w:val="Footer"/>
      <w:ind w:left="720"/>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5E72" w:rsidRDefault="001C5E72">
      <w:pPr>
        <w:spacing w:after="0" w:line="240" w:lineRule="auto"/>
        <w:rPr>
          <w:rFonts w:ascii="Times New Roman" w:hAnsi="Times New Roman" w:cs="Times New Roman"/>
        </w:rPr>
      </w:pPr>
      <w:r>
        <w:rPr>
          <w:rFonts w:ascii="Times New Roman" w:hAnsi="Times New Roman" w:cs="Times New Roman"/>
          <w:color w:val="000000"/>
        </w:rPr>
        <w:separator/>
      </w:r>
    </w:p>
  </w:footnote>
  <w:footnote w:type="continuationSeparator" w:id="0">
    <w:p w:rsidR="001C5E72" w:rsidRDefault="001C5E72">
      <w:pPr>
        <w:spacing w:after="0" w:line="240" w:lineRule="auto"/>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E72" w:rsidRDefault="001C5E72">
    <w:pPr>
      <w:pStyle w:val="Header"/>
      <w:rPr>
        <w:rFonts w:ascii="Times New Roman" w:hAnsi="Times New Roman" w:cs="Times New Roman"/>
      </w:rPr>
    </w:pPr>
    <w:r>
      <w:rPr>
        <w:rFonts w:ascii="Times New Roman" w:hAnsi="Times New Roman" w:cs="Times New Roman"/>
        <w:noProof/>
        <w:lang w:eastAsia="cs-C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style="width:443.25pt;height:66pt;visibility:visible">
          <v:imagedata r:id="rId1" o:title=""/>
        </v:shape>
      </w:pict>
    </w:r>
  </w:p>
  <w:p w:rsidR="001C5E72" w:rsidRDefault="001C5E72">
    <w:pPr>
      <w:pStyle w:val="Header"/>
      <w:rPr>
        <w:rFonts w:ascii="Times New Roman" w:hAnsi="Times New Roman" w:cs="Times New Roman"/>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autoHyphenation/>
  <w:hyphenationZone w:val="425"/>
  <w:doNotHyphenateCaps/>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C5E72"/>
    <w:rsid w:val="001C5E72"/>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autoSpaceDN w:val="0"/>
      <w:spacing w:after="200" w:line="276" w:lineRule="auto"/>
      <w:textAlignment w:val="baseline"/>
    </w:pPr>
    <w:rPr>
      <w:rFonts w:ascii="Calibri" w:hAnsi="Calibri" w:cs="Calibri"/>
      <w:lang w:eastAsia="en-US"/>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1C5E72"/>
    <w:rPr>
      <w:rFonts w:ascii="Calibri" w:hAnsi="Calibri" w:cs="Calibri"/>
      <w:lang w:eastAsia="en-US"/>
    </w:rPr>
  </w:style>
  <w:style w:type="character" w:customStyle="1" w:styleId="ZhlavChar">
    <w:name w:val="Záhlaví Char"/>
    <w:basedOn w:val="DefaultParagraphFont"/>
    <w:uiPriority w:val="99"/>
    <w:rPr>
      <w:rFonts w:ascii="Times New Roman" w:hAnsi="Times New Roman" w:cs="Times New Roman"/>
    </w:rPr>
  </w:style>
  <w:style w:type="paragraph" w:styleId="Footer">
    <w:name w:val="footer"/>
    <w:basedOn w:val="Normal"/>
    <w:link w:val="FooterChar"/>
    <w:uiPriority w:val="99"/>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1C5E72"/>
    <w:rPr>
      <w:rFonts w:ascii="Calibri" w:hAnsi="Calibri" w:cs="Calibri"/>
      <w:lang w:eastAsia="en-US"/>
    </w:rPr>
  </w:style>
  <w:style w:type="character" w:customStyle="1" w:styleId="ZpatChar">
    <w:name w:val="Zápatí Char"/>
    <w:basedOn w:val="DefaultParagraphFont"/>
    <w:uiPriority w:val="99"/>
    <w:rPr>
      <w:rFonts w:ascii="Times New Roman" w:hAnsi="Times New Roman" w:cs="Times New Roman"/>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E72"/>
    <w:rPr>
      <w:rFonts w:ascii="Times New Roman" w:hAnsi="Times New Roman" w:cs="Times New Roman"/>
      <w:sz w:val="0"/>
      <w:szCs w:val="0"/>
      <w:lang w:eastAsia="en-US"/>
    </w:rPr>
  </w:style>
  <w:style w:type="character" w:customStyle="1" w:styleId="TextbublinyChar">
    <w:name w:val="Text bubliny Char"/>
    <w:basedOn w:val="DefaultParagraphFont"/>
    <w:uiPriority w:val="99"/>
    <w:rPr>
      <w:rFonts w:ascii="Tahoma" w:hAnsi="Tahoma" w:cs="Tahoma"/>
      <w:sz w:val="16"/>
      <w:szCs w:val="16"/>
    </w:rPr>
  </w:style>
  <w:style w:type="paragraph" w:customStyle="1" w:styleId="default">
    <w:name w:val="default"/>
    <w:basedOn w:val="Normal"/>
    <w:uiPriority w:val="99"/>
    <w:pPr>
      <w:suppressAutoHyphens w:val="0"/>
      <w:autoSpaceDE w:val="0"/>
      <w:spacing w:after="0" w:line="240" w:lineRule="auto"/>
      <w:textAlignment w:val="auto"/>
    </w:pPr>
    <w:rPr>
      <w:rFonts w:ascii="Verdana" w:hAnsi="Verdana" w:cs="Verdana"/>
      <w:color w:val="000000"/>
      <w:sz w:val="24"/>
      <w:szCs w:val="24"/>
      <w:lang w:eastAsia="cs-C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7</Pages>
  <Words>2284</Words>
  <Characters>13024</Characters>
  <Application>Microsoft Office Outlook</Application>
  <DocSecurity>0</DocSecurity>
  <Lines>0</Lines>
  <Paragraphs>0</Paragraphs>
  <ScaleCrop>false</ScaleCrop>
  <Company>OÚ Průhonice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DODATEČNÁ INFORMACE č</dc:title>
  <dc:subject/>
  <dc:creator>RVS Sekretariát</dc:creator>
  <cp:keywords/>
  <dc:description/>
  <cp:lastModifiedBy>zvejkalova</cp:lastModifiedBy>
  <cp:revision>2</cp:revision>
  <dcterms:created xsi:type="dcterms:W3CDTF">2014-06-24T12:23:00Z</dcterms:created>
  <dcterms:modified xsi:type="dcterms:W3CDTF">2014-06-24T12:23:00Z</dcterms:modified>
</cp:coreProperties>
</file>