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97" w:rsidRDefault="00CA36B3">
      <w:pPr>
        <w:pStyle w:val="Zkladntext"/>
        <w:jc w:val="center"/>
        <w:rPr>
          <w:rFonts w:ascii="Tahoma" w:hAnsi="Tahoma" w:cs="Tahoma"/>
          <w:b/>
          <w:caps/>
          <w:color w:val="auto"/>
          <w:sz w:val="36"/>
        </w:rPr>
      </w:pPr>
      <w:bookmarkStart w:id="0" w:name="_GoBack"/>
      <w:bookmarkEnd w:id="0"/>
      <w:r w:rsidRPr="0020538C">
        <w:rPr>
          <w:rFonts w:ascii="Tahoma" w:hAnsi="Tahoma" w:cs="Tahoma"/>
          <w:b/>
          <w:caps/>
          <w:color w:val="auto"/>
          <w:sz w:val="36"/>
        </w:rPr>
        <w:t xml:space="preserve">SMLOUVA o </w:t>
      </w:r>
      <w:r w:rsidR="007B1197">
        <w:rPr>
          <w:rFonts w:ascii="Tahoma" w:hAnsi="Tahoma" w:cs="Tahoma"/>
          <w:b/>
          <w:caps/>
          <w:color w:val="auto"/>
          <w:sz w:val="36"/>
        </w:rPr>
        <w:t>DÍLO</w:t>
      </w:r>
    </w:p>
    <w:p w:rsidR="00CA36B3" w:rsidRPr="0020538C" w:rsidRDefault="007B1197">
      <w:pPr>
        <w:pStyle w:val="Zkladntext"/>
        <w:jc w:val="center"/>
        <w:rPr>
          <w:rFonts w:ascii="Tahoma" w:hAnsi="Tahoma" w:cs="Tahoma"/>
          <w:b/>
          <w:caps/>
          <w:color w:val="auto"/>
          <w:sz w:val="36"/>
        </w:rPr>
      </w:pPr>
      <w:r>
        <w:rPr>
          <w:rFonts w:ascii="Tahoma" w:hAnsi="Tahoma" w:cs="Tahoma"/>
          <w:b/>
          <w:caps/>
          <w:color w:val="auto"/>
          <w:sz w:val="36"/>
        </w:rPr>
        <w:t>INZERCE v TIŠTĚNÝCH MÉDIICH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i/>
          <w:iCs/>
          <w:caps/>
          <w:color w:val="auto"/>
          <w:sz w:val="40"/>
        </w:rPr>
      </w:pPr>
    </w:p>
    <w:p w:rsidR="00CA36B3" w:rsidRDefault="00CA36B3">
      <w:pPr>
        <w:pStyle w:val="Zkladntext"/>
        <w:rPr>
          <w:rFonts w:ascii="Tahoma" w:hAnsi="Tahoma" w:cs="Tahoma"/>
          <w:b/>
          <w:color w:val="auto"/>
        </w:rPr>
      </w:pPr>
    </w:p>
    <w:p w:rsidR="00FA69BF" w:rsidRDefault="00FA69BF">
      <w:pPr>
        <w:pStyle w:val="Zkladntext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Odběratel</w:t>
      </w:r>
    </w:p>
    <w:p w:rsidR="00CA36B3" w:rsidRDefault="00EF47C8">
      <w:pPr>
        <w:pStyle w:val="Zkladntext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IT cluster z.s.</w:t>
      </w:r>
      <w:r w:rsidR="00CA36B3">
        <w:rPr>
          <w:rFonts w:ascii="Tahoma" w:hAnsi="Tahoma" w:cs="Tahoma"/>
          <w:b/>
          <w:color w:val="auto"/>
        </w:rPr>
        <w:tab/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se sídlem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 xml:space="preserve">  : Novoveská 1139/22, 709 00  Ostrava Mariánské Hory</w:t>
      </w:r>
    </w:p>
    <w:p w:rsidR="00CA36B3" w:rsidRDefault="00CA36B3">
      <w:pPr>
        <w:pStyle w:val="Zkladntext"/>
        <w:ind w:left="2280" w:hanging="2280"/>
        <w:rPr>
          <w:rFonts w:ascii="Tahoma" w:hAnsi="Tahoma" w:cs="Tahoma"/>
          <w:i/>
          <w:color w:val="auto"/>
        </w:rPr>
      </w:pPr>
      <w:r>
        <w:rPr>
          <w:rFonts w:ascii="Tahoma" w:hAnsi="Tahoma" w:cs="Tahoma"/>
          <w:color w:val="auto"/>
        </w:rPr>
        <w:t xml:space="preserve">zastoupená  </w:t>
      </w:r>
      <w:r>
        <w:rPr>
          <w:rFonts w:ascii="Tahoma" w:hAnsi="Tahoma" w:cs="Tahoma"/>
          <w:color w:val="auto"/>
        </w:rPr>
        <w:tab/>
        <w:t>: Ing. Přemysl</w:t>
      </w:r>
      <w:r w:rsidR="0020538C">
        <w:rPr>
          <w:rFonts w:ascii="Tahoma" w:hAnsi="Tahoma" w:cs="Tahoma"/>
          <w:color w:val="auto"/>
        </w:rPr>
        <w:t>em</w:t>
      </w:r>
      <w:r>
        <w:rPr>
          <w:rFonts w:ascii="Tahoma" w:hAnsi="Tahoma" w:cs="Tahoma"/>
          <w:color w:val="auto"/>
        </w:rPr>
        <w:t xml:space="preserve"> Soldán</w:t>
      </w:r>
      <w:r w:rsidR="0083598B">
        <w:rPr>
          <w:rFonts w:ascii="Tahoma" w:hAnsi="Tahoma" w:cs="Tahoma"/>
          <w:color w:val="auto"/>
        </w:rPr>
        <w:t>em, předsedou V</w:t>
      </w:r>
      <w:r w:rsidR="0020538C">
        <w:rPr>
          <w:rFonts w:ascii="Tahoma" w:hAnsi="Tahoma" w:cs="Tahoma"/>
          <w:color w:val="auto"/>
        </w:rPr>
        <w:t>ýkonné rady</w:t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IČO 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 xml:space="preserve">  : 27021408</w:t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DIČ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 xml:space="preserve">  : CZ27021408</w:t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bankovní spojení</w:t>
      </w:r>
      <w:r>
        <w:rPr>
          <w:rFonts w:ascii="Tahoma" w:hAnsi="Tahoma" w:cs="Tahoma"/>
          <w:color w:val="auto"/>
        </w:rPr>
        <w:tab/>
        <w:t xml:space="preserve">  : </w:t>
      </w:r>
      <w:r w:rsidR="0083598B" w:rsidRPr="0083598B">
        <w:rPr>
          <w:rFonts w:ascii="Tahoma" w:hAnsi="Tahoma" w:cs="Tahoma"/>
          <w:color w:val="auto"/>
          <w:szCs w:val="24"/>
          <w:shd w:val="clear" w:color="auto" w:fill="FFFFFF"/>
        </w:rPr>
        <w:t>Raiffeisenbank Ostrava, 2312458001/5500</w:t>
      </w:r>
    </w:p>
    <w:p w:rsidR="0020538C" w:rsidRPr="0020538C" w:rsidRDefault="0020538C" w:rsidP="0020538C">
      <w:pPr>
        <w:rPr>
          <w:rFonts w:ascii="Tahoma" w:hAnsi="Tahoma" w:cs="Tahoma"/>
          <w:snapToGrid w:val="0"/>
        </w:rPr>
      </w:pPr>
      <w:r w:rsidRPr="0020538C">
        <w:rPr>
          <w:rFonts w:ascii="Tahoma" w:hAnsi="Tahoma" w:cs="Tahoma"/>
          <w:snapToGrid w:val="0"/>
        </w:rPr>
        <w:t>Sdružení je zapsáno v registru u Ministerstva vnitra pod čj. VS/ 1-1/63 001/06-R</w:t>
      </w:r>
    </w:p>
    <w:p w:rsidR="00CA36B3" w:rsidRPr="0020538C" w:rsidRDefault="0020538C" w:rsidP="0020538C">
      <w:pPr>
        <w:rPr>
          <w:rFonts w:ascii="Tahoma" w:hAnsi="Tahoma" w:cs="Tahoma"/>
          <w:snapToGrid w:val="0"/>
        </w:rPr>
      </w:pPr>
      <w:r w:rsidRPr="0020538C">
        <w:rPr>
          <w:rFonts w:ascii="Tahoma" w:hAnsi="Tahoma" w:cs="Tahoma"/>
          <w:snapToGrid w:val="0"/>
        </w:rPr>
        <w:t> </w:t>
      </w:r>
      <w:r w:rsidR="00CA36B3" w:rsidRPr="0020538C">
        <w:rPr>
          <w:rFonts w:ascii="Tahoma" w:hAnsi="Tahoma" w:cs="Tahoma"/>
          <w:snapToGrid w:val="0"/>
        </w:rPr>
        <w:tab/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(</w:t>
      </w:r>
      <w:r w:rsidR="003A25C9">
        <w:rPr>
          <w:rFonts w:ascii="Tahoma" w:hAnsi="Tahoma" w:cs="Tahoma"/>
          <w:color w:val="auto"/>
        </w:rPr>
        <w:t>dále jen „Odběratele</w:t>
      </w:r>
      <w:r w:rsidR="00936D85">
        <w:rPr>
          <w:rFonts w:ascii="Tahoma" w:hAnsi="Tahoma" w:cs="Tahoma"/>
          <w:color w:val="auto"/>
        </w:rPr>
        <w:t>“</w:t>
      </w:r>
      <w:r>
        <w:rPr>
          <w:rFonts w:ascii="Tahoma" w:hAnsi="Tahoma" w:cs="Tahoma"/>
          <w:color w:val="auto"/>
        </w:rPr>
        <w:t>)</w:t>
      </w:r>
    </w:p>
    <w:p w:rsidR="00CA36B3" w:rsidRDefault="00CA36B3">
      <w:pPr>
        <w:pStyle w:val="Zkladntext"/>
        <w:rPr>
          <w:rFonts w:ascii="Tahoma" w:hAnsi="Tahoma" w:cs="Tahoma"/>
          <w:color w:val="auto"/>
        </w:rPr>
      </w:pPr>
    </w:p>
    <w:p w:rsidR="00CA36B3" w:rsidRDefault="00CA36B3">
      <w:pPr>
        <w:pStyle w:val="Zkladntex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color w:val="auto"/>
        </w:rPr>
        <w:t>a</w:t>
      </w:r>
    </w:p>
    <w:p w:rsidR="00CA36B3" w:rsidRDefault="00CA36B3">
      <w:pPr>
        <w:pStyle w:val="Zkladntext"/>
        <w:jc w:val="both"/>
        <w:rPr>
          <w:rFonts w:ascii="Tahoma" w:hAnsi="Tahoma" w:cs="Tahoma"/>
          <w:color w:val="auto"/>
        </w:rPr>
      </w:pPr>
    </w:p>
    <w:p w:rsidR="00CA36B3" w:rsidRPr="003A25C9" w:rsidRDefault="003A25C9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b/>
          <w:color w:val="auto"/>
          <w:highlight w:val="yellow"/>
        </w:rPr>
        <w:t>Dodavatel</w:t>
      </w:r>
    </w:p>
    <w:p w:rsidR="00CA36B3" w:rsidRPr="003A25C9" w:rsidRDefault="00CA36B3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>se sídlem</w:t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  <w:t xml:space="preserve">  :  </w:t>
      </w:r>
    </w:p>
    <w:p w:rsidR="003A25C9" w:rsidRPr="003A25C9" w:rsidRDefault="003A25C9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</w:r>
    </w:p>
    <w:p w:rsidR="00CA36B3" w:rsidRPr="003A25C9" w:rsidRDefault="00CA36B3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>zastoupená</w:t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  <w:t xml:space="preserve">  :  </w:t>
      </w:r>
    </w:p>
    <w:p w:rsidR="00CA36B3" w:rsidRPr="003A25C9" w:rsidRDefault="00CA36B3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>IČO</w:t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  <w:t xml:space="preserve">  :  </w:t>
      </w:r>
    </w:p>
    <w:p w:rsidR="00CA36B3" w:rsidRPr="003A25C9" w:rsidRDefault="00CA36B3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>DIČ</w:t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</w:r>
      <w:r w:rsidRPr="003A25C9">
        <w:rPr>
          <w:rFonts w:ascii="Tahoma" w:hAnsi="Tahoma" w:cs="Tahoma"/>
          <w:color w:val="auto"/>
          <w:highlight w:val="yellow"/>
        </w:rPr>
        <w:tab/>
        <w:t xml:space="preserve">  :  </w:t>
      </w:r>
    </w:p>
    <w:p w:rsidR="00CA36B3" w:rsidRPr="003A25C9" w:rsidRDefault="00CA36B3">
      <w:pPr>
        <w:pStyle w:val="Zkladntext"/>
        <w:jc w:val="both"/>
        <w:rPr>
          <w:rFonts w:ascii="Tahoma" w:hAnsi="Tahoma" w:cs="Tahoma"/>
          <w:color w:val="auto"/>
          <w:highlight w:val="yellow"/>
        </w:rPr>
      </w:pPr>
      <w:r w:rsidRPr="003A25C9">
        <w:rPr>
          <w:rFonts w:ascii="Tahoma" w:hAnsi="Tahoma" w:cs="Tahoma"/>
          <w:color w:val="auto"/>
          <w:highlight w:val="yellow"/>
        </w:rPr>
        <w:t>bankov</w:t>
      </w:r>
      <w:r w:rsidR="00936D85" w:rsidRPr="003A25C9">
        <w:rPr>
          <w:rFonts w:ascii="Tahoma" w:hAnsi="Tahoma" w:cs="Tahoma"/>
          <w:color w:val="auto"/>
          <w:highlight w:val="yellow"/>
        </w:rPr>
        <w:t>ní spojení</w:t>
      </w:r>
      <w:r w:rsidR="00936D85" w:rsidRPr="003A25C9">
        <w:rPr>
          <w:rFonts w:ascii="Tahoma" w:hAnsi="Tahoma" w:cs="Tahoma"/>
          <w:color w:val="auto"/>
          <w:highlight w:val="yellow"/>
        </w:rPr>
        <w:tab/>
        <w:t xml:space="preserve">  :  </w:t>
      </w:r>
    </w:p>
    <w:p w:rsidR="00CA36B3" w:rsidRDefault="003A25C9">
      <w:pPr>
        <w:pStyle w:val="Zkladntext"/>
        <w:widowControl/>
        <w:rPr>
          <w:rFonts w:ascii="Tahoma" w:hAnsi="Tahoma" w:cs="Tahoma"/>
          <w:color w:val="auto"/>
        </w:rPr>
      </w:pPr>
      <w:r w:rsidRPr="003A25C9">
        <w:rPr>
          <w:rFonts w:ascii="Tahoma" w:hAnsi="Tahoma" w:cs="Tahoma"/>
          <w:color w:val="auto"/>
          <w:highlight w:val="yellow"/>
        </w:rPr>
        <w:t xml:space="preserve">zapsaná </w:t>
      </w:r>
      <w:r w:rsidR="00CA36B3" w:rsidRPr="003A25C9">
        <w:rPr>
          <w:rFonts w:ascii="Tahoma" w:hAnsi="Tahoma" w:cs="Tahoma"/>
          <w:color w:val="auto"/>
          <w:highlight w:val="yellow"/>
        </w:rPr>
        <w:t>u rejstříkového soudu v </w:t>
      </w:r>
      <w:r w:rsidRPr="003A25C9">
        <w:rPr>
          <w:rFonts w:ascii="Tahoma" w:hAnsi="Tahoma" w:cs="Tahoma"/>
          <w:color w:val="auto"/>
          <w:highlight w:val="yellow"/>
        </w:rPr>
        <w:t>…..</w:t>
      </w:r>
      <w:r w:rsidR="00CA36B3" w:rsidRPr="003A25C9">
        <w:rPr>
          <w:rFonts w:ascii="Tahoma" w:hAnsi="Tahoma" w:cs="Tahoma"/>
          <w:color w:val="auto"/>
          <w:highlight w:val="yellow"/>
        </w:rPr>
        <w:t xml:space="preserve">, spisová značka </w:t>
      </w:r>
      <w:r w:rsidRPr="003A25C9">
        <w:rPr>
          <w:rFonts w:ascii="Tahoma" w:hAnsi="Tahoma" w:cs="Tahoma"/>
          <w:color w:val="auto"/>
          <w:highlight w:val="yellow"/>
        </w:rPr>
        <w:t>……</w:t>
      </w:r>
      <w:r w:rsidR="00CA36B3" w:rsidRPr="003A25C9">
        <w:rPr>
          <w:rFonts w:ascii="Tahoma" w:hAnsi="Tahoma" w:cs="Tahoma"/>
          <w:color w:val="auto"/>
          <w:highlight w:val="yellow"/>
        </w:rPr>
        <w:t>.</w:t>
      </w:r>
    </w:p>
    <w:p w:rsidR="00CA36B3" w:rsidRDefault="00936D85">
      <w:pPr>
        <w:pStyle w:val="Zkladntex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(dále jen „dodavatel“</w:t>
      </w:r>
      <w:r w:rsidR="00CA36B3">
        <w:rPr>
          <w:rFonts w:ascii="Tahoma" w:hAnsi="Tahoma" w:cs="Tahoma"/>
          <w:color w:val="auto"/>
        </w:rPr>
        <w:t>)</w:t>
      </w:r>
    </w:p>
    <w:p w:rsidR="00CA36B3" w:rsidRDefault="00CA36B3">
      <w:pPr>
        <w:pStyle w:val="Zkladntext"/>
        <w:jc w:val="both"/>
        <w:rPr>
          <w:rFonts w:ascii="Tahoma" w:hAnsi="Tahoma" w:cs="Tahoma"/>
          <w:color w:val="auto"/>
        </w:rPr>
      </w:pPr>
    </w:p>
    <w:p w:rsidR="003A25C9" w:rsidRDefault="00492B29" w:rsidP="003A25C9">
      <w:pPr>
        <w:pStyle w:val="Zkladntex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uzavírají v souladu s ustanovením § 1746 odst. 2 zákona č. 89/2012 Sb., občanský zákoník, v platném znění tuto smlouvu o </w:t>
      </w:r>
      <w:r w:rsidR="003A25C9">
        <w:rPr>
          <w:rFonts w:ascii="Tahoma" w:hAnsi="Tahoma" w:cs="Tahoma"/>
          <w:color w:val="auto"/>
        </w:rPr>
        <w:t xml:space="preserve">zajištění tiskové inzerce </w:t>
      </w:r>
    </w:p>
    <w:p w:rsidR="003A25C9" w:rsidRDefault="003A25C9" w:rsidP="003A25C9">
      <w:pPr>
        <w:pStyle w:val="Zkladntext"/>
        <w:jc w:val="center"/>
        <w:rPr>
          <w:rFonts w:ascii="Tahoma" w:hAnsi="Tahoma" w:cs="Tahoma"/>
          <w:color w:val="auto"/>
        </w:rPr>
      </w:pPr>
    </w:p>
    <w:p w:rsidR="00CA36B3" w:rsidRDefault="00CA36B3" w:rsidP="003A25C9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l. I.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Předmět smlouvy</w:t>
      </w:r>
    </w:p>
    <w:p w:rsidR="00CA36B3" w:rsidRDefault="00CA36B3">
      <w:pPr>
        <w:pStyle w:val="Zkladntext"/>
        <w:jc w:val="both"/>
        <w:rPr>
          <w:rFonts w:ascii="Tahoma" w:hAnsi="Tahoma" w:cs="Tahoma"/>
          <w:color w:val="auto"/>
        </w:rPr>
      </w:pPr>
    </w:p>
    <w:p w:rsidR="00CA36B3" w:rsidRDefault="00CA36B3" w:rsidP="003A25C9">
      <w:pPr>
        <w:pStyle w:val="Zkladntext"/>
        <w:numPr>
          <w:ilvl w:val="1"/>
          <w:numId w:val="14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Předmětem smlouvy je úprava a vymezení vzájemných práv a povinností smluvních stran </w:t>
      </w:r>
      <w:r w:rsidR="003A25C9">
        <w:rPr>
          <w:rFonts w:ascii="Tahoma" w:hAnsi="Tahoma" w:cs="Tahoma"/>
          <w:color w:val="auto"/>
        </w:rPr>
        <w:t xml:space="preserve">při realizaci propagace </w:t>
      </w:r>
      <w:r w:rsidR="00FA69BF">
        <w:rPr>
          <w:rFonts w:ascii="Tahoma" w:hAnsi="Tahoma" w:cs="Tahoma"/>
          <w:color w:val="auto"/>
        </w:rPr>
        <w:t>O</w:t>
      </w:r>
      <w:r w:rsidR="003A25C9">
        <w:rPr>
          <w:rFonts w:ascii="Tahoma" w:hAnsi="Tahoma" w:cs="Tahoma"/>
          <w:color w:val="auto"/>
        </w:rPr>
        <w:t>dběratele</w:t>
      </w:r>
      <w:r>
        <w:rPr>
          <w:rFonts w:ascii="Tahoma" w:hAnsi="Tahoma" w:cs="Tahoma"/>
          <w:color w:val="auto"/>
        </w:rPr>
        <w:t xml:space="preserve"> </w:t>
      </w:r>
      <w:r w:rsidR="003A25C9">
        <w:rPr>
          <w:rFonts w:ascii="Tahoma" w:hAnsi="Tahoma" w:cs="Tahoma"/>
          <w:color w:val="auto"/>
        </w:rPr>
        <w:t>v tištěných mediích dle specifikace uvedené v této smlouvě a její příloze</w:t>
      </w:r>
      <w:r>
        <w:rPr>
          <w:rFonts w:ascii="Tahoma" w:hAnsi="Tahoma" w:cs="Tahoma"/>
          <w:color w:val="auto"/>
        </w:rPr>
        <w:t>.</w:t>
      </w:r>
    </w:p>
    <w:p w:rsidR="003A25C9" w:rsidRDefault="003A25C9">
      <w:pPr>
        <w:pStyle w:val="Zkladntext"/>
        <w:jc w:val="both"/>
        <w:rPr>
          <w:rFonts w:ascii="Tahoma" w:hAnsi="Tahoma" w:cs="Tahoma"/>
          <w:color w:val="auto"/>
        </w:rPr>
      </w:pPr>
    </w:p>
    <w:p w:rsidR="00FA69BF" w:rsidRPr="000C4FF7" w:rsidRDefault="00FA69BF" w:rsidP="000C4FF7">
      <w:pPr>
        <w:pStyle w:val="Bezmezer"/>
        <w:numPr>
          <w:ilvl w:val="1"/>
          <w:numId w:val="14"/>
        </w:numPr>
        <w:jc w:val="both"/>
        <w:rPr>
          <w:rFonts w:ascii="Tahoma" w:eastAsia="Times New Roman" w:hAnsi="Tahoma" w:cs="Tahoma"/>
          <w:snapToGrid w:val="0"/>
          <w:sz w:val="24"/>
          <w:szCs w:val="20"/>
          <w:lang w:eastAsia="cs-CZ"/>
        </w:rPr>
      </w:pP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Předmětem zakázky je </w:t>
      </w:r>
      <w:r w:rsid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také </w:t>
      </w:r>
      <w:r w:rsidRPr="00FA69BF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spolupráce s</w:t>
      </w: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Odběr</w:t>
      </w: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atelem na zpracování obsahu samostatné inzerce a PR článků, </w:t>
      </w:r>
      <w:r w:rsidRPr="00FA69BF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a to formou konzultace s</w:t>
      </w: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Odběr</w:t>
      </w: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 xml:space="preserve">atelem, realizace textových návrhů a proces odsouhlasení finální podoby inzerce s </w:t>
      </w:r>
      <w:r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Odběra</w:t>
      </w:r>
      <w:r w:rsidRPr="000C4FF7">
        <w:rPr>
          <w:rFonts w:ascii="Tahoma" w:eastAsia="Times New Roman" w:hAnsi="Tahoma" w:cs="Tahoma"/>
          <w:snapToGrid w:val="0"/>
          <w:sz w:val="24"/>
          <w:szCs w:val="20"/>
          <w:lang w:eastAsia="cs-CZ"/>
        </w:rPr>
        <w:t>telem včetně její gramatické a stylistické korektury, apod. Součástí dodávky je dále také kreativní grafický návrh inzerce, definování obsahu inzerce v minimálním rozsahu 4 typů obsahu a 2 grafických návrhu pro níže definovaný rozsah:</w:t>
      </w:r>
    </w:p>
    <w:p w:rsidR="003A25C9" w:rsidRDefault="003A25C9" w:rsidP="000C4FF7">
      <w:pPr>
        <w:pStyle w:val="Bezmezer"/>
        <w:ind w:left="709"/>
        <w:jc w:val="both"/>
        <w:rPr>
          <w:rFonts w:ascii="Tahoma" w:hAnsi="Tahoma" w:cs="Tahoma"/>
          <w:sz w:val="24"/>
          <w:szCs w:val="24"/>
        </w:rPr>
      </w:pPr>
    </w:p>
    <w:p w:rsidR="0063318E" w:rsidRPr="0063318E" w:rsidRDefault="0063318E" w:rsidP="0063318E">
      <w:pPr>
        <w:pStyle w:val="Bezmezer"/>
        <w:ind w:left="720"/>
        <w:jc w:val="both"/>
        <w:rPr>
          <w:rFonts w:ascii="Tahoma" w:hAnsi="Tahoma" w:cs="Tahoma"/>
          <w:szCs w:val="24"/>
        </w:rPr>
      </w:pPr>
    </w:p>
    <w:p w:rsidR="0063318E" w:rsidRDefault="0063318E" w:rsidP="0063318E">
      <w:pPr>
        <w:pStyle w:val="Odstavecseseznamem"/>
        <w:rPr>
          <w:rFonts w:ascii="Tahoma" w:hAnsi="Tahoma" w:cs="Tahoma"/>
          <w:szCs w:val="24"/>
        </w:rPr>
      </w:pPr>
    </w:p>
    <w:p w:rsidR="00133455" w:rsidRPr="00511FF8" w:rsidRDefault="00511FF8" w:rsidP="004750DD">
      <w:pPr>
        <w:pStyle w:val="Bezmezer"/>
        <w:numPr>
          <w:ilvl w:val="1"/>
          <w:numId w:val="14"/>
        </w:numPr>
        <w:jc w:val="both"/>
        <w:rPr>
          <w:rFonts w:ascii="Tahoma" w:hAnsi="Tahoma" w:cs="Tahoma"/>
          <w:szCs w:val="24"/>
        </w:rPr>
      </w:pPr>
      <w:r w:rsidRPr="00511FF8">
        <w:rPr>
          <w:rFonts w:ascii="Tahoma" w:hAnsi="Tahoma" w:cs="Tahoma"/>
          <w:sz w:val="24"/>
          <w:szCs w:val="24"/>
        </w:rPr>
        <w:t>Pro detailní specifikaci rozsahu díla jsou závazné přílohy této smlouvy a to v pořadí – Příloha č.1 Zadávací dokumentace a Přílo</w:t>
      </w:r>
      <w:r>
        <w:rPr>
          <w:rFonts w:ascii="Tahoma" w:hAnsi="Tahoma" w:cs="Tahoma"/>
          <w:sz w:val="24"/>
          <w:szCs w:val="24"/>
        </w:rPr>
        <w:t>ha č.2 Nabídka a této smlouvy. Pořadí je směrodatné při rozdílu v jednotlivých dokumentech.</w:t>
      </w:r>
    </w:p>
    <w:p w:rsidR="003A25C9" w:rsidRDefault="003A25C9" w:rsidP="003A25C9">
      <w:pPr>
        <w:pStyle w:val="Bezmezer"/>
        <w:numPr>
          <w:ilvl w:val="1"/>
          <w:numId w:val="1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Inzerce v rozsahu a dle specifikace:</w:t>
      </w:r>
    </w:p>
    <w:p w:rsidR="003A25C9" w:rsidRDefault="003A25C9" w:rsidP="003A25C9">
      <w:pPr>
        <w:pStyle w:val="Bezmezer"/>
        <w:ind w:left="720"/>
        <w:jc w:val="both"/>
        <w:rPr>
          <w:rFonts w:ascii="Tahoma" w:hAnsi="Tahoma" w:cs="Tahoma"/>
          <w:sz w:val="24"/>
          <w:szCs w:val="24"/>
        </w:rPr>
      </w:pPr>
    </w:p>
    <w:p w:rsidR="00FA69BF" w:rsidRPr="000C4FF7" w:rsidRDefault="00FA69BF" w:rsidP="000C4FF7">
      <w:pPr>
        <w:pStyle w:val="Odstavecseseznamem"/>
        <w:numPr>
          <w:ilvl w:val="2"/>
          <w:numId w:val="17"/>
        </w:numPr>
        <w:spacing w:after="200" w:line="276" w:lineRule="auto"/>
        <w:contextualSpacing/>
        <w:jc w:val="both"/>
        <w:rPr>
          <w:rFonts w:ascii="Tahoma" w:hAnsi="Tahoma" w:cs="Tahoma"/>
          <w:szCs w:val="24"/>
        </w:rPr>
      </w:pPr>
      <w:r w:rsidRPr="000C4FF7">
        <w:rPr>
          <w:rFonts w:ascii="Tahoma" w:hAnsi="Tahoma" w:cs="Tahoma"/>
          <w:szCs w:val="24"/>
        </w:rPr>
        <w:t>Inzerce v kombinaci s PR článkem v celostátním tisku ekonomického zaměření, a to buď v samotném periodiku, nebo jeho odborné příloze.</w:t>
      </w:r>
    </w:p>
    <w:p w:rsidR="00FA69BF" w:rsidRPr="000C4FF7" w:rsidRDefault="00FA69BF" w:rsidP="000C4FF7">
      <w:pPr>
        <w:ind w:left="1416"/>
        <w:jc w:val="both"/>
        <w:rPr>
          <w:rFonts w:ascii="Tahoma" w:hAnsi="Tahoma" w:cs="Tahoma"/>
          <w:szCs w:val="24"/>
        </w:rPr>
      </w:pPr>
      <w:r w:rsidRPr="000C4FF7">
        <w:rPr>
          <w:rFonts w:ascii="Tahoma" w:hAnsi="Tahoma" w:cs="Tahoma"/>
          <w:szCs w:val="24"/>
        </w:rPr>
        <w:t>Inzerce musí být realizována minimálně ve 2 rozdílných titulech, v níže uvedeném rozsahu:</w:t>
      </w:r>
    </w:p>
    <w:p w:rsidR="00FA69BF" w:rsidRPr="000C4FF7" w:rsidRDefault="00FA69BF" w:rsidP="00FA69BF">
      <w:pPr>
        <w:pStyle w:val="Bezmezer"/>
        <w:numPr>
          <w:ilvl w:val="0"/>
          <w:numId w:val="16"/>
        </w:numPr>
        <w:ind w:left="1418" w:hanging="709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8 x inzerát ve formátu A4</w:t>
      </w:r>
    </w:p>
    <w:p w:rsidR="00FA69BF" w:rsidRPr="000C4FF7" w:rsidRDefault="00FA69BF" w:rsidP="00FA69BF">
      <w:pPr>
        <w:pStyle w:val="Bezmezer"/>
        <w:numPr>
          <w:ilvl w:val="0"/>
          <w:numId w:val="16"/>
        </w:numPr>
        <w:ind w:left="1418" w:hanging="709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S tím že se bude jednat o 4 x specifický PR článek s možností 2 opakování jednoho článku a inzercí</w:t>
      </w:r>
    </w:p>
    <w:p w:rsidR="00FA69BF" w:rsidRPr="000C4FF7" w:rsidRDefault="00FA69BF" w:rsidP="00FA69BF">
      <w:pPr>
        <w:pStyle w:val="Bezmezer"/>
        <w:numPr>
          <w:ilvl w:val="0"/>
          <w:numId w:val="16"/>
        </w:numPr>
        <w:ind w:left="1418" w:hanging="709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2 varianty grafického řešení inzerátu</w:t>
      </w:r>
    </w:p>
    <w:p w:rsidR="00FA69BF" w:rsidRPr="000C4FF7" w:rsidRDefault="00FA69BF" w:rsidP="00FA69BF">
      <w:pPr>
        <w:pStyle w:val="Bezmezer"/>
        <w:rPr>
          <w:rFonts w:ascii="Tahoma" w:hAnsi="Tahoma" w:cs="Tahoma"/>
          <w:sz w:val="24"/>
          <w:szCs w:val="24"/>
        </w:rPr>
      </w:pPr>
    </w:p>
    <w:p w:rsidR="00FA69BF" w:rsidRPr="000C4FF7" w:rsidRDefault="00FA69BF" w:rsidP="000C4FF7">
      <w:pPr>
        <w:pStyle w:val="Bezmezer"/>
        <w:ind w:left="708" w:firstLine="708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Výstup: realizovaná inzerce v tisku</w:t>
      </w:r>
    </w:p>
    <w:p w:rsidR="002E7A94" w:rsidRDefault="002E7A94" w:rsidP="002E7A94">
      <w:pPr>
        <w:pStyle w:val="Bezmezer"/>
        <w:ind w:left="851"/>
        <w:rPr>
          <w:rFonts w:ascii="Tahoma" w:hAnsi="Tahoma" w:cs="Tahoma"/>
          <w:sz w:val="24"/>
          <w:szCs w:val="24"/>
        </w:rPr>
      </w:pPr>
    </w:p>
    <w:p w:rsidR="005E3118" w:rsidRDefault="005E3118" w:rsidP="000C4FF7">
      <w:pPr>
        <w:pStyle w:val="Odstavecseseznamem"/>
        <w:numPr>
          <w:ilvl w:val="2"/>
          <w:numId w:val="17"/>
        </w:numPr>
        <w:contextualSpacing/>
        <w:jc w:val="both"/>
        <w:rPr>
          <w:rFonts w:ascii="Tahoma" w:hAnsi="Tahoma" w:cs="Tahoma"/>
          <w:szCs w:val="24"/>
        </w:rPr>
      </w:pPr>
      <w:r w:rsidRPr="000C4FF7">
        <w:rPr>
          <w:rFonts w:ascii="Tahoma" w:hAnsi="Tahoma" w:cs="Tahoma"/>
          <w:szCs w:val="24"/>
        </w:rPr>
        <w:t>Inzerce v kombinaci s PR článkem v celostátním specializovaném tisku IT zaměření, a to buď v samotném periodiku, nebo jeho odborné příloze.</w:t>
      </w:r>
    </w:p>
    <w:p w:rsidR="005E3118" w:rsidRPr="000C4FF7" w:rsidRDefault="005E3118" w:rsidP="000C4FF7">
      <w:pPr>
        <w:pStyle w:val="Odstavecseseznamem"/>
        <w:ind w:left="1800"/>
        <w:contextualSpacing/>
        <w:jc w:val="both"/>
        <w:rPr>
          <w:rFonts w:ascii="Tahoma" w:hAnsi="Tahoma" w:cs="Tahoma"/>
          <w:szCs w:val="24"/>
        </w:rPr>
      </w:pPr>
    </w:p>
    <w:p w:rsidR="005E3118" w:rsidRDefault="005E3118" w:rsidP="000C4FF7">
      <w:pPr>
        <w:ind w:left="1800"/>
        <w:jc w:val="both"/>
        <w:rPr>
          <w:rFonts w:ascii="Tahoma" w:hAnsi="Tahoma" w:cs="Tahoma"/>
          <w:szCs w:val="24"/>
        </w:rPr>
      </w:pPr>
      <w:r w:rsidRPr="000C4FF7">
        <w:rPr>
          <w:rFonts w:ascii="Tahoma" w:hAnsi="Tahoma" w:cs="Tahoma"/>
          <w:szCs w:val="24"/>
        </w:rPr>
        <w:t>Inzerce musí být minimálně ve 2 rozdílných časopisech</w:t>
      </w:r>
      <w:r>
        <w:rPr>
          <w:rFonts w:ascii="Tahoma" w:hAnsi="Tahoma" w:cs="Tahoma"/>
          <w:szCs w:val="24"/>
        </w:rPr>
        <w:t xml:space="preserve">, </w:t>
      </w:r>
      <w:r w:rsidRPr="000C4FF7">
        <w:rPr>
          <w:rFonts w:ascii="Tahoma" w:hAnsi="Tahoma" w:cs="Tahoma"/>
          <w:szCs w:val="24"/>
        </w:rPr>
        <w:t>v níže uvedeném rozsahu:</w:t>
      </w:r>
    </w:p>
    <w:p w:rsidR="005E3118" w:rsidRPr="000C4FF7" w:rsidRDefault="005E3118" w:rsidP="000C4FF7">
      <w:pPr>
        <w:ind w:left="1800"/>
        <w:jc w:val="both"/>
        <w:rPr>
          <w:rFonts w:ascii="Tahoma" w:hAnsi="Tahoma" w:cs="Tahoma"/>
          <w:szCs w:val="24"/>
        </w:rPr>
      </w:pPr>
    </w:p>
    <w:p w:rsidR="005E3118" w:rsidRPr="000C4FF7" w:rsidRDefault="005E3118" w:rsidP="005E3118">
      <w:pPr>
        <w:pStyle w:val="Bezmezer"/>
        <w:numPr>
          <w:ilvl w:val="0"/>
          <w:numId w:val="18"/>
        </w:numPr>
        <w:ind w:hanging="11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8 x inzerát ve formátu A4</w:t>
      </w:r>
    </w:p>
    <w:p w:rsidR="005E3118" w:rsidRPr="000C4FF7" w:rsidRDefault="005E3118" w:rsidP="005E3118">
      <w:pPr>
        <w:pStyle w:val="Bezmezer"/>
        <w:numPr>
          <w:ilvl w:val="0"/>
          <w:numId w:val="18"/>
        </w:numPr>
        <w:ind w:left="1418" w:hanging="709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S tím že se bude jednat o 4 x specifický PR článek s možností 2 opakování jednoho článku a inzercí</w:t>
      </w:r>
    </w:p>
    <w:p w:rsidR="005E3118" w:rsidRPr="000C4FF7" w:rsidRDefault="005E3118" w:rsidP="005E3118">
      <w:pPr>
        <w:pStyle w:val="Bezmezer"/>
        <w:numPr>
          <w:ilvl w:val="0"/>
          <w:numId w:val="18"/>
        </w:numPr>
        <w:ind w:hanging="11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2 varianty grafického řešení inzerátu</w:t>
      </w:r>
    </w:p>
    <w:p w:rsidR="005E3118" w:rsidRDefault="005E3118" w:rsidP="000C4FF7">
      <w:pPr>
        <w:pStyle w:val="Bezmezer"/>
        <w:ind w:left="1416"/>
        <w:rPr>
          <w:rFonts w:ascii="Tahoma" w:hAnsi="Tahoma" w:cs="Tahoma"/>
          <w:sz w:val="24"/>
          <w:szCs w:val="24"/>
        </w:rPr>
      </w:pPr>
    </w:p>
    <w:p w:rsidR="005E3118" w:rsidRPr="000C4FF7" w:rsidRDefault="005E3118" w:rsidP="000C4FF7">
      <w:pPr>
        <w:pStyle w:val="Bezmezer"/>
        <w:ind w:left="1416"/>
        <w:rPr>
          <w:rFonts w:ascii="Tahoma" w:hAnsi="Tahoma" w:cs="Tahoma"/>
          <w:sz w:val="24"/>
          <w:szCs w:val="24"/>
        </w:rPr>
      </w:pPr>
      <w:r w:rsidRPr="000C4FF7">
        <w:rPr>
          <w:rFonts w:ascii="Tahoma" w:hAnsi="Tahoma" w:cs="Tahoma"/>
          <w:sz w:val="24"/>
          <w:szCs w:val="24"/>
        </w:rPr>
        <w:t>Výstup: realizovaná inzerce v tisku</w:t>
      </w:r>
    </w:p>
    <w:p w:rsidR="002E7A94" w:rsidRPr="005E3118" w:rsidRDefault="002E7A94" w:rsidP="002E7A94">
      <w:pPr>
        <w:pStyle w:val="Bezmezer"/>
        <w:ind w:left="851"/>
        <w:rPr>
          <w:rFonts w:ascii="Tahoma" w:hAnsi="Tahoma" w:cs="Tahoma"/>
          <w:sz w:val="24"/>
          <w:szCs w:val="24"/>
        </w:rPr>
      </w:pP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Čl. II.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Cena a platební podmínky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</w:p>
    <w:p w:rsidR="00CA36B3" w:rsidRDefault="00CC47C2">
      <w:pPr>
        <w:pStyle w:val="Zkladntext"/>
        <w:numPr>
          <w:ilvl w:val="0"/>
          <w:numId w:val="3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Odběratel </w:t>
      </w:r>
      <w:r w:rsidR="00CA36B3">
        <w:rPr>
          <w:rFonts w:ascii="Tahoma" w:hAnsi="Tahoma" w:cs="Tahoma"/>
          <w:color w:val="auto"/>
        </w:rPr>
        <w:t xml:space="preserve">se zavazuje, že za propagační aktivity podle čl. II. této smlouvy zaplatí </w:t>
      </w:r>
      <w:r w:rsidR="003A5D86">
        <w:rPr>
          <w:rFonts w:ascii="Tahoma" w:hAnsi="Tahoma" w:cs="Tahoma"/>
          <w:color w:val="auto"/>
        </w:rPr>
        <w:t xml:space="preserve">celkovou </w:t>
      </w:r>
      <w:r w:rsidR="00CA36B3">
        <w:rPr>
          <w:rFonts w:ascii="Tahoma" w:hAnsi="Tahoma" w:cs="Tahoma"/>
          <w:color w:val="auto"/>
        </w:rPr>
        <w:t xml:space="preserve">částku </w:t>
      </w:r>
      <w:r w:rsidR="003A5D86" w:rsidRPr="003A5D86">
        <w:rPr>
          <w:rFonts w:ascii="Tahoma" w:hAnsi="Tahoma" w:cs="Tahoma"/>
          <w:b/>
          <w:color w:val="auto"/>
          <w:highlight w:val="yellow"/>
        </w:rPr>
        <w:t>………..</w:t>
      </w:r>
      <w:r w:rsidR="00CA36B3" w:rsidRPr="003A5D86">
        <w:rPr>
          <w:rFonts w:ascii="Tahoma" w:hAnsi="Tahoma" w:cs="Tahoma"/>
          <w:b/>
          <w:color w:val="auto"/>
          <w:highlight w:val="yellow"/>
        </w:rPr>
        <w:t>,- Kč</w:t>
      </w:r>
      <w:r w:rsidR="00CA36B3">
        <w:rPr>
          <w:rFonts w:ascii="Tahoma" w:hAnsi="Tahoma" w:cs="Tahoma"/>
          <w:color w:val="auto"/>
        </w:rPr>
        <w:t xml:space="preserve"> + 21 % DPH. </w:t>
      </w:r>
    </w:p>
    <w:p w:rsidR="000C4FF7" w:rsidRDefault="000C4FF7" w:rsidP="000C4FF7">
      <w:pPr>
        <w:pStyle w:val="Zkladntext"/>
        <w:ind w:left="705"/>
        <w:jc w:val="both"/>
        <w:rPr>
          <w:rFonts w:ascii="Tahoma" w:hAnsi="Tahoma" w:cs="Tahoma"/>
          <w:color w:val="auto"/>
        </w:rPr>
      </w:pPr>
    </w:p>
    <w:p w:rsidR="005C0671" w:rsidRDefault="00CA36B3" w:rsidP="005C0671">
      <w:pPr>
        <w:pStyle w:val="Zkladntext"/>
        <w:numPr>
          <w:ilvl w:val="0"/>
          <w:numId w:val="3"/>
        </w:numPr>
        <w:jc w:val="both"/>
        <w:rPr>
          <w:rFonts w:ascii="Tahoma" w:hAnsi="Tahoma" w:cs="Tahoma"/>
          <w:color w:val="auto"/>
        </w:rPr>
      </w:pPr>
      <w:r w:rsidRPr="005C0671">
        <w:rPr>
          <w:rFonts w:ascii="Tahoma" w:hAnsi="Tahoma" w:cs="Tahoma"/>
          <w:color w:val="auto"/>
        </w:rPr>
        <w:t>Cena bude zaplacena</w:t>
      </w:r>
      <w:r w:rsidR="003A5D86">
        <w:rPr>
          <w:rFonts w:ascii="Tahoma" w:hAnsi="Tahoma" w:cs="Tahoma"/>
          <w:color w:val="auto"/>
        </w:rPr>
        <w:t xml:space="preserve"> na základě faktur vystavených D</w:t>
      </w:r>
      <w:r w:rsidRPr="005C0671">
        <w:rPr>
          <w:rFonts w:ascii="Tahoma" w:hAnsi="Tahoma" w:cs="Tahoma"/>
          <w:color w:val="auto"/>
        </w:rPr>
        <w:t xml:space="preserve">odavatelem, a to na bankovní účet </w:t>
      </w:r>
      <w:r w:rsidR="003A5D86">
        <w:rPr>
          <w:rFonts w:ascii="Tahoma" w:hAnsi="Tahoma" w:cs="Tahoma"/>
          <w:color w:val="auto"/>
        </w:rPr>
        <w:t xml:space="preserve">uvedený v záhlaví smlouvy. Fakturace bude probíhat měsíčně k poslednímu dni daného měsíce za uskutečněnou </w:t>
      </w:r>
      <w:r w:rsidR="000C4FF7">
        <w:rPr>
          <w:rFonts w:ascii="Tahoma" w:hAnsi="Tahoma" w:cs="Tahoma"/>
          <w:color w:val="auto"/>
        </w:rPr>
        <w:t>dodávku prací a služeb (</w:t>
      </w:r>
      <w:r w:rsidR="003A5D86">
        <w:rPr>
          <w:rFonts w:ascii="Tahoma" w:hAnsi="Tahoma" w:cs="Tahoma"/>
          <w:color w:val="auto"/>
        </w:rPr>
        <w:t>inzerci</w:t>
      </w:r>
      <w:r w:rsidR="000C4FF7">
        <w:rPr>
          <w:rFonts w:ascii="Tahoma" w:hAnsi="Tahoma" w:cs="Tahoma"/>
          <w:color w:val="auto"/>
        </w:rPr>
        <w:t>)</w:t>
      </w:r>
      <w:r w:rsidR="003A5D86">
        <w:rPr>
          <w:rFonts w:ascii="Tahoma" w:hAnsi="Tahoma" w:cs="Tahoma"/>
          <w:color w:val="auto"/>
        </w:rPr>
        <w:t xml:space="preserve"> v daném měsíci.</w:t>
      </w:r>
    </w:p>
    <w:p w:rsidR="000C4FF7" w:rsidRDefault="000C4FF7" w:rsidP="000C4FF7">
      <w:pPr>
        <w:pStyle w:val="Zkladntext"/>
        <w:ind w:left="705"/>
        <w:jc w:val="both"/>
        <w:rPr>
          <w:rFonts w:ascii="Tahoma" w:hAnsi="Tahoma" w:cs="Tahoma"/>
          <w:color w:val="auto"/>
        </w:rPr>
      </w:pPr>
    </w:p>
    <w:p w:rsidR="0063318E" w:rsidRDefault="0063318E">
      <w:pPr>
        <w:rPr>
          <w:rFonts w:ascii="Tahoma" w:hAnsi="Tahoma" w:cs="Tahoma"/>
          <w:snapToGrid w:val="0"/>
        </w:rPr>
      </w:pPr>
      <w:r>
        <w:rPr>
          <w:rFonts w:ascii="Tahoma" w:hAnsi="Tahoma" w:cs="Tahoma"/>
        </w:rPr>
        <w:br w:type="page"/>
      </w:r>
    </w:p>
    <w:p w:rsidR="0063318E" w:rsidRDefault="0063318E" w:rsidP="0063318E">
      <w:pPr>
        <w:pStyle w:val="Zkladntext"/>
        <w:ind w:left="705"/>
        <w:jc w:val="both"/>
        <w:rPr>
          <w:rFonts w:ascii="Tahoma" w:hAnsi="Tahoma" w:cs="Tahoma"/>
          <w:color w:val="auto"/>
        </w:rPr>
      </w:pPr>
    </w:p>
    <w:p w:rsidR="003A5D86" w:rsidRDefault="003A5D86" w:rsidP="005C0671">
      <w:pPr>
        <w:pStyle w:val="Zkladntext"/>
        <w:numPr>
          <w:ilvl w:val="0"/>
          <w:numId w:val="3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Smluvní strany se dohodly na splatnosti 30 dnů od data doručení faktury Odběrateli.</w:t>
      </w:r>
      <w:r w:rsidR="000C4FF7">
        <w:rPr>
          <w:rFonts w:ascii="Tahoma" w:hAnsi="Tahoma" w:cs="Tahoma"/>
          <w:color w:val="auto"/>
        </w:rPr>
        <w:t xml:space="preserve"> V případě pozdní úhrady je Odběratel povinen uhradit smluvní pokutu ve výši 0,01% z dlužné částky za každý den.</w:t>
      </w:r>
    </w:p>
    <w:p w:rsidR="000C4FF7" w:rsidRDefault="000C4FF7" w:rsidP="000C4FF7">
      <w:pPr>
        <w:pStyle w:val="Odstavecseseznamem"/>
        <w:rPr>
          <w:rFonts w:ascii="Tahoma" w:hAnsi="Tahoma" w:cs="Tahoma"/>
        </w:rPr>
      </w:pPr>
    </w:p>
    <w:p w:rsidR="00CC47C2" w:rsidRPr="0063318E" w:rsidRDefault="000C4FF7" w:rsidP="000C4FF7">
      <w:pPr>
        <w:pStyle w:val="Zkladntext"/>
        <w:numPr>
          <w:ilvl w:val="0"/>
          <w:numId w:val="3"/>
        </w:numPr>
        <w:jc w:val="both"/>
        <w:rPr>
          <w:rFonts w:ascii="Tahoma" w:hAnsi="Tahoma" w:cs="Tahoma"/>
          <w:b/>
        </w:rPr>
      </w:pPr>
      <w:r w:rsidRPr="000C4FF7">
        <w:rPr>
          <w:rFonts w:ascii="Tahoma" w:hAnsi="Tahoma" w:cs="Tahoma"/>
          <w:color w:val="auto"/>
        </w:rPr>
        <w:t>V případě, že Dodavatel nezajistí dodávku služeb dle schváleného harmonogramu je povinen uhradit smluvní pokutu ve výši 1% z ceny nedodaných služeb za každý den prodlení. V případě prodlení o déle než 30 dnů je Odběratel oprávněn odstoupit od této smlouvy.</w:t>
      </w:r>
    </w:p>
    <w:p w:rsidR="0063318E" w:rsidRDefault="0063318E" w:rsidP="0063318E">
      <w:pPr>
        <w:pStyle w:val="Odstavecseseznamem"/>
        <w:rPr>
          <w:rFonts w:ascii="Tahoma" w:hAnsi="Tahoma" w:cs="Tahoma"/>
          <w:b/>
        </w:rPr>
      </w:pP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Čl. I</w:t>
      </w:r>
      <w:r w:rsidR="00133455">
        <w:rPr>
          <w:rFonts w:ascii="Tahoma" w:hAnsi="Tahoma" w:cs="Tahoma"/>
          <w:b/>
          <w:color w:val="auto"/>
        </w:rPr>
        <w:t>II</w:t>
      </w:r>
      <w:r>
        <w:rPr>
          <w:rFonts w:ascii="Tahoma" w:hAnsi="Tahoma" w:cs="Tahoma"/>
          <w:b/>
          <w:color w:val="auto"/>
        </w:rPr>
        <w:t>.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Platnost smlouvy a její předčasné ukončení</w:t>
      </w:r>
    </w:p>
    <w:p w:rsidR="00CA36B3" w:rsidRDefault="00CA36B3">
      <w:pPr>
        <w:pStyle w:val="Zkladntext"/>
        <w:jc w:val="both"/>
        <w:rPr>
          <w:rFonts w:ascii="Tahoma" w:hAnsi="Tahoma" w:cs="Tahoma"/>
          <w:color w:val="auto"/>
        </w:rPr>
      </w:pPr>
    </w:p>
    <w:p w:rsidR="000C4FF7" w:rsidRDefault="00CA36B3" w:rsidP="0020538C">
      <w:pPr>
        <w:pStyle w:val="Zkladntex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Smlouva se uzavírá na dobu určitou, a to od data podpisu této smlouvy do </w:t>
      </w:r>
      <w:r w:rsidR="003A5D86">
        <w:rPr>
          <w:rFonts w:ascii="Tahoma" w:hAnsi="Tahoma" w:cs="Tahoma"/>
          <w:color w:val="auto"/>
        </w:rPr>
        <w:t>30</w:t>
      </w:r>
      <w:r>
        <w:rPr>
          <w:rFonts w:ascii="Tahoma" w:hAnsi="Tahoma" w:cs="Tahoma"/>
          <w:color w:val="auto"/>
        </w:rPr>
        <w:t>.</w:t>
      </w:r>
      <w:r w:rsidR="003A5D86">
        <w:rPr>
          <w:rFonts w:ascii="Tahoma" w:hAnsi="Tahoma" w:cs="Tahoma"/>
          <w:color w:val="auto"/>
        </w:rPr>
        <w:t>6</w:t>
      </w:r>
      <w:r>
        <w:rPr>
          <w:rFonts w:ascii="Tahoma" w:hAnsi="Tahoma" w:cs="Tahoma"/>
          <w:color w:val="auto"/>
        </w:rPr>
        <w:t>.201</w:t>
      </w:r>
      <w:r w:rsidR="00CC47C2">
        <w:rPr>
          <w:rFonts w:ascii="Tahoma" w:hAnsi="Tahoma" w:cs="Tahoma"/>
          <w:color w:val="auto"/>
        </w:rPr>
        <w:t>9</w:t>
      </w:r>
      <w:r>
        <w:rPr>
          <w:rFonts w:ascii="Tahoma" w:hAnsi="Tahoma" w:cs="Tahoma"/>
          <w:color w:val="auto"/>
        </w:rPr>
        <w:t>. Pokud závazky obou stran nebudou k tomuto datu vyrovnány, prodlužuje se platnost smlouvy až do vyrovnání závazků.</w:t>
      </w:r>
    </w:p>
    <w:p w:rsidR="00CA36B3" w:rsidRPr="0020538C" w:rsidRDefault="00CA36B3" w:rsidP="000C4FF7">
      <w:pPr>
        <w:pStyle w:val="Zkladntext"/>
        <w:ind w:left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 </w:t>
      </w:r>
    </w:p>
    <w:p w:rsidR="00CA36B3" w:rsidRDefault="00CA36B3" w:rsidP="0020538C">
      <w:pPr>
        <w:pStyle w:val="Zkladntex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Každá ze smluvních stran této smlouvy je oprávněna od ní odstoupit pouze za podmínek stanovených zákonem.</w:t>
      </w:r>
    </w:p>
    <w:p w:rsidR="000C4FF7" w:rsidRPr="0020538C" w:rsidRDefault="000C4FF7" w:rsidP="000C4FF7">
      <w:pPr>
        <w:pStyle w:val="Zkladntext"/>
        <w:ind w:left="705"/>
        <w:jc w:val="both"/>
        <w:rPr>
          <w:rFonts w:ascii="Tahoma" w:hAnsi="Tahoma" w:cs="Tahoma"/>
          <w:color w:val="auto"/>
        </w:rPr>
      </w:pPr>
    </w:p>
    <w:p w:rsidR="005C0671" w:rsidRDefault="003A5D86" w:rsidP="0020538C">
      <w:pPr>
        <w:pStyle w:val="Zkladntex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Odběratel</w:t>
      </w:r>
      <w:r w:rsidR="00CA36B3">
        <w:rPr>
          <w:rFonts w:ascii="Tahoma" w:hAnsi="Tahoma" w:cs="Tahoma"/>
          <w:color w:val="auto"/>
        </w:rPr>
        <w:t xml:space="preserve"> je navíc oprávněn od smlouvy odstoupit, pokud </w:t>
      </w:r>
      <w:r w:rsidR="00CC47C2">
        <w:rPr>
          <w:rFonts w:ascii="Tahoma" w:hAnsi="Tahoma" w:cs="Tahoma"/>
          <w:color w:val="auto"/>
        </w:rPr>
        <w:t>D</w:t>
      </w:r>
      <w:r w:rsidR="00CA36B3">
        <w:rPr>
          <w:rFonts w:ascii="Tahoma" w:hAnsi="Tahoma" w:cs="Tahoma"/>
          <w:color w:val="auto"/>
        </w:rPr>
        <w:t>odavatel podstatným způsobem poruší své povinnosti z této smlouvy vyplývající.</w:t>
      </w:r>
    </w:p>
    <w:p w:rsidR="000C4FF7" w:rsidRPr="0020538C" w:rsidRDefault="000C4FF7" w:rsidP="000C4FF7">
      <w:pPr>
        <w:pStyle w:val="Zkladntext"/>
        <w:ind w:left="705"/>
        <w:jc w:val="both"/>
        <w:rPr>
          <w:rFonts w:ascii="Tahoma" w:hAnsi="Tahoma" w:cs="Tahoma"/>
          <w:color w:val="auto"/>
        </w:rPr>
      </w:pPr>
    </w:p>
    <w:p w:rsidR="005C0671" w:rsidRDefault="005C0671" w:rsidP="005C0671">
      <w:pPr>
        <w:pStyle w:val="Zkladntext"/>
        <w:numPr>
          <w:ilvl w:val="0"/>
          <w:numId w:val="5"/>
        </w:numPr>
        <w:jc w:val="both"/>
        <w:rPr>
          <w:rFonts w:ascii="Tahoma" w:hAnsi="Tahoma" w:cs="Tahoma"/>
          <w:color w:val="auto"/>
        </w:rPr>
      </w:pPr>
      <w:r w:rsidRPr="005C0671">
        <w:rPr>
          <w:rFonts w:ascii="Tahoma" w:hAnsi="Tahoma" w:cs="Tahoma"/>
          <w:color w:val="auto"/>
        </w:rPr>
        <w:t>Odstoupení od smlouvy musí být učiněno formou písemného oznámení o odstoupení, doručeného druhé smluvní straně.</w:t>
      </w:r>
    </w:p>
    <w:p w:rsidR="005C0671" w:rsidRDefault="005C0671" w:rsidP="005C0671">
      <w:pPr>
        <w:pStyle w:val="Zkladntext"/>
        <w:jc w:val="both"/>
        <w:rPr>
          <w:rFonts w:ascii="Tahoma" w:hAnsi="Tahoma" w:cs="Tahoma"/>
          <w:color w:val="auto"/>
        </w:rPr>
      </w:pP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 xml:space="preserve">Čl. </w:t>
      </w:r>
      <w:r w:rsidR="00133455">
        <w:rPr>
          <w:rFonts w:ascii="Tahoma" w:hAnsi="Tahoma" w:cs="Tahoma"/>
          <w:b/>
          <w:color w:val="auto"/>
        </w:rPr>
        <w:t>I</w:t>
      </w:r>
      <w:r>
        <w:rPr>
          <w:rFonts w:ascii="Tahoma" w:hAnsi="Tahoma" w:cs="Tahoma"/>
          <w:b/>
          <w:color w:val="auto"/>
        </w:rPr>
        <w:t>VI</w:t>
      </w:r>
    </w:p>
    <w:p w:rsidR="00CA36B3" w:rsidRDefault="00CA36B3">
      <w:pPr>
        <w:pStyle w:val="Zkladntext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Závěrečná ustanovení</w:t>
      </w:r>
    </w:p>
    <w:p w:rsidR="00CA36B3" w:rsidRDefault="00CA36B3">
      <w:pPr>
        <w:jc w:val="both"/>
        <w:rPr>
          <w:rFonts w:ascii="Tahoma" w:hAnsi="Tahoma" w:cs="Tahoma"/>
        </w:rPr>
      </w:pPr>
    </w:p>
    <w:p w:rsidR="00CA36B3" w:rsidRDefault="00CA36B3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je vyhotovena ve dvou stejnopisech s platností originálu, přičemž každá smluvní strana obdrží jedno vyhotovení.</w:t>
      </w:r>
    </w:p>
    <w:p w:rsidR="00CA36B3" w:rsidRDefault="00CA36B3" w:rsidP="00936D85">
      <w:pPr>
        <w:tabs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</w:p>
    <w:p w:rsidR="00CA36B3" w:rsidRDefault="00CA36B3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Smlouva může být měněna nebo doplňována písemně číslovanými dodatky, podepsanými oběma smluvními stranami.</w:t>
      </w:r>
    </w:p>
    <w:p w:rsidR="00CA36B3" w:rsidRDefault="00CA36B3" w:rsidP="00936D85">
      <w:pPr>
        <w:tabs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</w:p>
    <w:p w:rsidR="00CA36B3" w:rsidRDefault="00CA36B3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Smlouva nabývá platnosti a účinnosti dnem podpisu oběma smluvními stranami.</w:t>
      </w:r>
    </w:p>
    <w:p w:rsidR="00CA36B3" w:rsidRDefault="00CA36B3" w:rsidP="00936D85">
      <w:pPr>
        <w:tabs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</w:p>
    <w:p w:rsidR="0083598B" w:rsidRPr="0088189D" w:rsidRDefault="0083598B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  <w:szCs w:val="24"/>
        </w:rPr>
      </w:pPr>
      <w:r w:rsidRPr="0088189D">
        <w:rPr>
          <w:rFonts w:ascii="Tahoma" w:hAnsi="Tahoma" w:cs="Tahoma"/>
          <w:szCs w:val="24"/>
        </w:rPr>
        <w:t xml:space="preserve">Dodavatel bere na vědomí, že </w:t>
      </w:r>
      <w:r w:rsidR="00CC47C2">
        <w:rPr>
          <w:rFonts w:ascii="Tahoma" w:hAnsi="Tahoma" w:cs="Tahoma"/>
          <w:szCs w:val="24"/>
        </w:rPr>
        <w:t>Odběratel</w:t>
      </w:r>
      <w:r w:rsidRPr="0088189D">
        <w:rPr>
          <w:rFonts w:ascii="Tahoma" w:hAnsi="Tahoma" w:cs="Tahoma"/>
          <w:szCs w:val="24"/>
        </w:rPr>
        <w:t xml:space="preserve"> financuje služby dle podmínek této smlouvy z</w:t>
      </w:r>
      <w:r w:rsidR="00100DC6">
        <w:rPr>
          <w:rFonts w:ascii="Tahoma" w:hAnsi="Tahoma" w:cs="Tahoma"/>
          <w:szCs w:val="24"/>
        </w:rPr>
        <w:t> </w:t>
      </w:r>
      <w:r w:rsidRPr="0088189D">
        <w:rPr>
          <w:rFonts w:ascii="Tahoma" w:hAnsi="Tahoma" w:cs="Tahoma"/>
          <w:szCs w:val="24"/>
        </w:rPr>
        <w:t>dotace</w:t>
      </w:r>
      <w:r w:rsidR="00100DC6">
        <w:rPr>
          <w:rFonts w:ascii="Tahoma" w:hAnsi="Tahoma" w:cs="Tahoma"/>
          <w:szCs w:val="24"/>
        </w:rPr>
        <w:t>,</w:t>
      </w:r>
      <w:r w:rsidRPr="0088189D">
        <w:rPr>
          <w:rFonts w:ascii="Tahoma" w:hAnsi="Tahoma" w:cs="Tahoma"/>
          <w:szCs w:val="24"/>
        </w:rPr>
        <w:t xml:space="preserve"> z prostředků veřejné podpory a zdrojů EU, a proto se podpisem této smlouvy stává osobou povinnou spolupůsobit při výkonu finanční kontroly dle § 2 e) zákona č. 320/2001 Sb., o finanční kontrole ve veřejné správě, ve znění pozdějších předpisů.</w:t>
      </w:r>
    </w:p>
    <w:p w:rsidR="002E7A94" w:rsidRDefault="002E7A94" w:rsidP="002E7A94">
      <w:pPr>
        <w:spacing w:line="280" w:lineRule="exact"/>
        <w:ind w:left="709"/>
        <w:jc w:val="both"/>
        <w:rPr>
          <w:rFonts w:ascii="Tahoma" w:hAnsi="Tahoma" w:cs="Tahoma"/>
        </w:rPr>
      </w:pPr>
    </w:p>
    <w:p w:rsidR="0063318E" w:rsidRDefault="0063318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63318E" w:rsidRDefault="0063318E" w:rsidP="0063318E">
      <w:pPr>
        <w:spacing w:line="280" w:lineRule="exact"/>
        <w:ind w:left="709"/>
        <w:jc w:val="both"/>
        <w:rPr>
          <w:rFonts w:ascii="Tahoma" w:hAnsi="Tahoma" w:cs="Tahoma"/>
        </w:rPr>
      </w:pPr>
    </w:p>
    <w:p w:rsidR="00CA36B3" w:rsidRDefault="00CA36B3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Tuto smlouvu uzavírají obě smluvní strany svobodně a vážně a nikoliv za nápadně nevýhodných podmínek, což zástupci obou smluvních stran stvrzují svými podpisy. </w:t>
      </w:r>
    </w:p>
    <w:p w:rsidR="0063318E" w:rsidRDefault="0063318E" w:rsidP="0063318E">
      <w:pPr>
        <w:spacing w:line="280" w:lineRule="exact"/>
        <w:ind w:left="709"/>
        <w:jc w:val="both"/>
        <w:rPr>
          <w:rFonts w:ascii="Tahoma" w:hAnsi="Tahoma" w:cs="Tahoma"/>
        </w:rPr>
      </w:pPr>
    </w:p>
    <w:p w:rsidR="00511FF8" w:rsidRDefault="002E7A94" w:rsidP="00936D85">
      <w:pPr>
        <w:numPr>
          <w:ilvl w:val="0"/>
          <w:numId w:val="7"/>
        </w:numPr>
        <w:tabs>
          <w:tab w:val="clear" w:pos="360"/>
          <w:tab w:val="num" w:pos="709"/>
        </w:tabs>
        <w:spacing w:line="280" w:lineRule="exact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Přílohy</w:t>
      </w:r>
      <w:r w:rsidR="00511FF8">
        <w:rPr>
          <w:rFonts w:ascii="Tahoma" w:hAnsi="Tahoma" w:cs="Tahoma"/>
        </w:rPr>
        <w:t xml:space="preserve"> č.1 – Zadávací dokumentace</w:t>
      </w:r>
    </w:p>
    <w:p w:rsidR="002E7A94" w:rsidRDefault="00511FF8" w:rsidP="00511FF8">
      <w:pPr>
        <w:spacing w:line="280" w:lineRule="exact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č.2 </w:t>
      </w:r>
      <w:r w:rsidR="002E7A94">
        <w:rPr>
          <w:rFonts w:ascii="Tahoma" w:hAnsi="Tahoma" w:cs="Tahoma"/>
        </w:rPr>
        <w:t xml:space="preserve">- Nabídka </w:t>
      </w:r>
    </w:p>
    <w:p w:rsidR="00CA36B3" w:rsidRDefault="00CA36B3">
      <w:pPr>
        <w:pStyle w:val="Zkladntext"/>
        <w:jc w:val="both"/>
        <w:rPr>
          <w:rFonts w:ascii="Tahoma" w:hAnsi="Tahoma" w:cs="Tahoma"/>
          <w:color w:val="auto"/>
        </w:rPr>
      </w:pPr>
    </w:p>
    <w:p w:rsidR="002E7A94" w:rsidRPr="002E7A94" w:rsidRDefault="002E7A94" w:rsidP="002E7A94">
      <w:pPr>
        <w:pStyle w:val="Zkladntext"/>
        <w:jc w:val="center"/>
        <w:rPr>
          <w:rFonts w:ascii="Tahoma" w:hAnsi="Tahoma" w:cs="Tahoma"/>
          <w:b/>
          <w:color w:val="auto"/>
        </w:rPr>
      </w:pPr>
      <w:r w:rsidRPr="002E7A94">
        <w:rPr>
          <w:rFonts w:ascii="Tahoma" w:hAnsi="Tahoma" w:cs="Tahoma"/>
          <w:b/>
          <w:color w:val="auto"/>
        </w:rPr>
        <w:t>Podpisy smluvních stran:</w:t>
      </w:r>
    </w:p>
    <w:p w:rsidR="002E7A94" w:rsidRDefault="002E7A94">
      <w:pPr>
        <w:pStyle w:val="Zkladntext"/>
        <w:jc w:val="both"/>
        <w:rPr>
          <w:rFonts w:ascii="Tahoma" w:hAnsi="Tahoma" w:cs="Tahoma"/>
          <w:color w:val="auto"/>
        </w:rPr>
      </w:pP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V </w:t>
      </w:r>
      <w:r w:rsidR="0083598B">
        <w:rPr>
          <w:rFonts w:ascii="Tahoma" w:hAnsi="Tahoma" w:cs="Tahoma"/>
          <w:color w:val="auto"/>
        </w:rPr>
        <w:t>Ostravě</w:t>
      </w:r>
      <w:r>
        <w:rPr>
          <w:rFonts w:ascii="Tahoma" w:hAnsi="Tahoma" w:cs="Tahoma"/>
          <w:color w:val="auto"/>
        </w:rPr>
        <w:t xml:space="preserve"> dne:</w:t>
      </w:r>
      <w:r w:rsidR="0083598B">
        <w:rPr>
          <w:rFonts w:ascii="Tahoma" w:hAnsi="Tahoma" w:cs="Tahoma"/>
          <w:color w:val="auto"/>
        </w:rPr>
        <w:t xml:space="preserve"> </w:t>
      </w:r>
      <w:r w:rsidR="003A5D86">
        <w:rPr>
          <w:rFonts w:ascii="Tahoma" w:hAnsi="Tahoma" w:cs="Tahoma"/>
          <w:color w:val="auto"/>
        </w:rPr>
        <w:t>………………….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V </w:t>
      </w:r>
      <w:r w:rsidR="003A5D86">
        <w:rPr>
          <w:rFonts w:ascii="Tahoma" w:hAnsi="Tahoma" w:cs="Tahoma"/>
          <w:color w:val="auto"/>
        </w:rPr>
        <w:t>……..</w:t>
      </w:r>
      <w:r>
        <w:rPr>
          <w:rFonts w:ascii="Tahoma" w:hAnsi="Tahoma" w:cs="Tahoma"/>
          <w:color w:val="auto"/>
        </w:rPr>
        <w:t xml:space="preserve"> dne:</w:t>
      </w: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………………………………</w:t>
      </w:r>
      <w:r w:rsidRPr="00936D85">
        <w:rPr>
          <w:rFonts w:ascii="Tahoma" w:hAnsi="Tahoma" w:cs="Tahoma"/>
          <w:color w:val="auto"/>
        </w:rPr>
        <w:t>..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>……………………………………..</w:t>
      </w:r>
    </w:p>
    <w:p w:rsidR="00CA36B3" w:rsidRDefault="00CA36B3" w:rsidP="00936D85">
      <w:pPr>
        <w:pStyle w:val="Zkladntext"/>
        <w:ind w:firstLine="709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  </w:t>
      </w:r>
      <w:r w:rsidR="003A5D86">
        <w:rPr>
          <w:rFonts w:ascii="Tahoma" w:hAnsi="Tahoma" w:cs="Tahoma"/>
          <w:color w:val="auto"/>
        </w:rPr>
        <w:t>Odběratel</w:t>
      </w:r>
      <w:r>
        <w:rPr>
          <w:rFonts w:ascii="Tahoma" w:hAnsi="Tahoma" w:cs="Tahoma"/>
          <w:color w:val="auto"/>
        </w:rPr>
        <w:t xml:space="preserve"> </w:t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</w:r>
      <w:r>
        <w:rPr>
          <w:rFonts w:ascii="Tahoma" w:hAnsi="Tahoma" w:cs="Tahoma"/>
          <w:color w:val="auto"/>
        </w:rPr>
        <w:tab/>
        <w:t xml:space="preserve">   Dodavatel</w:t>
      </w:r>
    </w:p>
    <w:sectPr w:rsidR="00CA36B3" w:rsidSect="004E701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709" w:footer="39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D4" w:rsidRDefault="00FE11D4">
      <w:r>
        <w:separator/>
      </w:r>
    </w:p>
  </w:endnote>
  <w:endnote w:type="continuationSeparator" w:id="0">
    <w:p w:rsidR="00FE11D4" w:rsidRDefault="00FE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TE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GaramondE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8" w:rsidRDefault="004E70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D50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50E8" w:rsidRDefault="000D50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8" w:rsidRPr="00511FF8" w:rsidRDefault="00511FF8" w:rsidP="00511FF8">
    <w:pPr>
      <w:pStyle w:val="Zpat"/>
      <w:ind w:right="360"/>
      <w:jc w:val="center"/>
      <w:rPr>
        <w:rFonts w:ascii="Tahoma" w:hAnsi="Tahoma" w:cs="Tahoma"/>
      </w:rPr>
    </w:pPr>
    <w:r w:rsidRPr="00511FF8">
      <w:rPr>
        <w:rFonts w:ascii="Tahoma" w:hAnsi="Tahoma" w:cs="Tahoma"/>
      </w:rPr>
      <w:t xml:space="preserve">Stránka </w:t>
    </w:r>
    <w:r w:rsidRPr="00511FF8">
      <w:rPr>
        <w:rFonts w:ascii="Tahoma" w:hAnsi="Tahoma" w:cs="Tahoma"/>
        <w:b/>
        <w:bCs/>
      </w:rPr>
      <w:fldChar w:fldCharType="begin"/>
    </w:r>
    <w:r w:rsidRPr="00511FF8">
      <w:rPr>
        <w:rFonts w:ascii="Tahoma" w:hAnsi="Tahoma" w:cs="Tahoma"/>
        <w:b/>
        <w:bCs/>
      </w:rPr>
      <w:instrText>PAGE  \* Arabic  \* MERGEFORMAT</w:instrText>
    </w:r>
    <w:r w:rsidRPr="00511FF8">
      <w:rPr>
        <w:rFonts w:ascii="Tahoma" w:hAnsi="Tahoma" w:cs="Tahoma"/>
        <w:b/>
        <w:bCs/>
      </w:rPr>
      <w:fldChar w:fldCharType="separate"/>
    </w:r>
    <w:r w:rsidR="005C4C6C">
      <w:rPr>
        <w:rFonts w:ascii="Tahoma" w:hAnsi="Tahoma" w:cs="Tahoma"/>
        <w:b/>
        <w:bCs/>
        <w:noProof/>
      </w:rPr>
      <w:t>2</w:t>
    </w:r>
    <w:r w:rsidRPr="00511FF8">
      <w:rPr>
        <w:rFonts w:ascii="Tahoma" w:hAnsi="Tahoma" w:cs="Tahoma"/>
        <w:b/>
        <w:bCs/>
      </w:rPr>
      <w:fldChar w:fldCharType="end"/>
    </w:r>
    <w:r w:rsidRPr="00511FF8">
      <w:rPr>
        <w:rFonts w:ascii="Tahoma" w:hAnsi="Tahoma" w:cs="Tahoma"/>
      </w:rPr>
      <w:t xml:space="preserve"> z </w:t>
    </w:r>
    <w:r w:rsidRPr="00511FF8">
      <w:rPr>
        <w:rFonts w:ascii="Tahoma" w:hAnsi="Tahoma" w:cs="Tahoma"/>
        <w:b/>
        <w:bCs/>
      </w:rPr>
      <w:fldChar w:fldCharType="begin"/>
    </w:r>
    <w:r w:rsidRPr="00511FF8">
      <w:rPr>
        <w:rFonts w:ascii="Tahoma" w:hAnsi="Tahoma" w:cs="Tahoma"/>
        <w:b/>
        <w:bCs/>
      </w:rPr>
      <w:instrText>NUMPAGES  \* Arabic  \* MERGEFORMAT</w:instrText>
    </w:r>
    <w:r w:rsidRPr="00511FF8">
      <w:rPr>
        <w:rFonts w:ascii="Tahoma" w:hAnsi="Tahoma" w:cs="Tahoma"/>
        <w:b/>
        <w:bCs/>
      </w:rPr>
      <w:fldChar w:fldCharType="separate"/>
    </w:r>
    <w:r w:rsidR="005C4C6C">
      <w:rPr>
        <w:rFonts w:ascii="Tahoma" w:hAnsi="Tahoma" w:cs="Tahoma"/>
        <w:b/>
        <w:bCs/>
        <w:noProof/>
      </w:rPr>
      <w:t>4</w:t>
    </w:r>
    <w:r w:rsidRPr="00511FF8">
      <w:rPr>
        <w:rFonts w:ascii="Tahoma" w:hAnsi="Tahoma" w:cs="Tahoma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8E" w:rsidRPr="00511FF8" w:rsidRDefault="0063318E" w:rsidP="0063318E">
    <w:pPr>
      <w:pStyle w:val="Zpat"/>
      <w:ind w:right="360"/>
      <w:jc w:val="center"/>
      <w:rPr>
        <w:rFonts w:ascii="Tahoma" w:hAnsi="Tahoma" w:cs="Tahoma"/>
      </w:rPr>
    </w:pPr>
    <w:r w:rsidRPr="00511FF8">
      <w:rPr>
        <w:rFonts w:ascii="Tahoma" w:hAnsi="Tahoma" w:cs="Tahoma"/>
      </w:rPr>
      <w:t xml:space="preserve">Stránka </w:t>
    </w:r>
    <w:r w:rsidRPr="00511FF8">
      <w:rPr>
        <w:rFonts w:ascii="Tahoma" w:hAnsi="Tahoma" w:cs="Tahoma"/>
        <w:b/>
        <w:bCs/>
      </w:rPr>
      <w:fldChar w:fldCharType="begin"/>
    </w:r>
    <w:r w:rsidRPr="00511FF8">
      <w:rPr>
        <w:rFonts w:ascii="Tahoma" w:hAnsi="Tahoma" w:cs="Tahoma"/>
        <w:b/>
        <w:bCs/>
      </w:rPr>
      <w:instrText>PAGE  \* Arabic  \* MERGEFORMAT</w:instrText>
    </w:r>
    <w:r w:rsidRPr="00511FF8">
      <w:rPr>
        <w:rFonts w:ascii="Tahoma" w:hAnsi="Tahoma" w:cs="Tahoma"/>
        <w:b/>
        <w:bCs/>
      </w:rPr>
      <w:fldChar w:fldCharType="separate"/>
    </w:r>
    <w:r w:rsidR="005C4C6C">
      <w:rPr>
        <w:rFonts w:ascii="Tahoma" w:hAnsi="Tahoma" w:cs="Tahoma"/>
        <w:b/>
        <w:bCs/>
        <w:noProof/>
      </w:rPr>
      <w:t>1</w:t>
    </w:r>
    <w:r w:rsidRPr="00511FF8">
      <w:rPr>
        <w:rFonts w:ascii="Tahoma" w:hAnsi="Tahoma" w:cs="Tahoma"/>
        <w:b/>
        <w:bCs/>
      </w:rPr>
      <w:fldChar w:fldCharType="end"/>
    </w:r>
    <w:r w:rsidRPr="00511FF8">
      <w:rPr>
        <w:rFonts w:ascii="Tahoma" w:hAnsi="Tahoma" w:cs="Tahoma"/>
      </w:rPr>
      <w:t xml:space="preserve"> z </w:t>
    </w:r>
    <w:r w:rsidRPr="00511FF8">
      <w:rPr>
        <w:rFonts w:ascii="Tahoma" w:hAnsi="Tahoma" w:cs="Tahoma"/>
        <w:b/>
        <w:bCs/>
      </w:rPr>
      <w:fldChar w:fldCharType="begin"/>
    </w:r>
    <w:r w:rsidRPr="00511FF8">
      <w:rPr>
        <w:rFonts w:ascii="Tahoma" w:hAnsi="Tahoma" w:cs="Tahoma"/>
        <w:b/>
        <w:bCs/>
      </w:rPr>
      <w:instrText>NUMPAGES  \* Arabic  \* MERGEFORMAT</w:instrText>
    </w:r>
    <w:r w:rsidRPr="00511FF8">
      <w:rPr>
        <w:rFonts w:ascii="Tahoma" w:hAnsi="Tahoma" w:cs="Tahoma"/>
        <w:b/>
        <w:bCs/>
      </w:rPr>
      <w:fldChar w:fldCharType="separate"/>
    </w:r>
    <w:r w:rsidR="005C4C6C">
      <w:rPr>
        <w:rFonts w:ascii="Tahoma" w:hAnsi="Tahoma" w:cs="Tahoma"/>
        <w:b/>
        <w:bCs/>
        <w:noProof/>
      </w:rPr>
      <w:t>4</w:t>
    </w:r>
    <w:r w:rsidRPr="00511FF8">
      <w:rPr>
        <w:rFonts w:ascii="Tahoma" w:hAnsi="Tahoma" w:cs="Tahoma"/>
        <w:b/>
        <w:bCs/>
      </w:rPr>
      <w:fldChar w:fldCharType="end"/>
    </w:r>
  </w:p>
  <w:p w:rsidR="000D50E8" w:rsidRPr="0063318E" w:rsidRDefault="000D50E8" w:rsidP="00633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D4" w:rsidRDefault="00FE11D4">
      <w:r>
        <w:separator/>
      </w:r>
    </w:p>
  </w:footnote>
  <w:footnote w:type="continuationSeparator" w:id="0">
    <w:p w:rsidR="00FE11D4" w:rsidRDefault="00FE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8" w:rsidRDefault="0063318E" w:rsidP="0063318E">
    <w:pPr>
      <w:pStyle w:val="Zhlav"/>
    </w:pPr>
    <w:r>
      <w:rPr>
        <w:noProof/>
      </w:rPr>
      <w:drawing>
        <wp:inline distT="0" distB="0" distL="0" distR="0" wp14:anchorId="6E23133D" wp14:editId="52A60870">
          <wp:extent cx="1762125" cy="5486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8E" w:rsidRDefault="0063318E">
    <w:pPr>
      <w:pStyle w:val="Zhlav"/>
    </w:pPr>
    <w:r>
      <w:rPr>
        <w:noProof/>
      </w:rPr>
      <w:drawing>
        <wp:inline distT="0" distB="0" distL="0" distR="0" wp14:anchorId="6E23133D" wp14:editId="52A60870">
          <wp:extent cx="1762125" cy="548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4789"/>
    <w:multiLevelType w:val="singleLevel"/>
    <w:tmpl w:val="749AB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98195A"/>
    <w:multiLevelType w:val="singleLevel"/>
    <w:tmpl w:val="6B3412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9D23BEC"/>
    <w:multiLevelType w:val="singleLevel"/>
    <w:tmpl w:val="3E12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B42522"/>
    <w:multiLevelType w:val="hybridMultilevel"/>
    <w:tmpl w:val="7A98A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7313"/>
    <w:multiLevelType w:val="multilevel"/>
    <w:tmpl w:val="CBC49B9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2C88207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422608"/>
    <w:multiLevelType w:val="hybridMultilevel"/>
    <w:tmpl w:val="5658DC2A"/>
    <w:lvl w:ilvl="0" w:tplc="0405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5" w:hanging="360"/>
      </w:pPr>
      <w:rPr>
        <w:rFonts w:ascii="Wingdings" w:hAnsi="Wingdings" w:hint="default"/>
      </w:rPr>
    </w:lvl>
  </w:abstractNum>
  <w:abstractNum w:abstractNumId="7" w15:restartNumberingAfterBreak="0">
    <w:nsid w:val="39077CCB"/>
    <w:multiLevelType w:val="hybridMultilevel"/>
    <w:tmpl w:val="8B909B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3AF8"/>
    <w:multiLevelType w:val="singleLevel"/>
    <w:tmpl w:val="EBC8E3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6D23458"/>
    <w:multiLevelType w:val="hybridMultilevel"/>
    <w:tmpl w:val="BDAC0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8562E"/>
    <w:multiLevelType w:val="multilevel"/>
    <w:tmpl w:val="F6A489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AB00113"/>
    <w:multiLevelType w:val="hybridMultilevel"/>
    <w:tmpl w:val="BF7C8A78"/>
    <w:lvl w:ilvl="0" w:tplc="8FAE79D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FD5"/>
    <w:multiLevelType w:val="singleLevel"/>
    <w:tmpl w:val="5F50F0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59305A9D"/>
    <w:multiLevelType w:val="hybridMultilevel"/>
    <w:tmpl w:val="1CA2DB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1A0DDD"/>
    <w:multiLevelType w:val="singleLevel"/>
    <w:tmpl w:val="7FD226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8ED2109"/>
    <w:multiLevelType w:val="hybridMultilevel"/>
    <w:tmpl w:val="269219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C3CCF"/>
    <w:multiLevelType w:val="hybridMultilevel"/>
    <w:tmpl w:val="4D10B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14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7"/>
  </w:num>
  <w:num w:numId="11">
    <w:abstractNumId w:val="12"/>
    <w:lvlOverride w:ilvl="0">
      <w:startOverride w:val="1"/>
    </w:lvlOverride>
  </w:num>
  <w:num w:numId="12">
    <w:abstractNumId w:val="15"/>
  </w:num>
  <w:num w:numId="13">
    <w:abstractNumId w:val="11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85"/>
    <w:rsid w:val="00036F06"/>
    <w:rsid w:val="00071ED4"/>
    <w:rsid w:val="000C4FF7"/>
    <w:rsid w:val="000D50E8"/>
    <w:rsid w:val="000F4E7A"/>
    <w:rsid w:val="00100DC6"/>
    <w:rsid w:val="00101652"/>
    <w:rsid w:val="001163B4"/>
    <w:rsid w:val="00133455"/>
    <w:rsid w:val="0018390F"/>
    <w:rsid w:val="0020538C"/>
    <w:rsid w:val="002E174B"/>
    <w:rsid w:val="002E7A94"/>
    <w:rsid w:val="00312DFF"/>
    <w:rsid w:val="00380CA7"/>
    <w:rsid w:val="0038743F"/>
    <w:rsid w:val="003A25C9"/>
    <w:rsid w:val="003A5D86"/>
    <w:rsid w:val="00444C0C"/>
    <w:rsid w:val="0044656C"/>
    <w:rsid w:val="0045573F"/>
    <w:rsid w:val="00492B29"/>
    <w:rsid w:val="004E701F"/>
    <w:rsid w:val="00511FF8"/>
    <w:rsid w:val="00553335"/>
    <w:rsid w:val="005C0671"/>
    <w:rsid w:val="005C3B83"/>
    <w:rsid w:val="005C4C6C"/>
    <w:rsid w:val="005E3118"/>
    <w:rsid w:val="005F2057"/>
    <w:rsid w:val="0063318E"/>
    <w:rsid w:val="00734B0C"/>
    <w:rsid w:val="007B1197"/>
    <w:rsid w:val="0083598B"/>
    <w:rsid w:val="00836389"/>
    <w:rsid w:val="0088189D"/>
    <w:rsid w:val="008C18E0"/>
    <w:rsid w:val="008F7A03"/>
    <w:rsid w:val="00936D85"/>
    <w:rsid w:val="009734CB"/>
    <w:rsid w:val="00A561C7"/>
    <w:rsid w:val="00A95B76"/>
    <w:rsid w:val="00AA70DF"/>
    <w:rsid w:val="00B6047C"/>
    <w:rsid w:val="00B6200A"/>
    <w:rsid w:val="00C867DA"/>
    <w:rsid w:val="00CA36B3"/>
    <w:rsid w:val="00CC47C2"/>
    <w:rsid w:val="00CD5E46"/>
    <w:rsid w:val="00D14DDD"/>
    <w:rsid w:val="00D30271"/>
    <w:rsid w:val="00D84223"/>
    <w:rsid w:val="00DA3E15"/>
    <w:rsid w:val="00DA544B"/>
    <w:rsid w:val="00DD2BAA"/>
    <w:rsid w:val="00DE5165"/>
    <w:rsid w:val="00DF50CA"/>
    <w:rsid w:val="00E177E8"/>
    <w:rsid w:val="00E37EE7"/>
    <w:rsid w:val="00EA0100"/>
    <w:rsid w:val="00EF47C8"/>
    <w:rsid w:val="00F336D2"/>
    <w:rsid w:val="00F5118F"/>
    <w:rsid w:val="00F9292B"/>
    <w:rsid w:val="00FA69BF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A9BD389-5811-4B42-913D-052D6E8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FuturTEE" w:hAnsi="Futur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widowControl w:val="0"/>
    </w:pPr>
    <w:rPr>
      <w:rFonts w:ascii="GaramondE" w:hAnsi="GaramondE"/>
      <w:snapToGrid w:val="0"/>
      <w:color w:val="000000"/>
    </w:rPr>
  </w:style>
  <w:style w:type="character" w:styleId="slostrnky">
    <w:name w:val="page number"/>
    <w:basedOn w:val="Standardnpsmoodstavce"/>
    <w:semiHidden/>
  </w:style>
  <w:style w:type="paragraph" w:styleId="Textkomente">
    <w:name w:val="annotation text"/>
    <w:basedOn w:val="Normln"/>
    <w:link w:val="TextkomenteChar"/>
    <w:uiPriority w:val="99"/>
    <w:semiHidden/>
    <w:unhideWhenUsed/>
    <w:rsid w:val="005C3B83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5C3B83"/>
    <w:rPr>
      <w:rFonts w:ascii="FuturTEE" w:hAnsi="FuturTEE"/>
    </w:rPr>
  </w:style>
  <w:style w:type="character" w:styleId="Odkaznakoment">
    <w:name w:val="annotation reference"/>
    <w:uiPriority w:val="99"/>
    <w:semiHidden/>
    <w:unhideWhenUsed/>
    <w:rsid w:val="005C3B8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067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2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DF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A25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7608-3E0A-4A76-A07F-276123F3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PROPAGACI V RÁMCI KONFERENCE CZECH RETAIL SUMMIT 2004</vt:lpstr>
    </vt:vector>
  </TitlesOfParts>
  <Company>Incoma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PROPAGACI V RÁMCI KONFERENCE CZECH RETAIL SUMMIT 2004</dc:title>
  <dc:creator>Tomáš Krásný</dc:creator>
  <cp:lastModifiedBy>Marková Helena</cp:lastModifiedBy>
  <cp:revision>2</cp:revision>
  <cp:lastPrinted>2004-04-12T20:06:00Z</cp:lastPrinted>
  <dcterms:created xsi:type="dcterms:W3CDTF">2018-05-17T06:02:00Z</dcterms:created>
  <dcterms:modified xsi:type="dcterms:W3CDTF">2018-05-17T06:02:00Z</dcterms:modified>
</cp:coreProperties>
</file>