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CB0955" w14:textId="53DB3C4D" w:rsidR="00DD777E" w:rsidRPr="00DD777E" w:rsidRDefault="00DD777E" w:rsidP="00DD77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Příloha č.</w:t>
      </w:r>
      <w:r w:rsidR="002625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</w:t>
      </w: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4 smlouvy</w:t>
      </w:r>
      <w:r w:rsidR="00262588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o dílo</w:t>
      </w: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– garantované hodnoty</w:t>
      </w:r>
    </w:p>
    <w:p w14:paraId="78B0FD4F" w14:textId="6A3F1A76" w:rsidR="00DD777E" w:rsidRPr="00262588" w:rsidRDefault="00262588" w:rsidP="00DD77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[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pozn. zadavatele: </w:t>
      </w: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znění 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této přílohy </w:t>
      </w: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odpovídá části přílohy A 6 </w:t>
      </w:r>
      <w:r w:rsidR="00DD777E"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zadávací dokumentace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;</w:t>
      </w:r>
      <w:r w:rsidR="00DD777E"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v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> </w:t>
      </w:r>
      <w:r w:rsidR="00DD777E"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textu</w:t>
      </w:r>
      <w:r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této</w:t>
      </w:r>
      <w:r w:rsidR="00DD777E"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přílohy je zachováno číslování odstavců i odkazů</w:t>
      </w: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</w:t>
      </w: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přílohy A 6 zadávací dokumentace</w:t>
      </w:r>
      <w:r w:rsidRPr="00262588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]</w:t>
      </w:r>
    </w:p>
    <w:p w14:paraId="4A8839B0" w14:textId="77777777" w:rsidR="00DD777E" w:rsidRPr="00DD777E" w:rsidRDefault="00DD777E" w:rsidP="00DD777E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183FCF0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23C6D52E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4E6A79E9" w14:textId="2D90B6F0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 15 Disponibilita 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5D3C266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V rámci garantované hodnoty A 15 Disponibilita je do hodnocení veškeré zařízení JEDNOTKY OB 2 - příslušného kotle v rámci připojovacích míst DÍLA OB 2. </w:t>
      </w:r>
    </w:p>
    <w:p w14:paraId="1160119F" w14:textId="77777777" w:rsidR="00DD777E" w:rsidRDefault="00DD777E" w:rsidP="00DD777E">
      <w:pPr>
        <w:spacing w:after="0" w:line="240" w:lineRule="auto"/>
        <w:ind w:left="705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p w14:paraId="07D5AC55" w14:textId="0A73A3D0" w:rsidR="00DD777E" w:rsidRPr="00DD777E" w:rsidRDefault="00DD777E" w:rsidP="00DD777E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A15.1 Garantovaná disponibilita kotel K20 D</w:t>
      </w:r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>K20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D777E">
        <w:rPr>
          <w:rFonts w:ascii="Arial" w:eastAsia="Times New Roman" w:hAnsi="Arial" w:cs="Arial"/>
          <w:i/>
          <w:iCs/>
          <w:sz w:val="20"/>
          <w:szCs w:val="20"/>
          <w:shd w:val="clear" w:color="auto" w:fill="FFFF00"/>
          <w:lang w:eastAsia="cs-CZ"/>
        </w:rPr>
        <w:t xml:space="preserve">je   </w:t>
      </w:r>
      <w:r w:rsidRPr="00DD77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00"/>
          <w:lang w:eastAsia="cs-CZ"/>
        </w:rPr>
        <w:t>vyplní nabízející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00"/>
          <w:lang w:eastAsia="cs-CZ"/>
        </w:rPr>
        <w:t xml:space="preserve"> %.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 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jako průměr za 730 dní provozu.  </w:t>
      </w:r>
    </w:p>
    <w:p w14:paraId="2B40F439" w14:textId="77777777" w:rsidR="00DD777E" w:rsidRPr="00DD777E" w:rsidRDefault="00DD777E" w:rsidP="00DD777E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A15.2 Garantovaná disponibilita kotel K80 D</w:t>
      </w:r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>K80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D777E">
        <w:rPr>
          <w:rFonts w:ascii="Arial" w:eastAsia="Times New Roman" w:hAnsi="Arial" w:cs="Arial"/>
          <w:i/>
          <w:iCs/>
          <w:sz w:val="20"/>
          <w:szCs w:val="20"/>
          <w:shd w:val="clear" w:color="auto" w:fill="FFFF00"/>
          <w:lang w:eastAsia="cs-CZ"/>
        </w:rPr>
        <w:t xml:space="preserve">je   </w:t>
      </w:r>
      <w:r w:rsidRPr="00DD77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00"/>
          <w:lang w:eastAsia="cs-CZ"/>
        </w:rPr>
        <w:t>vyplní nabízející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00"/>
          <w:lang w:eastAsia="cs-CZ"/>
        </w:rPr>
        <w:t xml:space="preserve"> %.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 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jako průměr za 730 dní provozu.  </w:t>
      </w:r>
    </w:p>
    <w:p w14:paraId="75E60326" w14:textId="77777777" w:rsidR="00DD777E" w:rsidRPr="00DD777E" w:rsidRDefault="00DD777E" w:rsidP="00DD777E">
      <w:pPr>
        <w:spacing w:after="0" w:line="240" w:lineRule="auto"/>
        <w:ind w:left="705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A15.3 Garantovaná disponibilita kotel K90 D</w:t>
      </w:r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>K90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DD777E">
        <w:rPr>
          <w:rFonts w:ascii="Arial" w:eastAsia="Times New Roman" w:hAnsi="Arial" w:cs="Arial"/>
          <w:i/>
          <w:iCs/>
          <w:sz w:val="20"/>
          <w:szCs w:val="20"/>
          <w:shd w:val="clear" w:color="auto" w:fill="FFFF00"/>
          <w:lang w:eastAsia="cs-CZ"/>
        </w:rPr>
        <w:t xml:space="preserve">je   </w:t>
      </w:r>
      <w:r w:rsidRPr="00DD77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00"/>
          <w:lang w:eastAsia="cs-CZ"/>
        </w:rPr>
        <w:t>vyplní nabízející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shd w:val="clear" w:color="auto" w:fill="FFFF00"/>
          <w:lang w:eastAsia="cs-CZ"/>
        </w:rPr>
        <w:t xml:space="preserve"> %.</w:t>
      </w:r>
      <w:r w:rsidRPr="00DD777E">
        <w:rPr>
          <w:rFonts w:ascii="Arial" w:eastAsia="Times New Roman" w:hAnsi="Arial" w:cs="Arial"/>
          <w:b/>
          <w:bCs/>
          <w:color w:val="FF0000"/>
          <w:sz w:val="20"/>
          <w:szCs w:val="20"/>
          <w:lang w:eastAsia="cs-CZ"/>
        </w:rPr>
        <w:t xml:space="preserve"> 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jako průměr za 730 dní provozu.  </w:t>
      </w:r>
    </w:p>
    <w:p w14:paraId="436EBDC9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u w:val="single"/>
          <w:lang w:eastAsia="cs-CZ"/>
        </w:rPr>
      </w:pPr>
    </w:p>
    <w:p w14:paraId="1413BDD8" w14:textId="00471EA1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u w:val="single"/>
          <w:lang w:eastAsia="cs-CZ"/>
        </w:rPr>
        <w:t>Výpočet disponibility 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466D6D1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Disponibilita D</w:t>
      </w:r>
      <w:r w:rsidRPr="00DD777E">
        <w:rPr>
          <w:rFonts w:ascii="Arial" w:eastAsia="Times New Roman" w:hAnsi="Arial" w:cs="Arial"/>
          <w:sz w:val="16"/>
          <w:szCs w:val="16"/>
          <w:vertAlign w:val="subscript"/>
          <w:lang w:eastAsia="cs-CZ"/>
        </w:rPr>
        <w:t>K20/80/90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= Disponibilita určeného kotle (%) každého kotle za vyhodnocované období je dána vztahem: </w:t>
      </w:r>
    </w:p>
    <w:p w14:paraId="084BF77B" w14:textId="77777777" w:rsidR="00DD777E" w:rsidRPr="00DD777E" w:rsidRDefault="00DD777E" w:rsidP="00DD777E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000000"/>
          <w:sz w:val="28"/>
          <w:szCs w:val="28"/>
          <w:lang w:eastAsia="cs-CZ"/>
        </w:rPr>
      </w:pPr>
      <w:r w:rsidRPr="00DD777E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cs-CZ"/>
        </w:rPr>
        <w:t>D</w:t>
      </w:r>
      <w:r w:rsidRPr="00DD777E">
        <w:rPr>
          <w:rFonts w:ascii="MathJax_Math-italic" w:eastAsia="Times New Roman" w:hAnsi="MathJax_Math-italic" w:cs="Segoe UI"/>
          <w:color w:val="000000"/>
          <w:sz w:val="20"/>
          <w:szCs w:val="20"/>
          <w:bdr w:val="none" w:sz="0" w:space="0" w:color="auto" w:frame="1"/>
          <w:lang w:eastAsia="cs-CZ"/>
        </w:rPr>
        <w:t>K</w:t>
      </w:r>
      <w:r w:rsidRPr="00DD777E">
        <w:rPr>
          <w:rFonts w:ascii="MathJax_Main" w:eastAsia="Times New Roman" w:hAnsi="MathJax_Main" w:cs="Segoe UI"/>
          <w:color w:val="000000"/>
          <w:sz w:val="29"/>
          <w:szCs w:val="29"/>
          <w:bdr w:val="none" w:sz="0" w:space="0" w:color="auto" w:frame="1"/>
          <w:lang w:eastAsia="cs-CZ"/>
        </w:rPr>
        <w:t>=100 ∗ TOTC</w:t>
      </w:r>
    </w:p>
    <w:p w14:paraId="6561DE35" w14:textId="5C1FB8E4" w:rsidR="00DD777E" w:rsidRDefault="00DD777E" w:rsidP="00DD777E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8"/>
          <w:szCs w:val="28"/>
          <w:lang w:eastAsia="cs-CZ"/>
        </w:rPr>
      </w:pPr>
      <w:r w:rsidRPr="00DD777E">
        <w:rPr>
          <w:rFonts w:ascii="Calibri" w:eastAsia="Times New Roman" w:hAnsi="Calibri" w:cs="Calibri"/>
          <w:color w:val="000000"/>
          <w:sz w:val="28"/>
          <w:szCs w:val="28"/>
          <w:lang w:eastAsia="cs-CZ"/>
        </w:rPr>
        <w:t>[%] </w:t>
      </w:r>
    </w:p>
    <w:p w14:paraId="4804EEBA" w14:textId="77777777" w:rsidR="00DD777E" w:rsidRPr="00DD777E" w:rsidRDefault="00DD777E" w:rsidP="00DD777E">
      <w:pPr>
        <w:shd w:val="clear" w:color="auto" w:fill="FFFFFF"/>
        <w:spacing w:after="0" w:line="240" w:lineRule="auto"/>
        <w:rPr>
          <w:rFonts w:ascii="Segoe UI" w:eastAsia="Times New Roman" w:hAnsi="Segoe UI" w:cs="Segoe UI"/>
          <w:color w:val="000000"/>
          <w:szCs w:val="18"/>
          <w:lang w:eastAsia="cs-CZ"/>
        </w:rPr>
      </w:pPr>
    </w:p>
    <w:p w14:paraId="76967DC1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kde:  </w:t>
      </w:r>
    </w:p>
    <w:p w14:paraId="0663418A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TO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– doba provozu JEDNOTKY části K20 nebo K80 nebo K90, se rozumí doba, po kterou je kotel v provozu: </w:t>
      </w:r>
    </w:p>
    <w:p w14:paraId="28D5F851" w14:textId="77777777" w:rsidR="00DD777E" w:rsidRPr="00DD777E" w:rsidRDefault="00DD777E" w:rsidP="00DD777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od ukončení najetí kotle s dodávkou páry o jmenovitém tlaku a minimální teplotě páry dle garantované hodnoty odpovídající bodu B 3.1 až B 3.3 a to pro obě paliva nebo jejich libovolnou směs v definovaném rámci, </w:t>
      </w:r>
    </w:p>
    <w:p w14:paraId="33A40335" w14:textId="77777777" w:rsidR="00DD777E" w:rsidRPr="00DD777E" w:rsidRDefault="00DD777E" w:rsidP="00DD777E">
      <w:pPr>
        <w:numPr>
          <w:ilvl w:val="0"/>
          <w:numId w:val="1"/>
        </w:numPr>
        <w:spacing w:after="0" w:line="240" w:lineRule="auto"/>
        <w:ind w:left="1080" w:firstLine="0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a zároveň plní garantované hodnoty A 1 až A 8 a </w:t>
      </w:r>
      <w:proofErr w:type="spellStart"/>
      <w:r w:rsidRPr="00DD777E">
        <w:rPr>
          <w:rFonts w:ascii="Arial" w:eastAsia="Times New Roman" w:hAnsi="Arial" w:cs="Arial"/>
          <w:sz w:val="20"/>
          <w:szCs w:val="20"/>
          <w:lang w:eastAsia="cs-CZ"/>
        </w:rPr>
        <w:t>A</w:t>
      </w:r>
      <w:proofErr w:type="spellEnd"/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12 nebo minimální podmínky kvality páry dle ČSN 07 7403 odstavec 13 a tabulka 2, A13, A14; této přílohy č. A 6 a hodnoceného období pro garanci. </w:t>
      </w:r>
    </w:p>
    <w:p w14:paraId="361BE28B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TC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– hodnocené období  </w:t>
      </w:r>
    </w:p>
    <w:p w14:paraId="66CEC39D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TC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= (730 dní x 24 </w:t>
      </w:r>
      <w:proofErr w:type="gramStart"/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hodin - </w:t>
      </w:r>
      <w:proofErr w:type="spellStart"/>
      <w:r w:rsidRPr="00DD777E">
        <w:rPr>
          <w:rFonts w:ascii="Arial" w:eastAsia="Times New Roman" w:hAnsi="Arial" w:cs="Arial"/>
          <w:sz w:val="20"/>
          <w:szCs w:val="20"/>
          <w:lang w:eastAsia="cs-CZ"/>
        </w:rPr>
        <w:t>Todst</w:t>
      </w:r>
      <w:proofErr w:type="spellEnd"/>
      <w:proofErr w:type="gramEnd"/>
      <w:r w:rsidRPr="00DD777E">
        <w:rPr>
          <w:rFonts w:ascii="Arial" w:eastAsia="Times New Roman" w:hAnsi="Arial" w:cs="Arial"/>
          <w:sz w:val="20"/>
          <w:szCs w:val="20"/>
          <w:lang w:eastAsia="cs-CZ"/>
        </w:rPr>
        <w:t>) (hod) </w:t>
      </w:r>
    </w:p>
    <w:p w14:paraId="25334510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u w:val="single"/>
          <w:lang w:eastAsia="cs-CZ"/>
        </w:rPr>
        <w:t>Kde je: 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AED4749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A15.4 Garantovaná maximální doba plánovaných odstávek </w:t>
      </w:r>
      <w:proofErr w:type="spellStart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Todst</w:t>
      </w:r>
      <w:proofErr w:type="spellEnd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kotel K20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BD49882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proofErr w:type="gramStart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>odstK20</w:t>
      </w: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- doba</w:t>
      </w:r>
      <w:proofErr w:type="gramEnd"/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plánovaných odstávek během 730 dní je maximálně </w:t>
      </w:r>
      <w:r w:rsidRPr="00DD77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00"/>
          <w:lang w:eastAsia="cs-CZ"/>
        </w:rPr>
        <w:t xml:space="preserve">vyplní nabízející </w:t>
      </w:r>
      <w:r w:rsidRPr="00DD777E">
        <w:rPr>
          <w:rFonts w:ascii="Arial" w:eastAsia="Times New Roman" w:hAnsi="Arial" w:cs="Arial"/>
          <w:sz w:val="20"/>
          <w:szCs w:val="20"/>
          <w:shd w:val="clear" w:color="auto" w:fill="FFFF00"/>
          <w:lang w:eastAsia="cs-CZ"/>
        </w:rPr>
        <w:t>hodin.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5EB76A9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15341D85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A15.5 Garantovaná maximální doba plánovaných odstávek </w:t>
      </w:r>
      <w:proofErr w:type="spellStart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Todst</w:t>
      </w:r>
      <w:proofErr w:type="spellEnd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kotel K80 a K90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0B5D2EEB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proofErr w:type="spellStart"/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T</w:t>
      </w:r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>odst</w:t>
      </w:r>
      <w:proofErr w:type="spellEnd"/>
      <w:r w:rsidRPr="00DD777E">
        <w:rPr>
          <w:rFonts w:ascii="Arial" w:eastAsia="Times New Roman" w:hAnsi="Arial" w:cs="Arial"/>
          <w:b/>
          <w:bCs/>
          <w:sz w:val="16"/>
          <w:szCs w:val="16"/>
          <w:vertAlign w:val="subscript"/>
          <w:lang w:eastAsia="cs-CZ"/>
        </w:rPr>
        <w:t xml:space="preserve"> K80/90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- doba plánovaných odstávek během 730 dní je maximálně </w:t>
      </w:r>
      <w:r w:rsidRPr="00DD777E">
        <w:rPr>
          <w:rFonts w:ascii="Arial" w:eastAsia="Times New Roman" w:hAnsi="Arial" w:cs="Arial"/>
          <w:b/>
          <w:bCs/>
          <w:i/>
          <w:iCs/>
          <w:color w:val="FF0000"/>
          <w:sz w:val="20"/>
          <w:szCs w:val="20"/>
          <w:shd w:val="clear" w:color="auto" w:fill="FFFF00"/>
          <w:lang w:eastAsia="cs-CZ"/>
        </w:rPr>
        <w:t>vyplní nabízející</w:t>
      </w:r>
      <w:r w:rsidRPr="00DD777E">
        <w:rPr>
          <w:rFonts w:ascii="Arial" w:eastAsia="Times New Roman" w:hAnsi="Arial" w:cs="Arial"/>
          <w:color w:val="FF0000"/>
          <w:sz w:val="20"/>
          <w:szCs w:val="20"/>
          <w:lang w:eastAsia="cs-CZ"/>
        </w:rPr>
        <w:t xml:space="preserve"> 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hodin.  </w:t>
      </w:r>
    </w:p>
    <w:p w14:paraId="10DD984F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028C540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Hodnocení disponibility 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723E4B7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Disponibilita bude vyhodnocena OBJEDNATELEM za účasti ZHOTOVITELE OB 2 z provozní evidence zařízení v průběhu záručního provozu. </w:t>
      </w:r>
    </w:p>
    <w:p w14:paraId="170A30BA" w14:textId="400237C3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0221AB8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p w14:paraId="7CFC06CA" w14:textId="77777777" w:rsidR="00DD777E" w:rsidRPr="00DD777E" w:rsidRDefault="00DD777E" w:rsidP="00DD777E">
      <w:pPr>
        <w:numPr>
          <w:ilvl w:val="0"/>
          <w:numId w:val="2"/>
        </w:numPr>
        <w:spacing w:after="0" w:line="240" w:lineRule="auto"/>
        <w:ind w:firstLine="705"/>
        <w:textAlignment w:val="baseline"/>
        <w:rPr>
          <w:rFonts w:ascii="Arial" w:eastAsia="Times New Roman" w:hAnsi="Arial" w:cs="Arial"/>
          <w:b/>
          <w:bCs/>
          <w:color w:val="70AD47"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color w:val="70AD47"/>
          <w:sz w:val="24"/>
          <w:szCs w:val="24"/>
          <w:lang w:val="pl-PL" w:eastAsia="cs-CZ"/>
        </w:rPr>
        <w:t>GARANTOVANÉ HODNOTY SKUPINY II</w:t>
      </w:r>
      <w:r w:rsidRPr="00DD777E">
        <w:rPr>
          <w:rFonts w:ascii="Arial" w:eastAsia="Times New Roman" w:hAnsi="Arial" w:cs="Arial"/>
          <w:b/>
          <w:bCs/>
          <w:color w:val="70AD47"/>
          <w:sz w:val="24"/>
          <w:szCs w:val="24"/>
          <w:lang w:eastAsia="cs-CZ"/>
        </w:rPr>
        <w:t> </w:t>
      </w:r>
    </w:p>
    <w:p w14:paraId="6B9D6E90" w14:textId="2767C762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Níže uvedené parametry v této kapitole jsou garantovány pro referenční podmínky uvedené v tomto dokumentu: </w:t>
      </w:r>
    </w:p>
    <w:p w14:paraId="5358B977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p w14:paraId="11A77BD5" w14:textId="77777777" w:rsidR="00DD777E" w:rsidRPr="00DD777E" w:rsidRDefault="00DD777E" w:rsidP="00DD777E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kapitola </w:t>
      </w:r>
      <w:r w:rsidRPr="00DD77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2.1 Referenční podmínky pro GARANČNÍ MĚŘENÍ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A, </w:t>
      </w:r>
    </w:p>
    <w:p w14:paraId="6146550C" w14:textId="6719FE22" w:rsidR="00DD777E" w:rsidRDefault="00DD777E" w:rsidP="00DD777E">
      <w:pPr>
        <w:numPr>
          <w:ilvl w:val="0"/>
          <w:numId w:val="3"/>
        </w:numPr>
        <w:spacing w:after="0" w:line="240" w:lineRule="auto"/>
        <w:ind w:left="1080" w:firstLine="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pro referenční hodnoty uvedené pro jednotlivá media a paliva, respektive směs paliv z kapitoly </w:t>
      </w:r>
      <w:r w:rsidRPr="00DD777E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2.2. Obecné podmínky.</w:t>
      </w: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6B375F73" w14:textId="4655BDB5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5B9734" w14:textId="6EC4868C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46A8ED7" w14:textId="06F689D4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123493" w14:textId="4477CBD6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2D3A1D1" w14:textId="4BF396EE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AF217A7" w14:textId="148250CA" w:rsidR="00DD777E" w:rsidRDefault="00DD777E" w:rsidP="00DD777E">
      <w:pPr>
        <w:spacing w:after="0" w:line="240" w:lineRule="auto"/>
        <w:ind w:left="1080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7D2B018" w14:textId="58BA48C8" w:rsidR="00DD777E" w:rsidRDefault="00DD777E" w:rsidP="00DD777E">
      <w:pPr>
        <w:spacing w:after="0" w:line="240" w:lineRule="auto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2398FD0" w14:textId="77777777" w:rsidR="00DD777E" w:rsidRPr="00DD777E" w:rsidRDefault="00DD777E" w:rsidP="00DD777E">
      <w:pPr>
        <w:numPr>
          <w:ilvl w:val="0"/>
          <w:numId w:val="4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Účinnosti kotle  </w:t>
      </w:r>
    </w:p>
    <w:p w14:paraId="554F1253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Pro určení garantované účinnosti bude použita nepřímá metoda dle ČSN EN 12 952.  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2940"/>
        <w:gridCol w:w="1245"/>
        <w:gridCol w:w="1650"/>
        <w:gridCol w:w="2205"/>
      </w:tblGrid>
      <w:tr w:rsidR="00DD777E" w:rsidRPr="00DD777E" w14:paraId="27A37BF6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7EEC5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3DBEE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8D1F3C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1A17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1C097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1D5B04D" w14:textId="77777777" w:rsidTr="00DD777E">
        <w:trPr>
          <w:trHeight w:val="24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D7578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1456A4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F0ADAE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E7D3AF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54C0E8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4B62DBA0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D9455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1.1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3465D3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průměrná účinnost kotle při jmenovitém výkonu kotle pro palivo 1: dřevní štěpka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D72164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DE78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380D4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dvě desetiny procentního bodu než hodnota garantovaného parametru </w:t>
            </w:r>
          </w:p>
        </w:tc>
      </w:tr>
      <w:tr w:rsidR="00DD777E" w:rsidRPr="00DD777E" w14:paraId="4648AFC6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9059C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1.2 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CFDF4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účinnost kotle při minimálním výkonu kotle pro palivo 1: dřevní štěpka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7B6BB4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3A99A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24C0B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jeden procentní bod   </w:t>
            </w:r>
          </w:p>
          <w:p w14:paraId="5C01A5F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než hodnota garantovaného parametru </w:t>
            </w:r>
          </w:p>
        </w:tc>
      </w:tr>
      <w:tr w:rsidR="00DD777E" w:rsidRPr="00DD777E" w14:paraId="46E7F580" w14:textId="77777777" w:rsidTr="00DD777E">
        <w:trPr>
          <w:trHeight w:val="24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D8C1DD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362867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5CC914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3EDACF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011D36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401A688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C21C9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1.3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CFECA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průměrná účinnost kotle při jmenovitém výkonu kotle pro palivo 1: dřevní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štěpka - po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dobu 24 hodin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B7938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4A42E8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9992A8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dvě desetiny procentního bodu než hodnota garantovaného parametru </w:t>
            </w:r>
          </w:p>
        </w:tc>
      </w:tr>
      <w:tr w:rsidR="00DD777E" w:rsidRPr="00DD777E" w14:paraId="6A85CF4B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5E844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1.4 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6501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účinnost kotle při minimálním výkonu kotle pro palivo 1: dřevní štěpka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3B858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7F748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A60DB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jeden procentní bod   </w:t>
            </w:r>
          </w:p>
          <w:p w14:paraId="3369524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než hodnota garantovaného parametru </w:t>
            </w:r>
          </w:p>
        </w:tc>
      </w:tr>
      <w:tr w:rsidR="00DD777E" w:rsidRPr="00DD777E" w14:paraId="58202F02" w14:textId="77777777" w:rsidTr="00DD777E">
        <w:trPr>
          <w:trHeight w:val="24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A6E733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A4718A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1: dřevní štěpka - 70 % a paliva 2: rostlinné </w:t>
            </w:r>
            <w:proofErr w:type="spell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- 30 % 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48A0C1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FFDD5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8DB823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ABE6DDC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B8393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1.3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76E1F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průměrná účinnost kotle při jmenovitém výkonu kotle pro směs paliv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C8BB4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C5126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60703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dvě desetiny procentního bodu než hodnota garantovaného parametru </w:t>
            </w:r>
          </w:p>
        </w:tc>
      </w:tr>
      <w:tr w:rsidR="00DD777E" w:rsidRPr="00DD777E" w14:paraId="1522A71F" w14:textId="77777777" w:rsidTr="00DD777E">
        <w:trPr>
          <w:trHeight w:val="720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89766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1.4  </w:t>
            </w:r>
          </w:p>
        </w:tc>
        <w:tc>
          <w:tcPr>
            <w:tcW w:w="29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8F187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účinnost kotle při minimálním výkonu kotle pro směs paliv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AA740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3238D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BB532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jeden procentní bod   </w:t>
            </w:r>
          </w:p>
          <w:p w14:paraId="4E7261E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než hodnota garantovaného parametru </w:t>
            </w:r>
          </w:p>
        </w:tc>
      </w:tr>
    </w:tbl>
    <w:p w14:paraId="7DB4DDF4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75C4591C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51A25FD3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705A640D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4DE34B6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4892BBAB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006E6DAD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62D4A4EC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15D5483C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7D326038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AD39020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60CAC3E4" w14:textId="495D8459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23AB1796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27C5B536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4822B246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6D721FAF" w14:textId="66C5AA49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lastRenderedPageBreak/>
        <w:t> </w:t>
      </w:r>
    </w:p>
    <w:p w14:paraId="4E366B18" w14:textId="77777777" w:rsidR="00DD777E" w:rsidRPr="00DD777E" w:rsidRDefault="00DD777E" w:rsidP="00DD777E">
      <w:pPr>
        <w:numPr>
          <w:ilvl w:val="0"/>
          <w:numId w:val="5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Minimální výkon kotle  </w:t>
      </w:r>
    </w:p>
    <w:p w14:paraId="18B74E90" w14:textId="541C552F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Platí pro referenční paliva, referenční teplotu napájecí vody a referenčních podmínek.  </w:t>
      </w:r>
    </w:p>
    <w:p w14:paraId="5DFCE156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5"/>
        <w:gridCol w:w="2850"/>
        <w:gridCol w:w="1350"/>
        <w:gridCol w:w="1650"/>
        <w:gridCol w:w="2205"/>
      </w:tblGrid>
      <w:tr w:rsidR="00DD777E" w:rsidRPr="00DD777E" w14:paraId="200E08E8" w14:textId="77777777" w:rsidTr="00DD777E">
        <w:trPr>
          <w:trHeight w:val="70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4DB1C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AA9D8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26A034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80CC6A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2F063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3263C2F" w14:textId="77777777" w:rsidTr="00DD777E">
        <w:trPr>
          <w:trHeight w:val="22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578641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6A51FA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7BBF3D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086D62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FD2557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1C5D46AF" w14:textId="77777777" w:rsidTr="00DD777E">
        <w:trPr>
          <w:trHeight w:val="94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DF8B2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2.1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EA13D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minimální výkon kotle – palivo 1: dřevní štěpka -- průměr po dobu 4 hodin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08BDB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jmenovitého výkonu kotle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3629A0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BCC1A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vyšší více jak o 10 % z garantované hodnoty  </w:t>
            </w:r>
          </w:p>
        </w:tc>
      </w:tr>
      <w:tr w:rsidR="00DD777E" w:rsidRPr="00DD777E" w14:paraId="7DBFD0EF" w14:textId="77777777" w:rsidTr="00DD777E">
        <w:trPr>
          <w:trHeight w:val="22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16D717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EA64CB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CDA506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E4AD77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8396AB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01DD6164" w14:textId="77777777" w:rsidTr="00DD777E">
        <w:trPr>
          <w:trHeight w:val="94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2BF549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2.2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1CF0C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minimální výkon kotle – palivo 1: dřevní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štěpka -průměr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dobu 4 hodin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4D1C6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jmenovitého výkonu kotle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4700F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1FCFF5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vyšší více jak o 10 % z hodnoty garantovaného parametru </w:t>
            </w:r>
          </w:p>
        </w:tc>
      </w:tr>
      <w:tr w:rsidR="00DD777E" w:rsidRPr="00DD777E" w14:paraId="08303AF4" w14:textId="77777777" w:rsidTr="00DD777E">
        <w:trPr>
          <w:trHeight w:val="22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4EDDB3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3FEEAE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</w:t>
            </w:r>
            <w:proofErr w:type="gram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1 - 70</w:t>
            </w:r>
            <w:proofErr w:type="gram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% a paliva 2- 30 % 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586734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202A44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A64CD9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CDECD55" w14:textId="77777777" w:rsidTr="00DD777E">
        <w:trPr>
          <w:trHeight w:val="945"/>
        </w:trPr>
        <w:tc>
          <w:tcPr>
            <w:tcW w:w="9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526A7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2.3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CC6B6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minimální výkon kotle – palivo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směs - průměr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po dobu 4 hodin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40D2B0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jmenovitého výkonu kotle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DF915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D7838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vyšší více jak o 10 % z hodnoty garantovaného parametru  </w:t>
            </w:r>
          </w:p>
        </w:tc>
      </w:tr>
    </w:tbl>
    <w:p w14:paraId="7A77FB56" w14:textId="75B49361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t> </w:t>
      </w:r>
    </w:p>
    <w:p w14:paraId="2B86F1CA" w14:textId="72F6AE78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7C90147F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p w14:paraId="67F1FAB1" w14:textId="403766F8" w:rsidR="00DD777E" w:rsidRDefault="00DD777E" w:rsidP="00DD777E">
      <w:pPr>
        <w:numPr>
          <w:ilvl w:val="0"/>
          <w:numId w:val="6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Teplota přehřáté páry při minimálním výkonu  </w:t>
      </w:r>
    </w:p>
    <w:p w14:paraId="28760EA3" w14:textId="77777777" w:rsidR="00DD777E" w:rsidRPr="00DD777E" w:rsidRDefault="00DD777E" w:rsidP="00DD777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5"/>
        <w:gridCol w:w="3000"/>
        <w:gridCol w:w="1245"/>
        <w:gridCol w:w="1650"/>
        <w:gridCol w:w="2145"/>
      </w:tblGrid>
      <w:tr w:rsidR="00DD777E" w:rsidRPr="00DD777E" w14:paraId="16C80A4E" w14:textId="77777777" w:rsidTr="00DD777E">
        <w:trPr>
          <w:trHeight w:val="76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2B3A3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65D2C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F542B5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0F2C3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01F95F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71E86CEB" w14:textId="77777777" w:rsidTr="00DD777E">
        <w:trPr>
          <w:trHeight w:val="25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3401E51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DD7C3F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984EF6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BE24AF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362D73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6829E4FE" w14:textId="77777777" w:rsidTr="00DD777E">
        <w:trPr>
          <w:trHeight w:val="103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755D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3.1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A947391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teplota přehřáté páry na připojovacím místě při minimálním výkonu kotle – palivo 1 pro celý rozsah paliva a pro podmínky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225B8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°C 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D1DA89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minimálně:</w:t>
            </w:r>
            <w:r w:rsidRPr="00DD777E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DADBA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Menší než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515°C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</w:tr>
      <w:tr w:rsidR="00DD777E" w:rsidRPr="00DD777E" w14:paraId="3081C10A" w14:textId="77777777" w:rsidTr="00DD777E">
        <w:trPr>
          <w:trHeight w:val="25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A42D531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F9885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FF1A0F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3B9189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EF24D0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1271ABD7" w14:textId="77777777" w:rsidTr="00DD777E">
        <w:trPr>
          <w:trHeight w:val="103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D758C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3.2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C7684D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teplota přehřáté páry na připojovacím místě při minimálním výkonu kotle – palivo 1 pro celý rozsah paliva a referenční podmínky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9D31A5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°C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2A5C37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minimálně: </w:t>
            </w:r>
          </w:p>
          <w:p w14:paraId="3C49440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C30A5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Menší než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515°C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12EFCF3E" w14:textId="77777777" w:rsidTr="00DD777E">
        <w:trPr>
          <w:trHeight w:val="25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DA1BF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36FA9C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K90, pro libovolnou směs paliva 1: dřevní štěpka - 70 % a paliva 2: rostlinné </w:t>
            </w:r>
            <w:proofErr w:type="spell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- 30 %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DD1D38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AB878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7C12F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B2279B7" w14:textId="77777777" w:rsidTr="00DD777E">
        <w:trPr>
          <w:trHeight w:val="1035"/>
        </w:trPr>
        <w:tc>
          <w:tcPr>
            <w:tcW w:w="10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4EE44A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3.3 </w:t>
            </w:r>
          </w:p>
        </w:tc>
        <w:tc>
          <w:tcPr>
            <w:tcW w:w="30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CBBCC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teplota přehřáté páry na připojovacím místě při minimálním výkonu kotle – palivo směs pro celý rozsah paliva a referenční podmínky  </w:t>
            </w:r>
          </w:p>
        </w:tc>
        <w:tc>
          <w:tcPr>
            <w:tcW w:w="12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16653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°C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3645B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minimálně: </w:t>
            </w:r>
          </w:p>
          <w:p w14:paraId="751DBA5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1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3CB7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Menší než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515°C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</w:tbl>
    <w:p w14:paraId="7665F9C8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5E6E7A77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DA0057B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58D3FA42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1A4C8AC2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0942C476" w14:textId="39CC9325" w:rsidR="00DD777E" w:rsidRDefault="00DD777E" w:rsidP="00DD777E">
      <w:pPr>
        <w:numPr>
          <w:ilvl w:val="0"/>
          <w:numId w:val="7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Rychlost změny výkonu kotle </w:t>
      </w:r>
    </w:p>
    <w:p w14:paraId="7835BA42" w14:textId="77777777" w:rsidR="00DD777E" w:rsidRPr="00DD777E" w:rsidRDefault="00DD777E" w:rsidP="00DD777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0"/>
        <w:gridCol w:w="2985"/>
        <w:gridCol w:w="1305"/>
        <w:gridCol w:w="1650"/>
        <w:gridCol w:w="2100"/>
      </w:tblGrid>
      <w:tr w:rsidR="00DD777E" w:rsidRPr="00DD777E" w14:paraId="256B7389" w14:textId="77777777" w:rsidTr="00DD777E">
        <w:trPr>
          <w:trHeight w:val="735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177863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657B7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DA17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688FB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5E944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1472A4BC" w14:textId="77777777" w:rsidTr="00DD777E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63C1F7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B900A1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FE124B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B49ADF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4A476E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75E42AFC" w14:textId="77777777" w:rsidTr="00DD777E">
        <w:trPr>
          <w:trHeight w:val="99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D267CD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4.1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9014F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průměrná rychlost změny výkonu kotle v rozsahu minimálního až maximálního výkonu – palivo 1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0AE1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(t/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h)/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 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5A41700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31348F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20 % z garantované hodnoty  </w:t>
            </w:r>
          </w:p>
        </w:tc>
      </w:tr>
      <w:tr w:rsidR="00DD777E" w:rsidRPr="00DD777E" w14:paraId="2F0C3F19" w14:textId="77777777" w:rsidTr="00DD777E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D52094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F3A827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2AD013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214E5A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6BB6B3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7CFB4805" w14:textId="77777777" w:rsidTr="00DD777E">
        <w:trPr>
          <w:trHeight w:val="99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DD651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4.2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F7B25D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průměrná rychlost změny výkonu kotle v rozsahu minimálního až maximálního výkonu – palivo 1: dřevní štěpka 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67EC8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(t/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h)/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E9795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E1D6D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20 % z garantované hodnoty </w:t>
            </w:r>
          </w:p>
        </w:tc>
      </w:tr>
      <w:tr w:rsidR="00DD777E" w:rsidRPr="00DD777E" w14:paraId="350F5EB2" w14:textId="77777777" w:rsidTr="00DD777E">
        <w:trPr>
          <w:trHeight w:val="24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F06F32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8AC263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1: dřevní štěpka – 70 % a paliva 2: rostlinné </w:t>
            </w:r>
            <w:proofErr w:type="spell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- 30 % 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F430B8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A1D59E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30F17C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EA1FF58" w14:textId="77777777" w:rsidTr="00DD777E">
        <w:trPr>
          <w:trHeight w:val="990"/>
        </w:trPr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9B097C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4.3 </w:t>
            </w:r>
          </w:p>
        </w:tc>
        <w:tc>
          <w:tcPr>
            <w:tcW w:w="2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6BA665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průměrná rychlost změny výkonu kotle v rozsahu minimálního až maximálního výkonu – palivo směs </w:t>
            </w:r>
          </w:p>
        </w:tc>
        <w:tc>
          <w:tcPr>
            <w:tcW w:w="13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7F5A77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(t/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h)/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62599F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B9001C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nižší více jak o 20 % z garantované hodnoty </w:t>
            </w:r>
          </w:p>
        </w:tc>
      </w:tr>
    </w:tbl>
    <w:p w14:paraId="07F76AE5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07CDC623" w14:textId="311EDC55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t> </w:t>
      </w:r>
    </w:p>
    <w:p w14:paraId="7C36E728" w14:textId="77777777" w:rsidR="00DD777E" w:rsidRPr="00DD777E" w:rsidRDefault="00DD777E" w:rsidP="00DD777E">
      <w:pPr>
        <w:numPr>
          <w:ilvl w:val="0"/>
          <w:numId w:val="8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Doba najetí kotle ze studeného stavu do minimálního výkonu kotle </w:t>
      </w:r>
    </w:p>
    <w:p w14:paraId="614EDD72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Studeným stavem se rozumí odstávka delší jak 48 hodin.  </w:t>
      </w:r>
    </w:p>
    <w:p w14:paraId="29923841" w14:textId="24DE5805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Minimálním výkonem se rozumí dosažení parametrů páry a stabilní provoz kotle bez najížděcího paliva a dosažení kvality páry dle ČSN 07 7403 odst. 13 a tab. 2.  </w:t>
      </w:r>
    </w:p>
    <w:p w14:paraId="00E3757D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2970"/>
        <w:gridCol w:w="1380"/>
        <w:gridCol w:w="1650"/>
        <w:gridCol w:w="2070"/>
      </w:tblGrid>
      <w:tr w:rsidR="00DD777E" w:rsidRPr="00DD777E" w14:paraId="0E945699" w14:textId="77777777" w:rsidTr="00DD777E">
        <w:trPr>
          <w:trHeight w:val="63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84E74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A9B4E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B8E1CD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F662C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37C52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43372E71" w14:textId="77777777" w:rsidTr="00DD777E">
        <w:trPr>
          <w:trHeight w:val="21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BCAD9C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012DD2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EBBCE4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5E660B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2188F1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2428150" w14:textId="77777777" w:rsidTr="00DD777E">
        <w:trPr>
          <w:trHeight w:val="8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6FD75E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5.1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4A0D20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najetí ze studeného stavu do minimálního výkonu – palivo 1: dřevní štěpka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8A5DF0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E693DB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71AE90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 </w:t>
            </w:r>
          </w:p>
        </w:tc>
      </w:tr>
      <w:tr w:rsidR="00DD777E" w:rsidRPr="00DD777E" w14:paraId="7546B83B" w14:textId="77777777" w:rsidTr="00DD777E">
        <w:trPr>
          <w:trHeight w:val="21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C6799F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D8AE35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4403A1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F00D0F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D5D099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055BF856" w14:textId="77777777" w:rsidTr="00DD777E">
        <w:trPr>
          <w:trHeight w:val="840"/>
        </w:trPr>
        <w:tc>
          <w:tcPr>
            <w:tcW w:w="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6945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5.2 </w:t>
            </w:r>
          </w:p>
        </w:tc>
        <w:tc>
          <w:tcPr>
            <w:tcW w:w="29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46810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doba najetí ze studeného stavu minimálního výkonu – palivo 1: dřevní štěpka  </w:t>
            </w:r>
          </w:p>
        </w:tc>
        <w:tc>
          <w:tcPr>
            <w:tcW w:w="13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1D11A8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min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361D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FE5DA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</w:tbl>
    <w:p w14:paraId="272FFEBA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4DDC701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452A9D9" w14:textId="774BE003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t> </w:t>
      </w:r>
    </w:p>
    <w:p w14:paraId="624AC2EC" w14:textId="77777777" w:rsidR="00DD777E" w:rsidRPr="00DD777E" w:rsidRDefault="00DD777E" w:rsidP="00DD777E">
      <w:pPr>
        <w:numPr>
          <w:ilvl w:val="0"/>
          <w:numId w:val="9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Maximální </w:t>
      </w:r>
      <w:proofErr w:type="spellStart"/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odluh</w:t>
      </w:r>
      <w:proofErr w:type="spellEnd"/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kotle  </w:t>
      </w:r>
    </w:p>
    <w:p w14:paraId="6924B073" w14:textId="4D7786DF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Hodnota maximálního </w:t>
      </w:r>
      <w:proofErr w:type="spellStart"/>
      <w:r w:rsidRPr="00DD777E">
        <w:rPr>
          <w:rFonts w:ascii="Arial" w:eastAsia="Times New Roman" w:hAnsi="Arial" w:cs="Arial"/>
          <w:sz w:val="20"/>
          <w:szCs w:val="20"/>
          <w:lang w:eastAsia="cs-CZ"/>
        </w:rPr>
        <w:t>odluhu</w:t>
      </w:r>
      <w:proofErr w:type="spellEnd"/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pro udržení kvality páry dle bodu A 12.  </w:t>
      </w:r>
    </w:p>
    <w:p w14:paraId="7D7DF52C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5"/>
        <w:gridCol w:w="2850"/>
        <w:gridCol w:w="1575"/>
        <w:gridCol w:w="1650"/>
        <w:gridCol w:w="2070"/>
      </w:tblGrid>
      <w:tr w:rsidR="00DD777E" w:rsidRPr="00DD777E" w14:paraId="6FD78D48" w14:textId="77777777" w:rsidTr="00DD777E">
        <w:trPr>
          <w:trHeight w:val="69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F92080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4A4BE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4FD86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2ECE2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A8627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74A20485" w14:textId="77777777" w:rsidTr="00DD777E">
        <w:trPr>
          <w:trHeight w:val="930"/>
        </w:trPr>
        <w:tc>
          <w:tcPr>
            <w:tcW w:w="8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B53F9C5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6 </w:t>
            </w:r>
          </w:p>
        </w:tc>
        <w:tc>
          <w:tcPr>
            <w:tcW w:w="2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A1C2B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hodnota maximálního </w:t>
            </w:r>
            <w:proofErr w:type="spell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odluhu</w:t>
            </w:r>
            <w:proofErr w:type="spell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kotle pro udržení kvality páry jako </w:t>
            </w:r>
            <w:proofErr w:type="gram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24-hodinový</w:t>
            </w:r>
            <w:proofErr w:type="gram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průměr  </w:t>
            </w:r>
          </w:p>
        </w:tc>
        <w:tc>
          <w:tcPr>
            <w:tcW w:w="1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BB809F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jmenovitého výkonu kotle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E637C5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9A5B1C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vyšší více jak o 30 % z garantované hodnoty  </w:t>
            </w:r>
          </w:p>
        </w:tc>
      </w:tr>
    </w:tbl>
    <w:p w14:paraId="06944B5F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lastRenderedPageBreak/>
        <w:t> </w:t>
      </w:r>
    </w:p>
    <w:p w14:paraId="021C221B" w14:textId="3B284B34" w:rsidR="00DD777E" w:rsidRDefault="00DD777E" w:rsidP="00DD777E">
      <w:pPr>
        <w:numPr>
          <w:ilvl w:val="0"/>
          <w:numId w:val="10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Maximální specifická spotřeba </w:t>
      </w:r>
      <w:proofErr w:type="spellStart"/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DeNOx</w:t>
      </w:r>
      <w:proofErr w:type="spellEnd"/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 xml:space="preserve"> reagentu   </w:t>
      </w:r>
    </w:p>
    <w:p w14:paraId="13D9DB91" w14:textId="77777777" w:rsidR="00DD777E" w:rsidRPr="00DD777E" w:rsidRDefault="00DD777E" w:rsidP="00DD777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3030"/>
        <w:gridCol w:w="1350"/>
        <w:gridCol w:w="1650"/>
        <w:gridCol w:w="2070"/>
      </w:tblGrid>
      <w:tr w:rsidR="00DD777E" w:rsidRPr="00DD777E" w14:paraId="4C25F5C8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5507D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51A155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4B102A9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FDF1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CDED88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00DA428F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752D6B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0041B3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1: dřevní štěpka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89627E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3850DC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26F3F4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12ABDBF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38264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7.1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521DA8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Maximální specifická spotřeba </w:t>
            </w:r>
            <w:proofErr w:type="spell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DeNOx</w:t>
            </w:r>
            <w:proofErr w:type="spell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reagentu   </w:t>
            </w:r>
          </w:p>
          <w:p w14:paraId="4EC8C76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1 t / vyrobené páry jako průměr za 4 hodiny při jmenovitém výkonu kotle  </w:t>
            </w:r>
          </w:p>
          <w:p w14:paraId="079799C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5DF2764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39B1451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0B5148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DE1FC6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9BCD9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30 % z garantované hodnoty  </w:t>
            </w:r>
          </w:p>
        </w:tc>
      </w:tr>
      <w:tr w:rsidR="00DD777E" w:rsidRPr="00DD777E" w14:paraId="3322C753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FBE227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C3C87D1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1: dřevní štěpka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933487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F6F306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7A1BED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6006FB77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457BB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7.2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CA8F18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Maximální specifická spotřeba </w:t>
            </w:r>
            <w:proofErr w:type="spell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DeNOx</w:t>
            </w:r>
            <w:proofErr w:type="spell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reagentu   </w:t>
            </w:r>
          </w:p>
          <w:p w14:paraId="7846A92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1 t / vyrobené páry jako průměr za 4 hodiny při jmenovitém výkonu kotle  </w:t>
            </w:r>
          </w:p>
          <w:p w14:paraId="49D4003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6519A0C9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233A388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B986AE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149755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A281DA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  <w:tr w:rsidR="00DD777E" w:rsidRPr="00DD777E" w14:paraId="3C9D22D3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6E9F5F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88E20F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 směs paliv Palivo 1: dřevní štěpka 70 % a Palivo rostlinné </w:t>
            </w:r>
            <w:proofErr w:type="spell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peletky</w:t>
            </w:r>
            <w:proofErr w:type="spell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</w:t>
            </w:r>
            <w:proofErr w:type="gram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30%</w:t>
            </w:r>
            <w:proofErr w:type="gram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F932620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B2A92A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B48381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1D6CCB0" w14:textId="77777777" w:rsidTr="00DD777E">
        <w:trPr>
          <w:trHeight w:val="3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34DC94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7.3 </w:t>
            </w:r>
          </w:p>
        </w:tc>
        <w:tc>
          <w:tcPr>
            <w:tcW w:w="30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2F6D5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Maximální specifická spotřeba </w:t>
            </w:r>
            <w:proofErr w:type="spellStart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DeNOx</w:t>
            </w:r>
            <w:proofErr w:type="spellEnd"/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reagentu   </w:t>
            </w:r>
          </w:p>
          <w:p w14:paraId="5882F75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1 t / vyrobené páry jako průměr za 4 hodiny při jmenovitém výkonu kotle  </w:t>
            </w:r>
          </w:p>
          <w:p w14:paraId="33571EF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304CC91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A865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917AE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825811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</w:tbl>
    <w:p w14:paraId="11737BAB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6456783F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69CF034A" w14:textId="45BE0D91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271B4BCB" w14:textId="5D377599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3A75A08" w14:textId="3635AA84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43DB59FA" w14:textId="5117A55C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132F9696" w14:textId="23B0BC01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4E293F17" w14:textId="1F662F32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2E2D62D6" w14:textId="1E358522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06413795" w14:textId="0EFDF485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F9A5E4B" w14:textId="20204421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10E27A83" w14:textId="5B82A2DE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DAF1017" w14:textId="00091C59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78913B93" w14:textId="76A76DE9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103086B3" w14:textId="77777777" w:rsidR="00DD777E" w:rsidRDefault="00DD777E" w:rsidP="00DD777E">
      <w:pPr>
        <w:spacing w:after="0" w:line="240" w:lineRule="auto"/>
        <w:jc w:val="both"/>
        <w:textAlignment w:val="baseline"/>
        <w:rPr>
          <w:rFonts w:ascii="Calibri" w:eastAsia="Times New Roman" w:hAnsi="Calibri" w:cs="Calibri"/>
          <w:sz w:val="22"/>
          <w:lang w:eastAsia="cs-CZ"/>
        </w:rPr>
      </w:pPr>
    </w:p>
    <w:p w14:paraId="38775AB9" w14:textId="644FF0A0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lastRenderedPageBreak/>
        <w:t> </w:t>
      </w:r>
    </w:p>
    <w:p w14:paraId="55E03C6E" w14:textId="27C8FCB4" w:rsidR="00DD777E" w:rsidRDefault="00DD777E" w:rsidP="00DD777E">
      <w:pPr>
        <w:numPr>
          <w:ilvl w:val="0"/>
          <w:numId w:val="11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Specifická spotřeba jiného reagentu č. 2  </w:t>
      </w:r>
    </w:p>
    <w:p w14:paraId="6493539D" w14:textId="77777777" w:rsidR="00DD777E" w:rsidRPr="00DD777E" w:rsidRDefault="00DD777E" w:rsidP="00DD777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167B1DE8" w14:textId="02FBA028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Specifická spotřeba jiného reagentu v příslušném kotli, resp. </w:t>
      </w:r>
      <w:proofErr w:type="spellStart"/>
      <w:r w:rsidRPr="00DD777E">
        <w:rPr>
          <w:rFonts w:ascii="Arial" w:eastAsia="Times New Roman" w:hAnsi="Arial" w:cs="Arial"/>
          <w:sz w:val="20"/>
          <w:szCs w:val="20"/>
          <w:lang w:eastAsia="cs-CZ"/>
        </w:rPr>
        <w:t>zákotlí</w:t>
      </w:r>
      <w:proofErr w:type="spellEnd"/>
      <w:r w:rsidRPr="00DD777E">
        <w:rPr>
          <w:rFonts w:ascii="Arial" w:eastAsia="Times New Roman" w:hAnsi="Arial" w:cs="Arial"/>
          <w:sz w:val="20"/>
          <w:szCs w:val="20"/>
          <w:lang w:eastAsia="cs-CZ"/>
        </w:rPr>
        <w:t xml:space="preserve"> pro zajištění garantovaných emisních limitů.   </w:t>
      </w:r>
    </w:p>
    <w:p w14:paraId="0A3BC426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5"/>
        <w:gridCol w:w="2865"/>
        <w:gridCol w:w="1515"/>
        <w:gridCol w:w="1650"/>
        <w:gridCol w:w="2070"/>
      </w:tblGrid>
      <w:tr w:rsidR="00DD777E" w:rsidRPr="00DD777E" w14:paraId="5499DD3B" w14:textId="77777777" w:rsidTr="00DD777E">
        <w:trPr>
          <w:trHeight w:val="69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370DD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71BED8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573C20F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4E8A2E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BBD34A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7F30CED1" w14:textId="77777777" w:rsidTr="00DD777E">
        <w:trPr>
          <w:trHeight w:val="22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2DC9164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66930B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K20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C7F6EF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FCFFACE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08D56FD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9D49785" w14:textId="77777777" w:rsidTr="00DD777E">
        <w:trPr>
          <w:trHeight w:val="21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E7B12D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8.1.1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8EF07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specifická spotřeba reagentu 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1 t / vyrobené páry jako průměr při jmenovitém výkonu. </w:t>
            </w:r>
          </w:p>
          <w:p w14:paraId="60ABD2B4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3ABF3C8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5582BC0C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74F580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8FADA83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A9D911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  <w:tr w:rsidR="00DD777E" w:rsidRPr="00DD777E" w14:paraId="313F047F" w14:textId="77777777" w:rsidTr="00DD777E">
        <w:trPr>
          <w:trHeight w:val="22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5BC5939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45BB221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kotel K80 a K90 palivo 1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7182606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4778135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7A49D9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3432BF07" w14:textId="77777777" w:rsidTr="00DD777E">
        <w:trPr>
          <w:trHeight w:val="21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99C5706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8.1.2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DC367A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specifická spotřeba reagentu 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 xml:space="preserve"> 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na 1 t / vyrobené páry jako průměr při jmenovitém výkonu. </w:t>
            </w:r>
          </w:p>
          <w:p w14:paraId="2C6D6AA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7CA09C51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3899DCF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1BECE38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FF9EFB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6D3FB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  <w:tr w:rsidR="00DD777E" w:rsidRPr="00DD777E" w14:paraId="53021608" w14:textId="77777777" w:rsidTr="00DD777E">
        <w:trPr>
          <w:trHeight w:val="225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19D73E13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17510C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kotel K80 a K90 pro libovolnou směs paliva </w:t>
            </w:r>
            <w:proofErr w:type="gramStart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1 - 70</w:t>
            </w:r>
            <w:proofErr w:type="gramEnd"/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 xml:space="preserve"> % a paliva 2- 30 %  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331287A1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68E9E86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C000"/>
            <w:hideMark/>
          </w:tcPr>
          <w:p w14:paraId="7085AB1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26103DB2" w14:textId="77777777" w:rsidTr="00DD777E">
        <w:trPr>
          <w:trHeight w:val="2100"/>
        </w:trPr>
        <w:tc>
          <w:tcPr>
            <w:tcW w:w="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214080D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8.1.3 </w:t>
            </w:r>
          </w:p>
        </w:tc>
        <w:tc>
          <w:tcPr>
            <w:tcW w:w="28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58597B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specifická spotřeba reagentu 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>(</w:t>
            </w:r>
            <w:proofErr w:type="gramStart"/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název -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</w:t>
            </w:r>
            <w:proofErr w:type="gramEnd"/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 xml:space="preserve"> nabízející)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 na 1 t / vyrobené páry jako průměr při jmenovitém výkonu. </w:t>
            </w:r>
          </w:p>
          <w:p w14:paraId="111A1BC7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  <w:p w14:paraId="31A86208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kvalitativní znaky reagentu: </w:t>
            </w: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  <w:p w14:paraId="23C5A45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15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03EC332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kg/t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D33F57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D31AEEA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výše jak o 30 % z garantované hodnoty </w:t>
            </w:r>
          </w:p>
        </w:tc>
      </w:tr>
    </w:tbl>
    <w:p w14:paraId="581BA4B6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378ACC29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V případě použití více reagentu nabízející specifikuje v obdobné tabulce.  </w:t>
      </w:r>
    </w:p>
    <w:p w14:paraId="62C705E7" w14:textId="30AC28AA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57A0DEF8" w14:textId="5196A86F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BC88A16" w14:textId="776626B6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4E80137" w14:textId="73836070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2179124" w14:textId="2D27CDA6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B091C4A" w14:textId="578F2B8E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A86DD59" w14:textId="12E6755A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30C541" w14:textId="200C1400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67FF1F" w14:textId="52B307CD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93F1E83" w14:textId="458255AA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1D3EF0" w14:textId="61045168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DB3E2E9" w14:textId="79150691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6A9E7AE" w14:textId="2F29D38E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72A5C427" w14:textId="5C62F6A4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9CCFC3" w14:textId="29DB520B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DE7408B" w14:textId="0BA3F874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C7F3975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p w14:paraId="083A53ED" w14:textId="27CC03A3" w:rsidR="00DD777E" w:rsidRDefault="00DD777E" w:rsidP="00DD777E">
      <w:pPr>
        <w:numPr>
          <w:ilvl w:val="0"/>
          <w:numId w:val="12"/>
        </w:numPr>
        <w:spacing w:after="0" w:line="240" w:lineRule="auto"/>
        <w:ind w:firstLine="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  <w:r w:rsidRPr="00DD777E">
        <w:rPr>
          <w:rFonts w:ascii="Arial" w:eastAsia="Times New Roman" w:hAnsi="Arial" w:cs="Arial"/>
          <w:b/>
          <w:bCs/>
          <w:sz w:val="24"/>
          <w:szCs w:val="24"/>
          <w:lang w:eastAsia="cs-CZ"/>
        </w:rPr>
        <w:t>Vlastní spotřeba elektrické energie kotle </w:t>
      </w:r>
    </w:p>
    <w:p w14:paraId="58B45EA7" w14:textId="77777777" w:rsidR="00DD777E" w:rsidRPr="00DD777E" w:rsidRDefault="00DD777E" w:rsidP="00DD777E">
      <w:pPr>
        <w:spacing w:after="0" w:line="240" w:lineRule="auto"/>
        <w:ind w:left="720"/>
        <w:jc w:val="both"/>
        <w:textAlignment w:val="baseline"/>
        <w:rPr>
          <w:rFonts w:ascii="Arial" w:eastAsia="Times New Roman" w:hAnsi="Arial" w:cs="Arial"/>
          <w:b/>
          <w:bCs/>
          <w:sz w:val="24"/>
          <w:szCs w:val="24"/>
          <w:lang w:eastAsia="cs-CZ"/>
        </w:rPr>
      </w:pPr>
    </w:p>
    <w:p w14:paraId="40B258E1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Jedná se o vlastní spotřebu vymezené části JEDNOTKY OB 2 části kotle K20 od vstupu paliva do provozního sila až po výstup z kouřového ventilátoru kotle a výstupu popele na výsypkách filtru. </w:t>
      </w:r>
    </w:p>
    <w:p w14:paraId="150888E8" w14:textId="1AA00FBA" w:rsidR="00DD777E" w:rsidRDefault="00DD777E" w:rsidP="00DD777E">
      <w:pPr>
        <w:spacing w:after="0" w:line="240" w:lineRule="auto"/>
        <w:jc w:val="both"/>
        <w:textAlignment w:val="baseline"/>
        <w:rPr>
          <w:rFonts w:ascii="Arial" w:eastAsia="Times New Roman" w:hAnsi="Arial" w:cs="Arial"/>
          <w:sz w:val="20"/>
          <w:szCs w:val="20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Seznam spotřebičů uvede NABÍZEJÍCÍ ve své nabídce.     </w:t>
      </w:r>
    </w:p>
    <w:p w14:paraId="09880AFF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2340"/>
        <w:gridCol w:w="1365"/>
        <w:gridCol w:w="1650"/>
        <w:gridCol w:w="2070"/>
      </w:tblGrid>
      <w:tr w:rsidR="00DD777E" w:rsidRPr="00DD777E" w14:paraId="3F99F64F" w14:textId="77777777" w:rsidTr="00DD777E">
        <w:trPr>
          <w:trHeight w:val="69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378E59B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00D1D0F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parametr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220B9AB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jednotky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C7F9A3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64BA8DD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s-CZ"/>
              </w:rPr>
              <w:t>MEZNÍ HODNOTA GARANTOVANÉHO PARAMETRU</w:t>
            </w: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 </w:t>
            </w:r>
          </w:p>
        </w:tc>
      </w:tr>
      <w:tr w:rsidR="00DD777E" w:rsidRPr="00DD777E" w14:paraId="5E96931B" w14:textId="77777777" w:rsidTr="00DD777E">
        <w:trPr>
          <w:trHeight w:val="930"/>
        </w:trPr>
        <w:tc>
          <w:tcPr>
            <w:tcW w:w="7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08B0E3E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B 9.1  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AE1652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vlastní spotřeba elektrické energie   při jmenovitém výkonu kotle K20 jako hodinový průměr za 4 hodin provozu  </w:t>
            </w:r>
          </w:p>
          <w:p w14:paraId="4E9B31AA" w14:textId="77777777" w:rsidR="00DD777E" w:rsidRPr="00DD777E" w:rsidRDefault="00DD777E" w:rsidP="00DD777E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palivo: palivo 1: dřevní štěpka   </w:t>
            </w:r>
          </w:p>
        </w:tc>
        <w:tc>
          <w:tcPr>
            <w:tcW w:w="13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2CD137C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kWh/h  </w:t>
            </w:r>
          </w:p>
        </w:tc>
        <w:tc>
          <w:tcPr>
            <w:tcW w:w="16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155E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i/>
                <w:iCs/>
                <w:color w:val="FF0000"/>
                <w:sz w:val="20"/>
                <w:szCs w:val="20"/>
                <w:shd w:val="clear" w:color="auto" w:fill="FFFF00"/>
                <w:lang w:eastAsia="cs-CZ"/>
              </w:rPr>
              <w:t>vyplní nabízející </w:t>
            </w:r>
            <w:r w:rsidRPr="00DD777E">
              <w:rPr>
                <w:rFonts w:ascii="Arial" w:eastAsia="Times New Roman" w:hAnsi="Arial" w:cs="Arial"/>
                <w:color w:val="FF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20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6F8B724" w14:textId="77777777" w:rsidR="00DD777E" w:rsidRPr="00DD777E" w:rsidRDefault="00DD777E" w:rsidP="00DD777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D777E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Vyšší více jak o 30 % z garantované hodnoty  </w:t>
            </w:r>
          </w:p>
        </w:tc>
      </w:tr>
    </w:tbl>
    <w:p w14:paraId="51964C89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Calibri" w:eastAsia="Times New Roman" w:hAnsi="Calibri" w:cs="Calibri"/>
          <w:sz w:val="22"/>
          <w:lang w:eastAsia="cs-CZ"/>
        </w:rPr>
        <w:t> </w:t>
      </w:r>
    </w:p>
    <w:p w14:paraId="0E02FE23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 </w:t>
      </w:r>
    </w:p>
    <w:p w14:paraId="23DC3A71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Vlastní spotřeba zahrnuje veškeré spotřebiče umístěné v rámci kotelny K20 včetně vzduchotechniky, topení, osvětlení, včetně spalinového a vzduchového systému kotle K20, čištění spalin, vynášení popele, okruhu drobného chlazení. </w:t>
      </w:r>
    </w:p>
    <w:p w14:paraId="52BABD98" w14:textId="77777777" w:rsidR="00DD777E" w:rsidRPr="00DD777E" w:rsidRDefault="00DD777E" w:rsidP="00DD777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Cs w:val="18"/>
          <w:lang w:eastAsia="cs-CZ"/>
        </w:rPr>
      </w:pPr>
      <w:r w:rsidRPr="00DD777E">
        <w:rPr>
          <w:rFonts w:ascii="Arial" w:eastAsia="Times New Roman" w:hAnsi="Arial" w:cs="Arial"/>
          <w:sz w:val="20"/>
          <w:szCs w:val="20"/>
          <w:lang w:eastAsia="cs-CZ"/>
        </w:rPr>
        <w:t>Vyloučeny z této hodnocené skupiny jsou: kompresorová stanice vzduchu, napájení pasových dopravníků v rámci OB 1 a vzduchotechniky palivového hospodářství v rámci OB 1.  </w:t>
      </w:r>
    </w:p>
    <w:p w14:paraId="66201447" w14:textId="77777777" w:rsidR="000E0AA3" w:rsidRDefault="000E0AA3"/>
    <w:sectPr w:rsidR="000E0AA3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82EF12" w14:textId="77777777" w:rsidR="00131B18" w:rsidRDefault="00131B18" w:rsidP="00DD777E">
      <w:pPr>
        <w:spacing w:after="0" w:line="240" w:lineRule="auto"/>
      </w:pPr>
      <w:r>
        <w:separator/>
      </w:r>
    </w:p>
  </w:endnote>
  <w:endnote w:type="continuationSeparator" w:id="0">
    <w:p w14:paraId="4DA86486" w14:textId="77777777" w:rsidR="00131B18" w:rsidRDefault="00131B18" w:rsidP="00DD77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thJax_Main">
    <w:altName w:val="Cambria"/>
    <w:panose1 w:val="00000000000000000000"/>
    <w:charset w:val="00"/>
    <w:family w:val="roman"/>
    <w:notTrueType/>
    <w:pitch w:val="default"/>
  </w:font>
  <w:font w:name="MathJax_Math-italic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D642DC" w14:textId="3BC2C0CF" w:rsidR="00DD777E" w:rsidRDefault="00DD777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396BA1D0" wp14:editId="38F7129D">
              <wp:simplePos x="0" y="0"/>
              <wp:positionH relativeFrom="page">
                <wp:posOffset>0</wp:posOffset>
              </wp:positionH>
              <wp:positionV relativeFrom="page">
                <wp:posOffset>10248900</wp:posOffset>
              </wp:positionV>
              <wp:extent cx="7560310" cy="252095"/>
              <wp:effectExtent l="0" t="0" r="0" b="14605"/>
              <wp:wrapNone/>
              <wp:docPr id="1" name="MSIPCM29ca4de99d02b05f9cdf269b" descr="{&quot;HashCode&quot;:1622173095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520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9B30C42" w14:textId="3C9C9A00" w:rsidR="00DD777E" w:rsidRPr="00DD777E" w:rsidRDefault="00DD777E" w:rsidP="00DD777E">
                          <w:pPr>
                            <w:spacing w:after="0"/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</w:pPr>
                          <w:r w:rsidRPr="00DD777E">
                            <w:rPr>
                              <w:rFonts w:ascii="Arial" w:hAnsi="Arial" w:cs="Arial"/>
                              <w:color w:val="000000"/>
                              <w:sz w:val="16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96BA1D0" id="_x0000_t202" coordsize="21600,21600" o:spt="202" path="m,l,21600r21600,l21600,xe">
              <v:stroke joinstyle="miter"/>
              <v:path gradientshapeok="t" o:connecttype="rect"/>
            </v:shapetype>
            <v:shape id="MSIPCM29ca4de99d02b05f9cdf269b" o:spid="_x0000_s1026" type="#_x0000_t202" alt="{&quot;HashCode&quot;:1622173095,&quot;Height&quot;:841.0,&quot;Width&quot;:595.0,&quot;Placement&quot;:&quot;Footer&quot;,&quot;Index&quot;:&quot;Primary&quot;,&quot;Section&quot;:1,&quot;Top&quot;:0.0,&quot;Left&quot;:0.0}" style="position:absolute;margin-left:0;margin-top:807pt;width:595.3pt;height:19.8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" o:allowincell="f" filled="f" stroked="f" strokeweight=".5pt">
              <v:fill o:detectmouseclick="t"/>
              <v:textbox inset="20pt,0,,0">
                <w:txbxContent>
                  <w:p w14:paraId="19B30C42" w14:textId="3C9C9A00" w:rsidR="00DD777E" w:rsidRPr="00DD777E" w:rsidRDefault="00DD777E" w:rsidP="00DD777E">
                    <w:pPr>
                      <w:spacing w:after="0"/>
                      <w:rPr>
                        <w:rFonts w:ascii="Arial" w:hAnsi="Arial" w:cs="Arial"/>
                        <w:color w:val="000000"/>
                        <w:sz w:val="16"/>
                      </w:rPr>
                    </w:pPr>
                    <w:r w:rsidRPr="00DD777E">
                      <w:rPr>
                        <w:rFonts w:ascii="Arial" w:hAnsi="Arial" w:cs="Arial"/>
                        <w:color w:val="000000"/>
                        <w:sz w:val="16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90EA71" w14:textId="77777777" w:rsidR="00131B18" w:rsidRDefault="00131B18" w:rsidP="00DD777E">
      <w:pPr>
        <w:spacing w:after="0" w:line="240" w:lineRule="auto"/>
      </w:pPr>
      <w:r>
        <w:separator/>
      </w:r>
    </w:p>
  </w:footnote>
  <w:footnote w:type="continuationSeparator" w:id="0">
    <w:p w14:paraId="48F9720B" w14:textId="77777777" w:rsidR="00131B18" w:rsidRDefault="00131B18" w:rsidP="00DD77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03BE7"/>
    <w:multiLevelType w:val="multilevel"/>
    <w:tmpl w:val="BC3016F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0F0549"/>
    <w:multiLevelType w:val="multilevel"/>
    <w:tmpl w:val="D864F6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DC61EF4"/>
    <w:multiLevelType w:val="multilevel"/>
    <w:tmpl w:val="7556BEF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B975AD"/>
    <w:multiLevelType w:val="multilevel"/>
    <w:tmpl w:val="6934465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C2473A7"/>
    <w:multiLevelType w:val="multilevel"/>
    <w:tmpl w:val="3782D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3E352F2D"/>
    <w:multiLevelType w:val="multilevel"/>
    <w:tmpl w:val="05DAE39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D44CC2"/>
    <w:multiLevelType w:val="multilevel"/>
    <w:tmpl w:val="D7FEAA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0E52C8"/>
    <w:multiLevelType w:val="multilevel"/>
    <w:tmpl w:val="FB64F9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DD2344C"/>
    <w:multiLevelType w:val="multilevel"/>
    <w:tmpl w:val="F2FA27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8BD57BD"/>
    <w:multiLevelType w:val="multilevel"/>
    <w:tmpl w:val="5622D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1075776"/>
    <w:multiLevelType w:val="multilevel"/>
    <w:tmpl w:val="236405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C036507"/>
    <w:multiLevelType w:val="multilevel"/>
    <w:tmpl w:val="F0E0575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27854004">
    <w:abstractNumId w:val="9"/>
  </w:num>
  <w:num w:numId="2" w16cid:durableId="2134009800">
    <w:abstractNumId w:val="2"/>
  </w:num>
  <w:num w:numId="3" w16cid:durableId="1138720173">
    <w:abstractNumId w:val="4"/>
  </w:num>
  <w:num w:numId="4" w16cid:durableId="501161375">
    <w:abstractNumId w:val="6"/>
  </w:num>
  <w:num w:numId="5" w16cid:durableId="392899398">
    <w:abstractNumId w:val="7"/>
  </w:num>
  <w:num w:numId="6" w16cid:durableId="1551308222">
    <w:abstractNumId w:val="10"/>
  </w:num>
  <w:num w:numId="7" w16cid:durableId="1166476071">
    <w:abstractNumId w:val="5"/>
  </w:num>
  <w:num w:numId="8" w16cid:durableId="385908284">
    <w:abstractNumId w:val="8"/>
  </w:num>
  <w:num w:numId="9" w16cid:durableId="353045116">
    <w:abstractNumId w:val="1"/>
  </w:num>
  <w:num w:numId="10" w16cid:durableId="1592811470">
    <w:abstractNumId w:val="0"/>
  </w:num>
  <w:num w:numId="11" w16cid:durableId="984578273">
    <w:abstractNumId w:val="11"/>
  </w:num>
  <w:num w:numId="12" w16cid:durableId="55839760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777E"/>
    <w:rsid w:val="000E0AA3"/>
    <w:rsid w:val="00131B18"/>
    <w:rsid w:val="00262588"/>
    <w:rsid w:val="00A547BA"/>
    <w:rsid w:val="00C22DCF"/>
    <w:rsid w:val="00DD777E"/>
    <w:rsid w:val="00F32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5105EF"/>
  <w15:chartTrackingRefBased/>
  <w15:docId w15:val="{878EFF2B-47E9-4F95-8E38-D3B39CA00A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47BA"/>
    <w:rPr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D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paragraph">
    <w:name w:val="paragraph"/>
    <w:basedOn w:val="Normal"/>
    <w:rsid w:val="00DD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textrun">
    <w:name w:val="textrun"/>
    <w:basedOn w:val="DefaultParagraphFont"/>
    <w:rsid w:val="00DD777E"/>
  </w:style>
  <w:style w:type="character" w:customStyle="1" w:styleId="normaltextrun">
    <w:name w:val="normaltextrun"/>
    <w:basedOn w:val="DefaultParagraphFont"/>
    <w:rsid w:val="00DD777E"/>
  </w:style>
  <w:style w:type="character" w:customStyle="1" w:styleId="eop">
    <w:name w:val="eop"/>
    <w:basedOn w:val="DefaultParagraphFont"/>
    <w:rsid w:val="00DD777E"/>
  </w:style>
  <w:style w:type="character" w:customStyle="1" w:styleId="mathequationcontainer">
    <w:name w:val="mathequationcontainer"/>
    <w:basedOn w:val="DefaultParagraphFont"/>
    <w:rsid w:val="00DD777E"/>
  </w:style>
  <w:style w:type="character" w:customStyle="1" w:styleId="mathspan">
    <w:name w:val="mathspan"/>
    <w:basedOn w:val="DefaultParagraphFont"/>
    <w:rsid w:val="00DD777E"/>
  </w:style>
  <w:style w:type="character" w:customStyle="1" w:styleId="mathjaxpreview">
    <w:name w:val="mathjax_preview"/>
    <w:basedOn w:val="DefaultParagraphFont"/>
    <w:rsid w:val="00DD777E"/>
  </w:style>
  <w:style w:type="character" w:customStyle="1" w:styleId="mathjax">
    <w:name w:val="mathjax"/>
    <w:basedOn w:val="DefaultParagraphFont"/>
    <w:rsid w:val="00DD777E"/>
  </w:style>
  <w:style w:type="character" w:customStyle="1" w:styleId="math">
    <w:name w:val="math"/>
    <w:basedOn w:val="DefaultParagraphFont"/>
    <w:rsid w:val="00DD777E"/>
  </w:style>
  <w:style w:type="character" w:customStyle="1" w:styleId="scxw219880938">
    <w:name w:val="scxw219880938"/>
    <w:basedOn w:val="DefaultParagraphFont"/>
    <w:rsid w:val="00DD777E"/>
  </w:style>
  <w:style w:type="character" w:customStyle="1" w:styleId="mrow">
    <w:name w:val="mrow"/>
    <w:basedOn w:val="DefaultParagraphFont"/>
    <w:rsid w:val="00DD777E"/>
  </w:style>
  <w:style w:type="character" w:customStyle="1" w:styleId="msub">
    <w:name w:val="msub"/>
    <w:basedOn w:val="DefaultParagraphFont"/>
    <w:rsid w:val="00DD777E"/>
  </w:style>
  <w:style w:type="character" w:customStyle="1" w:styleId="mi">
    <w:name w:val="mi"/>
    <w:basedOn w:val="DefaultParagraphFont"/>
    <w:rsid w:val="00DD777E"/>
  </w:style>
  <w:style w:type="character" w:customStyle="1" w:styleId="mo">
    <w:name w:val="mo"/>
    <w:basedOn w:val="DefaultParagraphFont"/>
    <w:rsid w:val="00DD777E"/>
  </w:style>
  <w:style w:type="character" w:customStyle="1" w:styleId="mfrac">
    <w:name w:val="mfrac"/>
    <w:basedOn w:val="DefaultParagraphFont"/>
    <w:rsid w:val="00DD777E"/>
  </w:style>
  <w:style w:type="character" w:customStyle="1" w:styleId="mn">
    <w:name w:val="mn"/>
    <w:basedOn w:val="DefaultParagraphFont"/>
    <w:rsid w:val="00DD777E"/>
  </w:style>
  <w:style w:type="paragraph" w:customStyle="1" w:styleId="outlineelement">
    <w:name w:val="outlineelement"/>
    <w:basedOn w:val="Normal"/>
    <w:rsid w:val="00DD77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agebreakblob">
    <w:name w:val="pagebreakblob"/>
    <w:basedOn w:val="DefaultParagraphFont"/>
    <w:rsid w:val="00DD777E"/>
  </w:style>
  <w:style w:type="character" w:customStyle="1" w:styleId="pagebreakborderspan">
    <w:name w:val="pagebreakborderspan"/>
    <w:basedOn w:val="DefaultParagraphFont"/>
    <w:rsid w:val="00DD777E"/>
  </w:style>
  <w:style w:type="character" w:customStyle="1" w:styleId="pagebreaktextspan">
    <w:name w:val="pagebreaktextspan"/>
    <w:basedOn w:val="DefaultParagraphFont"/>
    <w:rsid w:val="00DD777E"/>
  </w:style>
  <w:style w:type="paragraph" w:styleId="Header">
    <w:name w:val="header"/>
    <w:basedOn w:val="Normal"/>
    <w:link w:val="HeaderChar"/>
    <w:uiPriority w:val="99"/>
    <w:unhideWhenUsed/>
    <w:rsid w:val="00DD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777E"/>
    <w:rPr>
      <w:sz w:val="18"/>
    </w:rPr>
  </w:style>
  <w:style w:type="paragraph" w:styleId="Footer">
    <w:name w:val="footer"/>
    <w:basedOn w:val="Normal"/>
    <w:link w:val="FooterChar"/>
    <w:uiPriority w:val="99"/>
    <w:unhideWhenUsed/>
    <w:rsid w:val="00DD777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777E"/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1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91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2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7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1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092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89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529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84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843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447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5399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9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678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391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868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53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98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7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515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829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899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011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26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300816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89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8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0024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999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970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41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2221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35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12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694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9374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0889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138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3748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242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9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15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581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51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1434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22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19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427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671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245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5820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774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294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4656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1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736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723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6937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173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567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596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712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6058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340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691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6791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7411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25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61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52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100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570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6404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6987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403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2886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9337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6924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482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784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3518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244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77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895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05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23415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249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2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911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14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79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9353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31942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618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290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3281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3381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9426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14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1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0520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2283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233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765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751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846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2019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61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6382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080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4987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92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374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45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2362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10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1757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6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66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976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39696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249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833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320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1750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3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993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73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0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8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2752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95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452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467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008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9317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82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0266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146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245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36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902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202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356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704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49008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918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193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22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69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516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895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6382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027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9910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57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04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837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4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85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138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269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0862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000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21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701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821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091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237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86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590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54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43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10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2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8152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979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9128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7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6289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2231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6910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87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629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615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994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016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2527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961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7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1177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99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7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31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1461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263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229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36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835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7507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9351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9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2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812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36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057152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906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12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04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061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333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774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4502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722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6013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149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52420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847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9164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267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3006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4865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347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121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1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93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0240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4392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3603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04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873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091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3829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035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711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707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101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264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19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752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909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6593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91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199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522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5356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6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6915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628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93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230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10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16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3346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8232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32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49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914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4865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63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23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56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8283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430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34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670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1185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9769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6907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6561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210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894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574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970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5019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8455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814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20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550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841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390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47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2140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0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14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5490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3080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5451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8185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77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62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387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720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541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711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1509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54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4975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03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091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59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4442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08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55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5367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872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382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161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18157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744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1399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546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865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8536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198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6859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997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78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00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22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1703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06639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7597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63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373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21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1543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56382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486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6688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01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1828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3777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81485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0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508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503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82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64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1244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8200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76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693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4059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682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96293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338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1084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68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207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7211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363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848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38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93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324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86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30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9952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789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308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2676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54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0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047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9248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330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0180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90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154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142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52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485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1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388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742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03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118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4714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927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676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877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05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1789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9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1993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14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0735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398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4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1131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4916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516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242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3283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156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3441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81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537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7582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7449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88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57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16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152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5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85002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606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39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7355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32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459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019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780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732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052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7387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241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6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0995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64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0742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471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148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2487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8642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2152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6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23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8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451337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18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5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609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947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5591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2148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146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561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3365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8309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7330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27442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294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31365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735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5469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2175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195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7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7190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5816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41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449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35278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143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1052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7195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315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36524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9500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3567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8228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8040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272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047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6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694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379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9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087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6012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0418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655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56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340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696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99418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815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16480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158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091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7255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0242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26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720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26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81422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5444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08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0077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1025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9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823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52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6621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429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576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88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3347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995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1662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6104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30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7597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8049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9355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637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6737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5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951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442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97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1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62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02469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669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1680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869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493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283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00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53164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566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3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9341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320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06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868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07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70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936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29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4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94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290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455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589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71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9978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02693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3766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19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296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9496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045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077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939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60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972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610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30525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77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455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773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394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69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170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031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35614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361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3286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524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909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467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135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9959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59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367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86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8782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087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6338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1041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121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24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9599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2236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2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481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8422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15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202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584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180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953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4525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0146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927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3251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740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968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28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74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80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7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06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4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5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767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490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887051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3542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58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50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4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209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52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45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1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607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4733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983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57165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556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3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906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6647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59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764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89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20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981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4151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385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Skoda-Verdana">
      <a:majorFont>
        <a:latin typeface="Verdan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1646</Words>
  <Characters>9383</Characters>
  <Application>Microsoft Office Word</Application>
  <DocSecurity>0</DocSecurity>
  <Lines>78</Lines>
  <Paragraphs>22</Paragraphs>
  <ScaleCrop>false</ScaleCrop>
  <Company>SKODA AUTO a.s.</Company>
  <LinksUpToDate>false</LinksUpToDate>
  <CharactersWithSpaces>11007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Laibl, Vladimir (SE TP)</dc:creator>
  <cp:keywords/>
  <dc:description/>
  <cp:lastModifiedBy>EY Law CZ</cp:lastModifiedBy>
  <cp:revision>3</cp:revision>
  <dcterms:created xsi:type="dcterms:W3CDTF">2023-11-10T07:49:00Z</dcterms:created>
  <dcterms:modified xsi:type="dcterms:W3CDTF">2023-11-15T10:58:00Z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c9b508-7c6e-42bd-bedf-808292653d6c_Enabled">
    <vt:lpwstr>true</vt:lpwstr>
  </property>
  <property fmtid="{D5CDD505-2E9C-101B-9397-08002B2CF9AE}" pid="3" name="MSIP_Label_b1c9b508-7c6e-42bd-bedf-808292653d6c_SetDate">
    <vt:lpwstr>2023-11-10T08:01:34Z</vt:lpwstr>
  </property>
  <property fmtid="{D5CDD505-2E9C-101B-9397-08002B2CF9AE}" pid="4" name="MSIP_Label_b1c9b508-7c6e-42bd-bedf-808292653d6c_Method">
    <vt:lpwstr>Standard</vt:lpwstr>
  </property>
  <property fmtid="{D5CDD505-2E9C-101B-9397-08002B2CF9AE}" pid="5" name="MSIP_Label_b1c9b508-7c6e-42bd-bedf-808292653d6c_Name">
    <vt:lpwstr>b1c9b508-7c6e-42bd-bedf-808292653d6c</vt:lpwstr>
  </property>
  <property fmtid="{D5CDD505-2E9C-101B-9397-08002B2CF9AE}" pid="6" name="MSIP_Label_b1c9b508-7c6e-42bd-bedf-808292653d6c_SiteId">
    <vt:lpwstr>2882be50-2012-4d88-ac86-544124e120c8</vt:lpwstr>
  </property>
  <property fmtid="{D5CDD505-2E9C-101B-9397-08002B2CF9AE}" pid="7" name="MSIP_Label_b1c9b508-7c6e-42bd-bedf-808292653d6c_ActionId">
    <vt:lpwstr>73add129-feec-4792-b684-5285538ace64</vt:lpwstr>
  </property>
  <property fmtid="{D5CDD505-2E9C-101B-9397-08002B2CF9AE}" pid="8" name="MSIP_Label_b1c9b508-7c6e-42bd-bedf-808292653d6c_ContentBits">
    <vt:lpwstr>3</vt:lpwstr>
  </property>
</Properties>
</file>