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6DF52" w14:textId="71E04811" w:rsidR="005A6E13" w:rsidRPr="005A6E13" w:rsidRDefault="005A6E13" w:rsidP="005A6E13">
      <w:pPr>
        <w:pStyle w:val="Nadpis2"/>
        <w:spacing w:before="360" w:after="180"/>
        <w:ind w:left="567" w:hanging="567"/>
        <w:contextualSpacing/>
        <w:jc w:val="left"/>
        <w:rPr>
          <w:rFonts w:ascii="Calibri" w:hAnsi="Calibri" w:cs="Arial"/>
          <w:iCs/>
          <w:smallCaps/>
          <w:color w:val="000000" w:themeColor="text1"/>
          <w:kern w:val="32"/>
          <w:szCs w:val="24"/>
          <w:u w:val="none"/>
        </w:rPr>
      </w:pPr>
      <w:bookmarkStart w:id="0" w:name="_GoBack"/>
      <w:bookmarkEnd w:id="0"/>
      <w:r w:rsidRPr="005A6E13">
        <w:rPr>
          <w:rFonts w:ascii="Calibri" w:hAnsi="Calibri" w:cs="Arial"/>
          <w:iCs/>
          <w:smallCaps/>
          <w:color w:val="000000" w:themeColor="text1"/>
          <w:kern w:val="32"/>
          <w:szCs w:val="24"/>
          <w:u w:val="none"/>
        </w:rPr>
        <w:t xml:space="preserve">Příloha </w:t>
      </w:r>
      <w:r>
        <w:rPr>
          <w:rFonts w:ascii="Calibri" w:hAnsi="Calibri" w:cs="Arial"/>
          <w:iCs/>
          <w:smallCaps/>
          <w:color w:val="000000" w:themeColor="text1"/>
          <w:kern w:val="32"/>
          <w:szCs w:val="24"/>
          <w:u w:val="none"/>
        </w:rPr>
        <w:t>č</w:t>
      </w:r>
      <w:r w:rsidRPr="005A6E13">
        <w:rPr>
          <w:rFonts w:ascii="Calibri" w:hAnsi="Calibri" w:cs="Arial"/>
          <w:iCs/>
          <w:smallCaps/>
          <w:color w:val="000000" w:themeColor="text1"/>
          <w:kern w:val="32"/>
          <w:szCs w:val="24"/>
          <w:u w:val="none"/>
        </w:rPr>
        <w:t xml:space="preserve">. 6 </w:t>
      </w:r>
      <w:r w:rsidR="00105AC3">
        <w:rPr>
          <w:rFonts w:ascii="Calibri" w:hAnsi="Calibri" w:cs="Arial"/>
          <w:iCs/>
          <w:smallCaps/>
          <w:color w:val="000000" w:themeColor="text1"/>
          <w:kern w:val="32"/>
          <w:szCs w:val="24"/>
          <w:u w:val="none"/>
        </w:rPr>
        <w:t xml:space="preserve">– Závazný návrh kupní smlouvy </w:t>
      </w:r>
    </w:p>
    <w:p w14:paraId="3AC563D8" w14:textId="617E7C63" w:rsidR="00697B0C" w:rsidRPr="005A6E13" w:rsidRDefault="00697B0C" w:rsidP="00697B0C">
      <w:pPr>
        <w:pStyle w:val="Nadpis1"/>
        <w:spacing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Kupní smlouva</w:t>
      </w:r>
    </w:p>
    <w:p w14:paraId="419432C1" w14:textId="77777777" w:rsidR="00697B0C" w:rsidRPr="005A6E13" w:rsidRDefault="00697B0C" w:rsidP="00697B0C">
      <w:pPr>
        <w:jc w:val="center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uzavřená mezi těmito smluvními stranami</w:t>
      </w:r>
    </w:p>
    <w:p w14:paraId="6D6BF56B" w14:textId="77777777" w:rsidR="00697B0C" w:rsidRPr="005A6E13" w:rsidRDefault="00697B0C" w:rsidP="00697B0C">
      <w:pPr>
        <w:jc w:val="center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podle ust. § 2079 a násl. zák. č. 89/2012 Sb., občanského zákoníku, v platném znění</w:t>
      </w:r>
    </w:p>
    <w:p w14:paraId="61B30BDF" w14:textId="77777777" w:rsidR="00697B0C" w:rsidRPr="005A6E13" w:rsidRDefault="00697B0C" w:rsidP="00697B0C">
      <w:pPr>
        <w:jc w:val="center"/>
        <w:rPr>
          <w:rFonts w:asciiTheme="minorHAnsi" w:hAnsiTheme="minorHAnsi" w:cstheme="minorHAnsi"/>
          <w:szCs w:val="22"/>
        </w:rPr>
      </w:pPr>
    </w:p>
    <w:p w14:paraId="2CDB498C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</w:p>
    <w:p w14:paraId="73A14A09" w14:textId="77777777" w:rsidR="00697B0C" w:rsidRPr="005A6E13" w:rsidRDefault="00697B0C" w:rsidP="00697B0C">
      <w:pPr>
        <w:rPr>
          <w:rFonts w:asciiTheme="minorHAnsi" w:hAnsiTheme="minorHAnsi" w:cstheme="minorHAnsi"/>
          <w:b/>
          <w:szCs w:val="22"/>
        </w:rPr>
      </w:pPr>
      <w:r w:rsidRPr="005A6E13">
        <w:rPr>
          <w:rFonts w:asciiTheme="minorHAnsi" w:hAnsiTheme="minorHAnsi" w:cstheme="minorHAnsi"/>
          <w:b/>
          <w:szCs w:val="22"/>
        </w:rPr>
        <w:t>Cooper-Standard Automotive Česká republika s.r.o.</w:t>
      </w:r>
    </w:p>
    <w:p w14:paraId="0DA234BB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IČO: 25824031</w:t>
      </w:r>
    </w:p>
    <w:p w14:paraId="22CDAE58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DIČ: CZ25824031</w:t>
      </w:r>
    </w:p>
    <w:p w14:paraId="47A63997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sídlo: Jamská 2191/33, Žďár nad Sázavou 1, 591 01 Žďár nad Sázavou</w:t>
      </w:r>
    </w:p>
    <w:p w14:paraId="4EFC249B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zastoupen: Janem Barákem a Františkem Šustrem, prokuristy</w:t>
      </w:r>
    </w:p>
    <w:p w14:paraId="3A15247A" w14:textId="77777777" w:rsidR="00697B0C" w:rsidRPr="005A6E13" w:rsidRDefault="00697B0C" w:rsidP="00697B0C">
      <w:pPr>
        <w:spacing w:after="12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zapsaná v obchodním rejstříku vedeném u Krajského soudu v Brně sp. zn. C 37412</w:t>
      </w:r>
    </w:p>
    <w:p w14:paraId="582531D0" w14:textId="77777777" w:rsidR="00697B0C" w:rsidRPr="005A6E13" w:rsidRDefault="00697B0C" w:rsidP="00697B0C">
      <w:pPr>
        <w:rPr>
          <w:rFonts w:asciiTheme="minorHAnsi" w:hAnsiTheme="minorHAnsi" w:cstheme="minorHAnsi"/>
          <w:i/>
          <w:szCs w:val="22"/>
        </w:rPr>
      </w:pPr>
      <w:r w:rsidRPr="005A6E13">
        <w:rPr>
          <w:rFonts w:asciiTheme="minorHAnsi" w:hAnsiTheme="minorHAnsi" w:cstheme="minorHAnsi"/>
          <w:i/>
          <w:szCs w:val="22"/>
        </w:rPr>
        <w:t>jako kupující, dále jen „kupující“</w:t>
      </w:r>
    </w:p>
    <w:p w14:paraId="25F4DC12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</w:p>
    <w:p w14:paraId="3DAB5A68" w14:textId="77777777" w:rsidR="00697B0C" w:rsidRPr="005A6E13" w:rsidRDefault="00697B0C" w:rsidP="00697B0C">
      <w:pPr>
        <w:pStyle w:val="Seznam"/>
        <w:spacing w:after="240"/>
        <w:ind w:left="0" w:firstLine="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a</w:t>
      </w:r>
    </w:p>
    <w:p w14:paraId="71B826A3" w14:textId="77777777" w:rsidR="00F01DD8" w:rsidRPr="005A6E13" w:rsidRDefault="00F01DD8" w:rsidP="00F01DD8">
      <w:pPr>
        <w:pStyle w:val="Zkladntextodsazen"/>
        <w:rPr>
          <w:rFonts w:asciiTheme="minorHAnsi" w:hAnsiTheme="minorHAnsi" w:cstheme="minorHAnsi"/>
          <w:b/>
          <w:szCs w:val="22"/>
          <w:highlight w:val="yellow"/>
        </w:rPr>
      </w:pPr>
      <w:r w:rsidRPr="005A6E13">
        <w:rPr>
          <w:rFonts w:asciiTheme="minorHAnsi" w:hAnsiTheme="minorHAnsi" w:cstheme="minorHAnsi"/>
          <w:b/>
          <w:szCs w:val="22"/>
          <w:highlight w:val="yellow"/>
        </w:rPr>
        <w:t xml:space="preserve">Název společnosti: </w:t>
      </w:r>
    </w:p>
    <w:p w14:paraId="40AF39C5" w14:textId="77777777" w:rsidR="00697B0C" w:rsidRPr="005A6E13" w:rsidRDefault="00697B0C" w:rsidP="00697B0C">
      <w:pPr>
        <w:tabs>
          <w:tab w:val="left" w:pos="1418"/>
        </w:tabs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IČO: …</w:t>
      </w:r>
    </w:p>
    <w:p w14:paraId="1D480C77" w14:textId="77777777" w:rsidR="00697B0C" w:rsidRPr="005A6E13" w:rsidRDefault="00697B0C" w:rsidP="00697B0C">
      <w:pPr>
        <w:tabs>
          <w:tab w:val="left" w:pos="1418"/>
        </w:tabs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DIČ: …</w:t>
      </w:r>
    </w:p>
    <w:p w14:paraId="7012F929" w14:textId="77777777" w:rsidR="00697B0C" w:rsidRPr="005A6E13" w:rsidRDefault="00697B0C" w:rsidP="00697B0C">
      <w:pPr>
        <w:tabs>
          <w:tab w:val="left" w:pos="1418"/>
        </w:tabs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sídlo: …</w:t>
      </w:r>
    </w:p>
    <w:p w14:paraId="22ED821F" w14:textId="77777777" w:rsidR="00697B0C" w:rsidRPr="005A6E13" w:rsidRDefault="00697B0C" w:rsidP="00697B0C">
      <w:pPr>
        <w:tabs>
          <w:tab w:val="left" w:pos="1418"/>
        </w:tabs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zastoupena: …</w:t>
      </w:r>
    </w:p>
    <w:p w14:paraId="0CA5AC37" w14:textId="77777777" w:rsidR="00697B0C" w:rsidRPr="005A6E13" w:rsidRDefault="00697B0C" w:rsidP="00697B0C">
      <w:pPr>
        <w:pStyle w:val="Zkladntext2"/>
        <w:tabs>
          <w:tab w:val="left" w:pos="1418"/>
        </w:tabs>
        <w:spacing w:after="240"/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zapsaná v obchodním rejstříku vedeném u …</w:t>
      </w:r>
    </w:p>
    <w:p w14:paraId="4ACC825C" w14:textId="77777777" w:rsidR="00697B0C" w:rsidRPr="005A6E13" w:rsidRDefault="00697B0C" w:rsidP="00697B0C">
      <w:pPr>
        <w:pStyle w:val="Zkladntext2"/>
        <w:spacing w:after="12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bankovní spojení: …</w:t>
      </w:r>
    </w:p>
    <w:p w14:paraId="22B1EF19" w14:textId="77777777" w:rsidR="00697B0C" w:rsidRPr="005A6E13" w:rsidRDefault="00697B0C" w:rsidP="00697B0C">
      <w:pPr>
        <w:pStyle w:val="Nadpis5"/>
        <w:spacing w:before="0" w:after="0"/>
        <w:rPr>
          <w:rFonts w:asciiTheme="minorHAnsi" w:hAnsiTheme="minorHAnsi" w:cstheme="minorHAnsi"/>
          <w:i/>
          <w:szCs w:val="22"/>
        </w:rPr>
      </w:pPr>
      <w:r w:rsidRPr="005A6E13">
        <w:rPr>
          <w:rFonts w:asciiTheme="minorHAnsi" w:hAnsiTheme="minorHAnsi" w:cstheme="minorHAnsi"/>
          <w:i/>
          <w:szCs w:val="22"/>
        </w:rPr>
        <w:t>jako prodávající, dále jen „prodávající“</w:t>
      </w:r>
    </w:p>
    <w:p w14:paraId="1F2E463C" w14:textId="77777777" w:rsidR="00697B0C" w:rsidRPr="005A6E13" w:rsidRDefault="00697B0C" w:rsidP="00697B0C">
      <w:pPr>
        <w:pStyle w:val="Nadpis2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D492F75" w14:textId="77777777" w:rsidR="00697B0C" w:rsidRPr="005A6E13" w:rsidRDefault="00697B0C" w:rsidP="00697B0C">
      <w:pPr>
        <w:pStyle w:val="Nadpis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I.</w:t>
      </w:r>
      <w:r w:rsidRPr="005A6E13">
        <w:rPr>
          <w:rFonts w:asciiTheme="minorHAnsi" w:hAnsiTheme="minorHAnsi" w:cstheme="minorHAnsi"/>
          <w:sz w:val="22"/>
          <w:szCs w:val="22"/>
        </w:rPr>
        <w:br/>
        <w:t>Předmět smlouvy</w:t>
      </w:r>
    </w:p>
    <w:p w14:paraId="0BAE762C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</w:p>
    <w:p w14:paraId="3EF82138" w14:textId="009910D4" w:rsidR="00697B0C" w:rsidRPr="005A6E13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Předmětem smlouvy je dodávka</w:t>
      </w:r>
      <w:r w:rsidR="00577C1B" w:rsidRPr="005A6E13">
        <w:rPr>
          <w:rFonts w:asciiTheme="minorHAnsi" w:hAnsiTheme="minorHAnsi" w:cstheme="minorHAnsi"/>
          <w:szCs w:val="22"/>
        </w:rPr>
        <w:t xml:space="preserve"> </w:t>
      </w:r>
      <w:r w:rsidR="00E40F11" w:rsidRPr="005A6E13">
        <w:rPr>
          <w:rFonts w:asciiTheme="minorHAnsi" w:hAnsiTheme="minorHAnsi" w:cstheme="minorHAnsi"/>
          <w:b/>
          <w:szCs w:val="22"/>
        </w:rPr>
        <w:t xml:space="preserve">nízkozdvižného </w:t>
      </w:r>
      <w:r w:rsidR="00577C1B" w:rsidRPr="005A6E13">
        <w:rPr>
          <w:rFonts w:asciiTheme="minorHAnsi" w:hAnsiTheme="minorHAnsi" w:cstheme="minorHAnsi"/>
          <w:b/>
          <w:szCs w:val="22"/>
        </w:rPr>
        <w:t>manipulační</w:t>
      </w:r>
      <w:r w:rsidR="00CB6662" w:rsidRPr="005A6E13">
        <w:rPr>
          <w:rFonts w:asciiTheme="minorHAnsi" w:hAnsiTheme="minorHAnsi" w:cstheme="minorHAnsi"/>
          <w:b/>
          <w:szCs w:val="22"/>
        </w:rPr>
        <w:t>ho</w:t>
      </w:r>
      <w:r w:rsidR="00577C1B" w:rsidRPr="005A6E13">
        <w:rPr>
          <w:rFonts w:asciiTheme="minorHAnsi" w:hAnsiTheme="minorHAnsi" w:cstheme="minorHAnsi"/>
          <w:b/>
          <w:szCs w:val="22"/>
        </w:rPr>
        <w:t xml:space="preserve"> </w:t>
      </w:r>
      <w:r w:rsidR="00CB6662" w:rsidRPr="005A6E13">
        <w:rPr>
          <w:rFonts w:asciiTheme="minorHAnsi" w:hAnsiTheme="minorHAnsi" w:cstheme="minorHAnsi"/>
          <w:b/>
          <w:szCs w:val="22"/>
        </w:rPr>
        <w:t>vozíku</w:t>
      </w:r>
      <w:r w:rsidR="00577C1B" w:rsidRPr="005A6E13">
        <w:rPr>
          <w:rFonts w:asciiTheme="minorHAnsi" w:hAnsiTheme="minorHAnsi" w:cstheme="minorHAnsi"/>
          <w:szCs w:val="22"/>
        </w:rPr>
        <w:t xml:space="preserve"> na elektrický pohon, určené</w:t>
      </w:r>
      <w:r w:rsidR="00CB6662" w:rsidRPr="005A6E13">
        <w:rPr>
          <w:rFonts w:asciiTheme="minorHAnsi" w:hAnsiTheme="minorHAnsi" w:cstheme="minorHAnsi"/>
          <w:szCs w:val="22"/>
        </w:rPr>
        <w:t>ho</w:t>
      </w:r>
      <w:r w:rsidR="00577C1B" w:rsidRPr="005A6E13">
        <w:rPr>
          <w:rFonts w:asciiTheme="minorHAnsi" w:hAnsiTheme="minorHAnsi" w:cstheme="minorHAnsi"/>
          <w:szCs w:val="22"/>
        </w:rPr>
        <w:t xml:space="preserve"> k manipulaci </w:t>
      </w:r>
      <w:r w:rsidR="00CB6662" w:rsidRPr="005A6E13">
        <w:rPr>
          <w:rFonts w:asciiTheme="minorHAnsi" w:hAnsiTheme="minorHAnsi" w:cstheme="minorHAnsi"/>
          <w:szCs w:val="22"/>
        </w:rPr>
        <w:t xml:space="preserve">palet </w:t>
      </w:r>
      <w:r w:rsidR="00577C1B" w:rsidRPr="005A6E13">
        <w:rPr>
          <w:rFonts w:asciiTheme="minorHAnsi" w:hAnsiTheme="minorHAnsi" w:cstheme="minorHAnsi"/>
          <w:szCs w:val="22"/>
        </w:rPr>
        <w:t>se svitky ocelového plechu</w:t>
      </w:r>
      <w:r w:rsidRPr="005A6E13">
        <w:rPr>
          <w:rFonts w:asciiTheme="minorHAnsi" w:hAnsiTheme="minorHAnsi" w:cstheme="minorHAnsi"/>
          <w:szCs w:val="22"/>
        </w:rPr>
        <w:t>, která je specifikována v</w:t>
      </w:r>
      <w:r w:rsidR="008E3A9B" w:rsidRPr="005A6E13">
        <w:rPr>
          <w:rFonts w:asciiTheme="minorHAnsi" w:hAnsiTheme="minorHAnsi" w:cstheme="minorHAnsi"/>
          <w:szCs w:val="22"/>
        </w:rPr>
        <w:t xml:space="preserve"> Příloze </w:t>
      </w:r>
      <w:r w:rsidR="007B55CB">
        <w:rPr>
          <w:rFonts w:asciiTheme="minorHAnsi" w:hAnsiTheme="minorHAnsi" w:cstheme="minorHAnsi"/>
          <w:szCs w:val="22"/>
        </w:rPr>
        <w:t xml:space="preserve">č. </w:t>
      </w:r>
      <w:r w:rsidR="00B85E86" w:rsidRPr="005A6E13">
        <w:rPr>
          <w:rFonts w:asciiTheme="minorHAnsi" w:hAnsiTheme="minorHAnsi" w:cstheme="minorHAnsi"/>
          <w:szCs w:val="22"/>
        </w:rPr>
        <w:t>5</w:t>
      </w:r>
      <w:r w:rsidR="007B55CB">
        <w:rPr>
          <w:rFonts w:asciiTheme="minorHAnsi" w:hAnsiTheme="minorHAnsi" w:cstheme="minorHAnsi"/>
          <w:szCs w:val="22"/>
        </w:rPr>
        <w:t xml:space="preserve"> ZD</w:t>
      </w:r>
      <w:r w:rsidR="008E3A9B" w:rsidRPr="005A6E13">
        <w:rPr>
          <w:rFonts w:asciiTheme="minorHAnsi" w:hAnsiTheme="minorHAnsi" w:cstheme="minorHAnsi"/>
          <w:szCs w:val="22"/>
        </w:rPr>
        <w:t xml:space="preserve"> – Technická specifikace Nízkozdvižného manipulační</w:t>
      </w:r>
      <w:r w:rsidR="00EF0D91">
        <w:rPr>
          <w:rFonts w:asciiTheme="minorHAnsi" w:hAnsiTheme="minorHAnsi" w:cstheme="minorHAnsi"/>
          <w:szCs w:val="22"/>
        </w:rPr>
        <w:t>ho</w:t>
      </w:r>
      <w:r w:rsidR="008E3A9B" w:rsidRPr="005A6E13">
        <w:rPr>
          <w:rFonts w:asciiTheme="minorHAnsi" w:hAnsiTheme="minorHAnsi" w:cstheme="minorHAnsi"/>
          <w:szCs w:val="22"/>
        </w:rPr>
        <w:t xml:space="preserve"> vozíku, </w:t>
      </w:r>
      <w:r w:rsidR="00577C1B" w:rsidRPr="005A6E13">
        <w:rPr>
          <w:rFonts w:asciiTheme="minorHAnsi" w:hAnsiTheme="minorHAnsi" w:cstheme="minorHAnsi"/>
          <w:szCs w:val="22"/>
        </w:rPr>
        <w:t xml:space="preserve">specifikaci kupujícího č. </w:t>
      </w:r>
      <w:r w:rsidR="00E40F11" w:rsidRPr="005A6E13">
        <w:rPr>
          <w:rFonts w:asciiTheme="minorHAnsi" w:hAnsiTheme="minorHAnsi" w:cstheme="minorHAnsi"/>
          <w:szCs w:val="22"/>
          <w:highlight w:val="yellow"/>
        </w:rPr>
        <w:t>[●]</w:t>
      </w:r>
      <w:r w:rsidR="00E40F11" w:rsidRPr="005A6E13">
        <w:rPr>
          <w:rFonts w:asciiTheme="minorHAnsi" w:hAnsiTheme="minorHAnsi" w:cstheme="minorHAnsi"/>
          <w:szCs w:val="22"/>
        </w:rPr>
        <w:t xml:space="preserve">. </w:t>
      </w:r>
      <w:r w:rsidRPr="005A6E13">
        <w:rPr>
          <w:rFonts w:asciiTheme="minorHAnsi" w:hAnsiTheme="minorHAnsi" w:cstheme="minorHAnsi"/>
          <w:szCs w:val="22"/>
        </w:rPr>
        <w:t xml:space="preserve">ze dne </w:t>
      </w:r>
      <w:r w:rsidR="00290AF9" w:rsidRPr="005A6E13">
        <w:rPr>
          <w:rFonts w:asciiTheme="minorHAnsi" w:hAnsiTheme="minorHAnsi" w:cstheme="minorHAnsi"/>
          <w:szCs w:val="22"/>
          <w:highlight w:val="yellow"/>
        </w:rPr>
        <w:t>[●]</w:t>
      </w:r>
      <w:r w:rsidR="00290AF9" w:rsidRPr="005A6E13">
        <w:rPr>
          <w:rFonts w:asciiTheme="minorHAnsi" w:hAnsiTheme="minorHAnsi" w:cstheme="minorHAnsi"/>
          <w:szCs w:val="22"/>
        </w:rPr>
        <w:t xml:space="preserve">. </w:t>
      </w:r>
      <w:r w:rsidR="005B14F0" w:rsidRPr="005A6E13">
        <w:rPr>
          <w:rFonts w:asciiTheme="minorHAnsi" w:hAnsiTheme="minorHAnsi" w:cstheme="minorHAnsi"/>
          <w:szCs w:val="22"/>
        </w:rPr>
        <w:t xml:space="preserve">(dále jen „technická dokumentace“) </w:t>
      </w:r>
      <w:r w:rsidRPr="005A6E13">
        <w:rPr>
          <w:rFonts w:asciiTheme="minorHAnsi" w:hAnsiTheme="minorHAnsi" w:cstheme="minorHAnsi"/>
          <w:szCs w:val="22"/>
        </w:rPr>
        <w:t xml:space="preserve">a cenové nabídce prodávajícího </w:t>
      </w:r>
      <w:r w:rsidRPr="005A6E13">
        <w:rPr>
          <w:rFonts w:asciiTheme="minorHAnsi" w:hAnsiTheme="minorHAnsi" w:cstheme="minorHAnsi"/>
          <w:szCs w:val="22"/>
          <w:highlight w:val="yellow"/>
        </w:rPr>
        <w:t>ze dne</w:t>
      </w:r>
      <w:r w:rsidRPr="005A6E13">
        <w:rPr>
          <w:rFonts w:asciiTheme="minorHAnsi" w:hAnsiTheme="minorHAnsi" w:cstheme="minorHAnsi"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  <w:highlight w:val="yellow"/>
        </w:rPr>
        <w:t>……</w:t>
      </w:r>
      <w:r w:rsidR="007F74E8" w:rsidRPr="005A6E13">
        <w:rPr>
          <w:rFonts w:asciiTheme="minorHAnsi" w:hAnsiTheme="minorHAnsi" w:cstheme="minorHAnsi"/>
          <w:szCs w:val="22"/>
          <w:highlight w:val="yellow"/>
        </w:rPr>
        <w:t>…………..</w:t>
      </w:r>
      <w:r w:rsidR="005B14F0" w:rsidRPr="005A6E13">
        <w:rPr>
          <w:rFonts w:asciiTheme="minorHAnsi" w:hAnsiTheme="minorHAnsi" w:cstheme="minorHAnsi"/>
          <w:szCs w:val="22"/>
        </w:rPr>
        <w:t xml:space="preserve"> (dále jen „</w:t>
      </w:r>
      <w:r w:rsidR="004E5BAE" w:rsidRPr="005A6E13">
        <w:rPr>
          <w:rFonts w:asciiTheme="minorHAnsi" w:hAnsiTheme="minorHAnsi" w:cstheme="minorHAnsi"/>
          <w:szCs w:val="22"/>
        </w:rPr>
        <w:t xml:space="preserve">cenová </w:t>
      </w:r>
      <w:r w:rsidR="005B14F0" w:rsidRPr="005A6E13">
        <w:rPr>
          <w:rFonts w:asciiTheme="minorHAnsi" w:hAnsiTheme="minorHAnsi" w:cstheme="minorHAnsi"/>
          <w:szCs w:val="22"/>
        </w:rPr>
        <w:t>nabídka“)</w:t>
      </w:r>
      <w:r w:rsidRPr="005A6E13">
        <w:rPr>
          <w:rFonts w:asciiTheme="minorHAnsi" w:hAnsiTheme="minorHAnsi" w:cstheme="minorHAnsi"/>
          <w:szCs w:val="22"/>
        </w:rPr>
        <w:t xml:space="preserve">, které tvoří přílohy č. 1 a 2 </w:t>
      </w:r>
      <w:r w:rsidR="005B14F0" w:rsidRPr="005A6E13">
        <w:rPr>
          <w:rFonts w:asciiTheme="minorHAnsi" w:hAnsiTheme="minorHAnsi" w:cstheme="minorHAnsi"/>
          <w:szCs w:val="22"/>
        </w:rPr>
        <w:t>(</w:t>
      </w:r>
      <w:r w:rsidRPr="005A6E13">
        <w:rPr>
          <w:rFonts w:asciiTheme="minorHAnsi" w:hAnsiTheme="minorHAnsi" w:cstheme="minorHAnsi"/>
          <w:szCs w:val="22"/>
        </w:rPr>
        <w:t>dále jen „zařízení“</w:t>
      </w:r>
      <w:r w:rsidR="005B14F0" w:rsidRPr="005A6E13">
        <w:rPr>
          <w:rFonts w:asciiTheme="minorHAnsi" w:hAnsiTheme="minorHAnsi" w:cstheme="minorHAnsi"/>
          <w:szCs w:val="22"/>
        </w:rPr>
        <w:t>)</w:t>
      </w:r>
      <w:r w:rsidRPr="005A6E13">
        <w:rPr>
          <w:rFonts w:asciiTheme="minorHAnsi" w:hAnsiTheme="minorHAnsi" w:cstheme="minorHAnsi"/>
          <w:szCs w:val="22"/>
        </w:rPr>
        <w:t>. V souladu s touto smlouvou se prodávající zavazuje dodat zařízení kupujícímu a převést na něj vlastnické právo a kupující se zavazuje zaplatit za ně prodávajícímu kupní cenu.</w:t>
      </w:r>
    </w:p>
    <w:p w14:paraId="501F33C4" w14:textId="77777777" w:rsidR="00697B0C" w:rsidRPr="005A6E13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Součástí dodávky zařízení je rovněž:</w:t>
      </w:r>
    </w:p>
    <w:p w14:paraId="5811B88C" w14:textId="0AA8F901" w:rsidR="00697B0C" w:rsidRPr="005A6E13" w:rsidRDefault="00697B0C" w:rsidP="00697B0C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doprava, uvedení zařízení do zkušebního provozu</w:t>
      </w:r>
      <w:r w:rsidR="00577C1B" w:rsidRPr="005A6E13">
        <w:rPr>
          <w:rFonts w:asciiTheme="minorHAnsi" w:hAnsiTheme="minorHAnsi" w:cstheme="minorHAnsi"/>
          <w:szCs w:val="22"/>
        </w:rPr>
        <w:t xml:space="preserve"> a</w:t>
      </w:r>
      <w:r w:rsidRPr="005A6E13">
        <w:rPr>
          <w:rFonts w:asciiTheme="minorHAnsi" w:hAnsiTheme="minorHAnsi" w:cstheme="minorHAnsi"/>
          <w:szCs w:val="22"/>
        </w:rPr>
        <w:t xml:space="preserve"> školení obsluhy</w:t>
      </w:r>
      <w:r w:rsidR="00A66DA5">
        <w:rPr>
          <w:rFonts w:asciiTheme="minorHAnsi" w:hAnsiTheme="minorHAnsi" w:cstheme="minorHAnsi"/>
          <w:szCs w:val="22"/>
        </w:rPr>
        <w:t xml:space="preserve"> a údržby,</w:t>
      </w:r>
    </w:p>
    <w:p w14:paraId="3AE1C49A" w14:textId="77777777" w:rsidR="00697B0C" w:rsidRPr="005A6E13" w:rsidRDefault="00697B0C" w:rsidP="00697B0C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technická dokumentace předávaná v místě plnění v tomto rozsahu (2 x v tištěné a 1 x v elektronické podobě), </w:t>
      </w:r>
    </w:p>
    <w:p w14:paraId="02401773" w14:textId="77777777" w:rsidR="00697B0C" w:rsidRPr="005A6E13" w:rsidRDefault="00697B0C" w:rsidP="00697B0C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prohlášení o shodě / CE certifikát v českém a anglickém jazyce – 2x v tištěné formě,</w:t>
      </w:r>
    </w:p>
    <w:p w14:paraId="6FD03F89" w14:textId="1A3571E5" w:rsidR="00697B0C" w:rsidRPr="005A6E13" w:rsidRDefault="00697B0C" w:rsidP="00697B0C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návod k obsluze a údržbě v českém jazyce,</w:t>
      </w:r>
    </w:p>
    <w:p w14:paraId="232263C8" w14:textId="77777777" w:rsidR="0051160E" w:rsidRPr="005A6E13" w:rsidRDefault="0051160E" w:rsidP="0051160E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plán revizí a preventivních prohlídek</w:t>
      </w:r>
      <w:r w:rsidR="00ED3DC9" w:rsidRPr="005A6E13">
        <w:rPr>
          <w:rFonts w:asciiTheme="minorHAnsi" w:hAnsiTheme="minorHAnsi" w:cstheme="minorHAnsi"/>
          <w:szCs w:val="22"/>
        </w:rPr>
        <w:t xml:space="preserve"> v českém jazyce</w:t>
      </w:r>
      <w:r w:rsidRPr="005A6E13">
        <w:rPr>
          <w:rFonts w:asciiTheme="minorHAnsi" w:hAnsiTheme="minorHAnsi" w:cstheme="minorHAnsi"/>
          <w:szCs w:val="22"/>
        </w:rPr>
        <w:t>,</w:t>
      </w:r>
    </w:p>
    <w:p w14:paraId="795AC78B" w14:textId="77777777" w:rsidR="0051160E" w:rsidRPr="005A6E13" w:rsidRDefault="0051160E" w:rsidP="0051160E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seznam náhradních a opotřebitelných dílů</w:t>
      </w:r>
      <w:r w:rsidR="00ED3DC9" w:rsidRPr="005A6E13">
        <w:rPr>
          <w:rFonts w:asciiTheme="minorHAnsi" w:hAnsiTheme="minorHAnsi" w:cstheme="minorHAnsi"/>
          <w:szCs w:val="22"/>
        </w:rPr>
        <w:t xml:space="preserve"> v českém jazyce,</w:t>
      </w:r>
    </w:p>
    <w:p w14:paraId="2AA6222C" w14:textId="42E26400" w:rsidR="00F01DD8" w:rsidRPr="005A6E13" w:rsidRDefault="00F01DD8" w:rsidP="00F01DD8">
      <w:pPr>
        <w:numPr>
          <w:ilvl w:val="1"/>
          <w:numId w:val="10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lastRenderedPageBreak/>
        <w:t xml:space="preserve">další dokumentace v souladu s kap. </w:t>
      </w:r>
      <w:r w:rsidR="000E50D2">
        <w:rPr>
          <w:rFonts w:asciiTheme="minorHAnsi" w:hAnsiTheme="minorHAnsi" w:cstheme="minorHAnsi"/>
          <w:szCs w:val="22"/>
        </w:rPr>
        <w:t>4</w:t>
      </w:r>
      <w:r w:rsidRPr="005A6E13">
        <w:rPr>
          <w:rFonts w:asciiTheme="minorHAnsi" w:hAnsiTheme="minorHAnsi" w:cstheme="minorHAnsi"/>
          <w:szCs w:val="22"/>
        </w:rPr>
        <w:t xml:space="preserve">. Technické specifikace </w:t>
      </w:r>
    </w:p>
    <w:p w14:paraId="4279C36E" w14:textId="77777777" w:rsidR="00697B0C" w:rsidRPr="005A6E13" w:rsidRDefault="00697B0C" w:rsidP="00697B0C">
      <w:pPr>
        <w:keepLines w:val="0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Prodávající prohlašuje, že zařízení </w:t>
      </w:r>
      <w:r w:rsidR="004E5BAE" w:rsidRPr="005A6E13">
        <w:rPr>
          <w:rFonts w:asciiTheme="minorHAnsi" w:hAnsiTheme="minorHAnsi" w:cstheme="minorHAnsi"/>
          <w:szCs w:val="22"/>
        </w:rPr>
        <w:t xml:space="preserve">bude splňovat vlastnosti stanovené v technické dokumentaci a cenové nabídce a dále, že splňuje všechny požadavky </w:t>
      </w:r>
      <w:r w:rsidRPr="005A6E13">
        <w:rPr>
          <w:rFonts w:asciiTheme="minorHAnsi" w:hAnsiTheme="minorHAnsi" w:cstheme="minorHAnsi"/>
          <w:szCs w:val="22"/>
        </w:rPr>
        <w:t xml:space="preserve">pro prodej a použití </w:t>
      </w:r>
      <w:r w:rsidR="004E5BAE" w:rsidRPr="005A6E13">
        <w:rPr>
          <w:rFonts w:asciiTheme="minorHAnsi" w:hAnsiTheme="minorHAnsi" w:cstheme="minorHAnsi"/>
          <w:szCs w:val="22"/>
        </w:rPr>
        <w:t xml:space="preserve">zařízení </w:t>
      </w:r>
      <w:r w:rsidRPr="005A6E13">
        <w:rPr>
          <w:rFonts w:asciiTheme="minorHAnsi" w:hAnsiTheme="minorHAnsi" w:cstheme="minorHAnsi"/>
          <w:szCs w:val="22"/>
        </w:rPr>
        <w:t>na území České republiky stanovené platnými právními předpisy a platnými normami ČSN EN.</w:t>
      </w:r>
    </w:p>
    <w:p w14:paraId="544B3DCF" w14:textId="77777777" w:rsidR="00697B0C" w:rsidRPr="005A6E13" w:rsidRDefault="00697B0C" w:rsidP="00697B0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iI.</w:t>
      </w:r>
      <w:r w:rsidRPr="005A6E13">
        <w:rPr>
          <w:rFonts w:asciiTheme="minorHAnsi" w:hAnsiTheme="minorHAnsi" w:cstheme="minorHAnsi"/>
          <w:sz w:val="22"/>
          <w:szCs w:val="22"/>
        </w:rPr>
        <w:br/>
        <w:t>Místo, způsob a termín plnění</w:t>
      </w:r>
    </w:p>
    <w:p w14:paraId="658F08C9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Dodací podmínky jsou sjednány dle Incoterms 2010 jako DDP: </w:t>
      </w:r>
      <w:r w:rsidR="00D07F97" w:rsidRPr="005A6E13">
        <w:rPr>
          <w:rFonts w:asciiTheme="minorHAnsi" w:hAnsiTheme="minorHAnsi" w:cstheme="minorHAnsi"/>
          <w:szCs w:val="22"/>
        </w:rPr>
        <w:t>sídlo kupujícího na adrese Jamská 2191/33, Žďár nad Sázavou</w:t>
      </w:r>
      <w:bookmarkStart w:id="1" w:name="_Hlk500168947"/>
      <w:r w:rsidR="00FC4354" w:rsidRPr="005A6E13">
        <w:rPr>
          <w:rFonts w:asciiTheme="minorHAnsi" w:hAnsiTheme="minorHAnsi" w:cstheme="minorHAnsi"/>
          <w:szCs w:val="22"/>
        </w:rPr>
        <w:t>, místo plnění Cooper Standard Bystřice nad Pernštejnem, ulice Průmyslová.</w:t>
      </w:r>
    </w:p>
    <w:bookmarkEnd w:id="1"/>
    <w:p w14:paraId="3B50F803" w14:textId="0D11A049" w:rsidR="00697B0C" w:rsidRPr="005A6E13" w:rsidRDefault="00697B0C" w:rsidP="00577C1B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Prodávající se zavazuje zařízení řádně dodat kupujícímu v místě plnění a následně zařízení zprovoznit</w:t>
      </w:r>
      <w:r w:rsidR="00577C1B" w:rsidRPr="005A6E13">
        <w:rPr>
          <w:rFonts w:asciiTheme="minorHAnsi" w:hAnsiTheme="minorHAnsi" w:cstheme="minorHAnsi"/>
          <w:szCs w:val="22"/>
        </w:rPr>
        <w:t>, zaškolit obsluhu kupujícího</w:t>
      </w:r>
      <w:r w:rsidRPr="005A6E13">
        <w:rPr>
          <w:rFonts w:asciiTheme="minorHAnsi" w:hAnsiTheme="minorHAnsi" w:cstheme="minorHAnsi"/>
          <w:szCs w:val="22"/>
        </w:rPr>
        <w:t xml:space="preserve"> a prokázat kupujícímu provozuschopnost zařízení prostřednictvím </w:t>
      </w:r>
      <w:r w:rsidR="00577C1B" w:rsidRPr="005A6E13">
        <w:rPr>
          <w:rFonts w:asciiTheme="minorHAnsi" w:hAnsiTheme="minorHAnsi" w:cstheme="minorHAnsi"/>
          <w:szCs w:val="22"/>
        </w:rPr>
        <w:t>provozní zkoušky</w:t>
      </w:r>
      <w:r w:rsidR="0051160E" w:rsidRPr="005A6E13">
        <w:rPr>
          <w:rFonts w:asciiTheme="minorHAnsi" w:hAnsiTheme="minorHAnsi" w:cstheme="minorHAnsi"/>
          <w:szCs w:val="22"/>
        </w:rPr>
        <w:t xml:space="preserve">, a to vše </w:t>
      </w:r>
      <w:r w:rsidR="00B85E86" w:rsidRPr="005A6E13">
        <w:rPr>
          <w:rFonts w:asciiTheme="minorHAnsi" w:hAnsiTheme="minorHAnsi" w:cstheme="minorHAnsi"/>
          <w:szCs w:val="22"/>
        </w:rPr>
        <w:t>do [</w:t>
      </w:r>
      <w:r w:rsidR="004C7F2A" w:rsidRPr="005A6E13">
        <w:rPr>
          <w:rFonts w:asciiTheme="minorHAnsi" w:hAnsiTheme="minorHAnsi" w:cstheme="minorHAnsi"/>
          <w:szCs w:val="22"/>
          <w:highlight w:val="yellow"/>
        </w:rPr>
        <w:t>●]</w:t>
      </w:r>
      <w:r w:rsidR="004C7F2A" w:rsidRPr="005A6E13">
        <w:rPr>
          <w:rFonts w:asciiTheme="minorHAnsi" w:hAnsiTheme="minorHAnsi" w:cstheme="minorHAnsi"/>
          <w:szCs w:val="22"/>
        </w:rPr>
        <w:t xml:space="preserve"> </w:t>
      </w:r>
      <w:r w:rsidR="00FC4354" w:rsidRPr="005A6E13">
        <w:rPr>
          <w:rFonts w:asciiTheme="minorHAnsi" w:hAnsiTheme="minorHAnsi" w:cstheme="minorHAnsi"/>
          <w:szCs w:val="22"/>
          <w:highlight w:val="yellow"/>
        </w:rPr>
        <w:t>týdnů</w:t>
      </w:r>
      <w:r w:rsidR="000D668B" w:rsidRPr="005A6E13">
        <w:rPr>
          <w:rFonts w:asciiTheme="minorHAnsi" w:hAnsiTheme="minorHAnsi" w:cstheme="minorHAnsi"/>
          <w:szCs w:val="22"/>
        </w:rPr>
        <w:t xml:space="preserve"> </w:t>
      </w:r>
      <w:r w:rsidR="00F25C17" w:rsidRPr="005A6E13">
        <w:rPr>
          <w:rFonts w:asciiTheme="minorHAnsi" w:hAnsiTheme="minorHAnsi" w:cstheme="minorHAnsi"/>
          <w:szCs w:val="22"/>
        </w:rPr>
        <w:t xml:space="preserve">od data podpisu </w:t>
      </w:r>
      <w:r w:rsidR="000D668B" w:rsidRPr="005A6E13">
        <w:rPr>
          <w:rFonts w:asciiTheme="minorHAnsi" w:hAnsiTheme="minorHAnsi" w:cstheme="minorHAnsi"/>
          <w:szCs w:val="22"/>
        </w:rPr>
        <w:t xml:space="preserve">této smlouvy. </w:t>
      </w:r>
    </w:p>
    <w:p w14:paraId="2C4761A2" w14:textId="77777777" w:rsidR="009F5B65" w:rsidRPr="005A6E13" w:rsidRDefault="009F5B65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 případě pře</w:t>
      </w:r>
      <w:r w:rsidR="001C2556" w:rsidRPr="005A6E13">
        <w:rPr>
          <w:rFonts w:asciiTheme="minorHAnsi" w:hAnsiTheme="minorHAnsi" w:cstheme="minorHAnsi"/>
          <w:szCs w:val="22"/>
        </w:rPr>
        <w:t>d</w:t>
      </w:r>
      <w:r w:rsidRPr="005A6E13">
        <w:rPr>
          <w:rFonts w:asciiTheme="minorHAnsi" w:hAnsiTheme="minorHAnsi" w:cstheme="minorHAnsi"/>
          <w:szCs w:val="22"/>
        </w:rPr>
        <w:t>přejímky v závodě dodavatele, je dodavatel povinen řádně a včas informovat kupujícího o terminu pře</w:t>
      </w:r>
      <w:r w:rsidR="001C2556" w:rsidRPr="005A6E13">
        <w:rPr>
          <w:rFonts w:asciiTheme="minorHAnsi" w:hAnsiTheme="minorHAnsi" w:cstheme="minorHAnsi"/>
          <w:szCs w:val="22"/>
        </w:rPr>
        <w:t>d</w:t>
      </w:r>
      <w:r w:rsidRPr="005A6E13">
        <w:rPr>
          <w:rFonts w:asciiTheme="minorHAnsi" w:hAnsiTheme="minorHAnsi" w:cstheme="minorHAnsi"/>
          <w:szCs w:val="22"/>
        </w:rPr>
        <w:t>přejímky tak, aby byl dodržen termín dodání zakázky ke kupujícímu v souladu se smlouvou.</w:t>
      </w:r>
    </w:p>
    <w:p w14:paraId="497955D3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Prokázání provozuschopnosti zařízení se považuje za splněné, když zařízení bude </w:t>
      </w:r>
      <w:r w:rsidR="0051160E" w:rsidRPr="005A6E13">
        <w:rPr>
          <w:rFonts w:asciiTheme="minorHAnsi" w:hAnsiTheme="minorHAnsi" w:cstheme="minorHAnsi"/>
          <w:szCs w:val="22"/>
        </w:rPr>
        <w:t xml:space="preserve">v průběhu </w:t>
      </w:r>
      <w:r w:rsidR="00577C1B" w:rsidRPr="005A6E13">
        <w:rPr>
          <w:rFonts w:asciiTheme="minorHAnsi" w:hAnsiTheme="minorHAnsi" w:cstheme="minorHAnsi"/>
          <w:szCs w:val="22"/>
        </w:rPr>
        <w:t xml:space="preserve">provozní zkoušky schopno provozu </w:t>
      </w:r>
      <w:r w:rsidR="0051160E" w:rsidRPr="005A6E13">
        <w:rPr>
          <w:rFonts w:asciiTheme="minorHAnsi" w:hAnsiTheme="minorHAnsi" w:cstheme="minorHAnsi"/>
          <w:szCs w:val="22"/>
        </w:rPr>
        <w:t xml:space="preserve">bez jakýchkoliv vad a nedostatků </w:t>
      </w:r>
      <w:r w:rsidR="00577C1B" w:rsidRPr="005A6E13">
        <w:rPr>
          <w:rFonts w:asciiTheme="minorHAnsi" w:hAnsiTheme="minorHAnsi" w:cstheme="minorHAnsi"/>
          <w:szCs w:val="22"/>
        </w:rPr>
        <w:t xml:space="preserve">a bude </w:t>
      </w:r>
      <w:r w:rsidRPr="005A6E13">
        <w:rPr>
          <w:rFonts w:asciiTheme="minorHAnsi" w:hAnsiTheme="minorHAnsi" w:cstheme="minorHAnsi"/>
          <w:szCs w:val="22"/>
        </w:rPr>
        <w:t xml:space="preserve">splňovat </w:t>
      </w:r>
      <w:r w:rsidR="0051160E" w:rsidRPr="005A6E13">
        <w:rPr>
          <w:rFonts w:asciiTheme="minorHAnsi" w:hAnsiTheme="minorHAnsi" w:cstheme="minorHAnsi"/>
          <w:szCs w:val="22"/>
        </w:rPr>
        <w:t xml:space="preserve">požadavky kupujícího </w:t>
      </w:r>
      <w:r w:rsidRPr="005A6E13">
        <w:rPr>
          <w:rFonts w:asciiTheme="minorHAnsi" w:hAnsiTheme="minorHAnsi" w:cstheme="minorHAnsi"/>
          <w:szCs w:val="22"/>
        </w:rPr>
        <w:t>uvedené v</w:t>
      </w:r>
      <w:r w:rsidR="005B14F0" w:rsidRPr="005A6E13">
        <w:rPr>
          <w:rFonts w:asciiTheme="minorHAnsi" w:hAnsiTheme="minorHAnsi" w:cstheme="minorHAnsi"/>
          <w:szCs w:val="22"/>
        </w:rPr>
        <w:t> technické dokumentaci kupujícího</w:t>
      </w:r>
      <w:r w:rsidRPr="005A6E13">
        <w:rPr>
          <w:rFonts w:asciiTheme="minorHAnsi" w:hAnsiTheme="minorHAnsi" w:cstheme="minorHAnsi"/>
          <w:szCs w:val="22"/>
        </w:rPr>
        <w:t xml:space="preserve">. Prokázání provozuschopnosti zařízení bude stvrzeno v předávacím protokolu podepsaném oběma smluvními stranami. </w:t>
      </w:r>
    </w:p>
    <w:p w14:paraId="4EDE4E8D" w14:textId="495A5D03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Vlastnické právo k zařízení a nebezpečí škody na zařízení přechází z prodávajícího na kupujícího okamžikem prokázání provozuschopnos</w:t>
      </w:r>
      <w:r w:rsidR="005B14F0" w:rsidRPr="005A6E13">
        <w:rPr>
          <w:rFonts w:asciiTheme="minorHAnsi" w:hAnsiTheme="minorHAnsi" w:cstheme="minorHAnsi"/>
          <w:szCs w:val="22"/>
        </w:rPr>
        <w:t xml:space="preserve">ti zařízení podle čl. II odst. </w:t>
      </w:r>
      <w:r w:rsidR="000E50D2">
        <w:rPr>
          <w:rFonts w:asciiTheme="minorHAnsi" w:hAnsiTheme="minorHAnsi" w:cstheme="minorHAnsi"/>
          <w:szCs w:val="22"/>
        </w:rPr>
        <w:t>4</w:t>
      </w:r>
      <w:r w:rsidRPr="005A6E13">
        <w:rPr>
          <w:rFonts w:asciiTheme="minorHAnsi" w:hAnsiTheme="minorHAnsi" w:cstheme="minorHAnsi"/>
          <w:szCs w:val="22"/>
        </w:rPr>
        <w:t xml:space="preserve"> této smlouvy.</w:t>
      </w:r>
    </w:p>
    <w:p w14:paraId="41785B54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Prodávající se zavazuje kupujícího s předstihem informovat o stavu aktuální situace dodávky zařízení, především o rizicích týkajících se včasného dodání zařízení. </w:t>
      </w:r>
    </w:p>
    <w:p w14:paraId="415472C4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Kupující je povinen předat prodávajícímu v písemné formě seznámení s riziky na pracovištích kupujícího, ve kterých se budou pohybovat pracovníci prodávajícího, dále s ochranou před těmito riziky a je povinen předat prodávajícímu veškeré písemné podklady pro zajištění bezpečnosti a ochrany zdraví při práci a požární ochrany, a vnitřní předpisy kupujícího, kterými se bude prodávajícím povinen řídit, a to nejpozději před zahájením instalace zařízení v provozu kupujícího. </w:t>
      </w:r>
    </w:p>
    <w:p w14:paraId="5FC3AD75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Prodávající zajistí, aby jeho pracovníci </w:t>
      </w:r>
      <w:r w:rsidRPr="005A6E13">
        <w:rPr>
          <w:rFonts w:asciiTheme="minorHAnsi" w:hAnsiTheme="minorHAnsi" w:cstheme="minorHAnsi"/>
          <w:snapToGrid w:val="0"/>
          <w:color w:val="000000"/>
          <w:szCs w:val="22"/>
        </w:rPr>
        <w:t xml:space="preserve">dodržovali bezpečnostní, hygienické, požární a ekologické právní předpisy platné na pracovištích prodávajícího a dále vnitřní předpisy kupujícího, se kterými byl prodávající seznámen. </w:t>
      </w:r>
    </w:p>
    <w:p w14:paraId="70E23CB0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Prodávající odpovídá v plném rozsahu za bezpečnost a ochranu zdraví svých pracovníků a zajistí, aby tito pracovníci byli vybaveni potřebnými ochrannými pracovními pomůckami a jednotným pracovním oděvem vhodným pro pracovní prostředí, v němž se pohybují. Prodávající je povinen zajistit pro své pracovníky vstupní školení z bezpečnosti práce, ochrany zdraví při práci, požárních předpisů a ekologické kázně při zohlednění specifických podmínek kupujícího. Prodávající je povinen informovat kupujícího o rizicích způsobených svou činností a vzájemně spolupracovat při zajišťování bezpečnosti a ochrany zdraví na pracovišti. Prodávající oznámí kupujícímu bez zbytečného prodlení jakýkoliv pracovní úraz, nehodu nebo havárii, k níž dojde v provozu kupujícího, a bude spolupracovat na objasňování jejich příčin.</w:t>
      </w:r>
    </w:p>
    <w:p w14:paraId="323F2E50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Prodávající nemůže bez předchozího písemného souhlasu prodávajícího užívat výrobní nebo pracovní prostředky kupujícího.</w:t>
      </w:r>
    </w:p>
    <w:p w14:paraId="3CE08F00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lastRenderedPageBreak/>
        <w:t>Odpady, jejichž původcem je prodávající, jsou majetkem prodávajícího a tento zajistí jejich odstranění v souladu s platnými právními předpisy.</w:t>
      </w:r>
    </w:p>
    <w:p w14:paraId="0DDAC7F9" w14:textId="77777777" w:rsidR="00697B0C" w:rsidRPr="005A6E13" w:rsidRDefault="00697B0C" w:rsidP="00697B0C">
      <w:pPr>
        <w:keepLines w:val="0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Veškeré osobní údaje, které si strany poskytly za trvání této smlouvy, jakož i záznamy získané v rámci monitorování prostor, v nichž je plněn předmět této smlouvy, kamerovým systémem kupujícího, budou používány v souladu se zákonem 101/2000 Sb., zákon o ochraně osobních údajů.</w:t>
      </w:r>
    </w:p>
    <w:p w14:paraId="1D364E30" w14:textId="77777777" w:rsidR="00697B0C" w:rsidRPr="005A6E13" w:rsidRDefault="00697B0C" w:rsidP="00697B0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iII.</w:t>
      </w:r>
      <w:r w:rsidRPr="005A6E13">
        <w:rPr>
          <w:rFonts w:asciiTheme="minorHAnsi" w:hAnsiTheme="minorHAnsi" w:cstheme="minorHAnsi"/>
          <w:sz w:val="22"/>
          <w:szCs w:val="22"/>
        </w:rPr>
        <w:br/>
        <w:t>kupní Cena a platební podmínky</w:t>
      </w:r>
    </w:p>
    <w:p w14:paraId="476239CA" w14:textId="77777777" w:rsidR="00697B0C" w:rsidRPr="005A6E13" w:rsidRDefault="00697B0C" w:rsidP="00697B0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Kupující je povinen zaplatit prodávajícímu kupní cenu zařízení ve výši</w:t>
      </w:r>
      <w:r w:rsidR="005B14F0" w:rsidRPr="005A6E13">
        <w:rPr>
          <w:rFonts w:asciiTheme="minorHAnsi" w:hAnsiTheme="minorHAnsi" w:cstheme="minorHAnsi"/>
          <w:szCs w:val="22"/>
        </w:rPr>
        <w:t xml:space="preserve"> </w:t>
      </w:r>
      <w:r w:rsidR="005B14F0" w:rsidRPr="005A6E13">
        <w:rPr>
          <w:rFonts w:asciiTheme="minorHAnsi" w:hAnsiTheme="minorHAnsi" w:cstheme="minorHAnsi"/>
          <w:szCs w:val="22"/>
          <w:highlight w:val="yellow"/>
        </w:rPr>
        <w:t>…………….</w:t>
      </w:r>
      <w:r w:rsidRPr="005A6E13">
        <w:rPr>
          <w:rFonts w:asciiTheme="minorHAnsi" w:hAnsiTheme="minorHAnsi" w:cstheme="minorHAnsi"/>
          <w:szCs w:val="22"/>
          <w:highlight w:val="yellow"/>
        </w:rPr>
        <w:t xml:space="preserve">,-- Kč, slovy: </w:t>
      </w:r>
      <w:r w:rsidR="005B14F0" w:rsidRPr="005A6E13">
        <w:rPr>
          <w:rFonts w:asciiTheme="minorHAnsi" w:hAnsiTheme="minorHAnsi" w:cstheme="minorHAnsi"/>
          <w:szCs w:val="22"/>
          <w:highlight w:val="yellow"/>
        </w:rPr>
        <w:t xml:space="preserve">……………………. </w:t>
      </w:r>
      <w:r w:rsidRPr="005A6E13">
        <w:rPr>
          <w:rFonts w:asciiTheme="minorHAnsi" w:hAnsiTheme="minorHAnsi" w:cstheme="minorHAnsi"/>
          <w:szCs w:val="22"/>
          <w:highlight w:val="yellow"/>
        </w:rPr>
        <w:t>korun českých, bez DPH</w:t>
      </w:r>
      <w:r w:rsidRPr="005A6E13">
        <w:rPr>
          <w:rFonts w:asciiTheme="minorHAnsi" w:hAnsiTheme="minorHAnsi" w:cstheme="minorHAnsi"/>
          <w:szCs w:val="22"/>
        </w:rPr>
        <w:t xml:space="preserve"> s tím, že k této ceně bude připočtena DPH ve výši stanovené právními předpisy platnými ke dni zdanitelného plnění. </w:t>
      </w:r>
    </w:p>
    <w:p w14:paraId="1E4FD69F" w14:textId="77777777" w:rsidR="00CB6662" w:rsidRPr="005A6E13" w:rsidRDefault="00697B0C" w:rsidP="00697B0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Kupující </w:t>
      </w:r>
      <w:r w:rsidR="00CB6662" w:rsidRPr="005A6E13">
        <w:rPr>
          <w:rFonts w:asciiTheme="minorHAnsi" w:hAnsiTheme="minorHAnsi" w:cstheme="minorHAnsi"/>
          <w:szCs w:val="22"/>
        </w:rPr>
        <w:t xml:space="preserve">uhradí </w:t>
      </w:r>
      <w:r w:rsidRPr="005A6E13">
        <w:rPr>
          <w:rFonts w:asciiTheme="minorHAnsi" w:hAnsiTheme="minorHAnsi" w:cstheme="minorHAnsi"/>
          <w:szCs w:val="22"/>
        </w:rPr>
        <w:t xml:space="preserve">kupní cenu </w:t>
      </w:r>
      <w:r w:rsidR="00CB6662" w:rsidRPr="005A6E13">
        <w:rPr>
          <w:rFonts w:asciiTheme="minorHAnsi" w:hAnsiTheme="minorHAnsi" w:cstheme="minorHAnsi"/>
          <w:szCs w:val="22"/>
        </w:rPr>
        <w:t>prodávajícímu takto</w:t>
      </w:r>
      <w:r w:rsidRPr="005A6E13">
        <w:rPr>
          <w:rFonts w:asciiTheme="minorHAnsi" w:hAnsiTheme="minorHAnsi" w:cstheme="minorHAnsi"/>
          <w:szCs w:val="22"/>
        </w:rPr>
        <w:t>:</w:t>
      </w:r>
      <w:r w:rsidR="00CB6662" w:rsidRPr="005A6E13">
        <w:rPr>
          <w:rFonts w:asciiTheme="minorHAnsi" w:hAnsiTheme="minorHAnsi" w:cstheme="minorHAnsi"/>
          <w:szCs w:val="22"/>
        </w:rPr>
        <w:t xml:space="preserve"> 100 % z celkové kupní ceny včetně DPH po dodání a převzetí zboží na základě konečné faktury. </w:t>
      </w:r>
    </w:p>
    <w:p w14:paraId="77E95C3D" w14:textId="77777777" w:rsidR="00697B0C" w:rsidRPr="005A6E13" w:rsidRDefault="00CB6662" w:rsidP="00CB6662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Faktura je splatná ve lhůtě 45dnů od data doručení</w:t>
      </w:r>
    </w:p>
    <w:p w14:paraId="4E847F21" w14:textId="77777777" w:rsidR="00697B0C" w:rsidRPr="005A6E13" w:rsidRDefault="00697B0C" w:rsidP="00697B0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Daňové doklady prodávajícího musí být vystaveny v souladu s platnými právními předpisy a podmínkami sjednanými v této smlouvě. </w:t>
      </w:r>
    </w:p>
    <w:p w14:paraId="4C0DEF47" w14:textId="77777777" w:rsidR="00E175C0" w:rsidRPr="005A6E13" w:rsidRDefault="00E175C0" w:rsidP="00E175C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Faktura musí obsahovat rozepsání jednotlivých položek, co do fakturované výše celkové ceny, odpovídající Smlouvě, a dále musí obsahovat náležitosti běžného daňového dokladu. Zejména musí faktura obsahovat níže uvedené údaje a přiložené doklady:</w:t>
      </w:r>
    </w:p>
    <w:p w14:paraId="4DA14BE9" w14:textId="77777777" w:rsidR="00E175C0" w:rsidRPr="005A6E13" w:rsidRDefault="00E175C0" w:rsidP="00E175C0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•</w:t>
      </w:r>
      <w:r w:rsidRPr="005A6E13">
        <w:rPr>
          <w:rFonts w:asciiTheme="minorHAnsi" w:hAnsiTheme="minorHAnsi" w:cstheme="minorHAnsi"/>
          <w:szCs w:val="22"/>
        </w:rPr>
        <w:tab/>
        <w:t>označení dokladu (faktura, dobropis, vrubopis);</w:t>
      </w:r>
    </w:p>
    <w:p w14:paraId="3FEA10AC" w14:textId="77777777" w:rsidR="00E175C0" w:rsidRPr="005A6E13" w:rsidRDefault="00E175C0" w:rsidP="00E175C0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•</w:t>
      </w:r>
      <w:r w:rsidRPr="005A6E13">
        <w:rPr>
          <w:rFonts w:asciiTheme="minorHAnsi" w:hAnsiTheme="minorHAnsi" w:cstheme="minorHAnsi"/>
          <w:szCs w:val="22"/>
        </w:rPr>
        <w:tab/>
        <w:t>identifikaci Smlouvy a smluvních stran;</w:t>
      </w:r>
    </w:p>
    <w:p w14:paraId="118E66F6" w14:textId="77777777" w:rsidR="00E175C0" w:rsidRPr="005A6E13" w:rsidRDefault="00E175C0" w:rsidP="00E175C0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•</w:t>
      </w:r>
      <w:r w:rsidRPr="005A6E13">
        <w:rPr>
          <w:rFonts w:asciiTheme="minorHAnsi" w:hAnsiTheme="minorHAnsi" w:cstheme="minorHAnsi"/>
          <w:szCs w:val="22"/>
        </w:rPr>
        <w:tab/>
        <w:t>den vystavení, den odeslání a lhůtu splatnosti faktury;</w:t>
      </w:r>
    </w:p>
    <w:p w14:paraId="1F10A1FE" w14:textId="77777777" w:rsidR="00E175C0" w:rsidRPr="005A6E13" w:rsidRDefault="00E175C0" w:rsidP="00E175C0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•</w:t>
      </w:r>
      <w:r w:rsidRPr="005A6E13">
        <w:rPr>
          <w:rFonts w:asciiTheme="minorHAnsi" w:hAnsiTheme="minorHAnsi" w:cstheme="minorHAnsi"/>
          <w:szCs w:val="22"/>
        </w:rPr>
        <w:tab/>
        <w:t>označení peněžního ústavu a číslo účtu, na který má být Uživateli placeno;</w:t>
      </w:r>
    </w:p>
    <w:p w14:paraId="5C2350B5" w14:textId="77777777" w:rsidR="00E175C0" w:rsidRPr="005A6E13" w:rsidRDefault="00E175C0" w:rsidP="00E175C0">
      <w:pPr>
        <w:spacing w:after="120"/>
        <w:ind w:left="283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•</w:t>
      </w:r>
      <w:r w:rsidRPr="005A6E13">
        <w:rPr>
          <w:rFonts w:asciiTheme="minorHAnsi" w:hAnsiTheme="minorHAnsi" w:cstheme="minorHAnsi"/>
          <w:szCs w:val="22"/>
        </w:rPr>
        <w:tab/>
        <w:t>Název projektu: Inovace ve společnosti Cooper-Standard Automotive Česká republika</w:t>
      </w:r>
      <w:r w:rsidR="007F74E8" w:rsidRPr="005A6E13">
        <w:rPr>
          <w:rFonts w:asciiTheme="minorHAnsi" w:hAnsiTheme="minorHAnsi" w:cstheme="minorHAnsi"/>
          <w:szCs w:val="22"/>
        </w:rPr>
        <w:t xml:space="preserve"> a reg. č.:</w:t>
      </w:r>
      <w:r w:rsidR="009F5B65" w:rsidRPr="005A6E13">
        <w:rPr>
          <w:rFonts w:asciiTheme="minorHAnsi" w:hAnsiTheme="minorHAnsi" w:cstheme="minorHAnsi"/>
          <w:szCs w:val="22"/>
        </w:rPr>
        <w:t xml:space="preserve"> CZ.01.1.02/0.0/0.0/15_014/0005815.</w:t>
      </w:r>
    </w:p>
    <w:p w14:paraId="51DC1BE0" w14:textId="77777777" w:rsidR="00697B0C" w:rsidRPr="005A6E13" w:rsidRDefault="00697B0C" w:rsidP="00697B0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Nebude-li daňový doklad obsahovat náležitosti či údaje stanovené platnými právními předpisy a touto smlouvou, nebo v něm nebudou správně uvedené údaje, je kupující oprávněn jej vrátit prodávajícímu ve lhůtě 10 dnů od jeho doručení ze strany prodávajícího. V takovém případě se přeruší běh lhůty splatnosti daňového dokladu a nová lhůta začne běžet doručením opraveného daňového dokladu. </w:t>
      </w:r>
    </w:p>
    <w:p w14:paraId="04263E57" w14:textId="77777777" w:rsidR="00697B0C" w:rsidRPr="005A6E13" w:rsidRDefault="00697B0C" w:rsidP="00697B0C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lastRenderedPageBreak/>
        <w:t>Prodávající prohlašuje, že účet prodávajícího, který uvede na daňovém dokladu vystaveném podle této smlouvy, bude vždy účtem, který je místně a funkčně příslušnému správci daně oznámeným a ve smyslu zák. č. 235/2004 Sb., o dani z přidané hodnoty, ve znění pozdějších předpisů (dále jen „zákon o DPH“) správcem daně zveřejněným účtem. Prodávající prohlašuje, že si je vědom své povinnosti odvést řádně daň z přidané hodnoty z inkasované ceny správci daně a že daň z přidané hodnoty řádně, včas a ve správné výši odvede. Prodávající prohlašuje, že je v ekonomicky dobré kondici, není osobou, proti níž by bylo vedeno exekuční nebo insolvenční řízení, nevede žádný spor, v němž by neúspěch vedl k závazku, jehož splnění by bylo nemožné nebo by prodávajícího hospodářsky destabilizovalo. Prodávající prohlašuje, že není osobou ohroženou vstupem do insolvenčního řízení a řádně a včas plní veškeré své splatné závazky. Prodávající prohlašuje, že není osobou, s níž je vedeno řízení o její zápis do evidence nespolehlivých plátců daně a není prohlášen nespolehlivým plátcem daně. Kupující má právo v případě, že se mu bude prodávající jevit jako rizikový plátce daně z přidané hodnoty, postupovat ve smyslu § 109a zákona o DPH a přijmout preventivní opatření v podobě rozdělení platby za předmět plnění na část cena a část daň z přidané hodnoty, daň z přidané hodnoty pak kupující odvede přímo daňovému správci.</w:t>
      </w:r>
    </w:p>
    <w:p w14:paraId="4A323A8A" w14:textId="77777777" w:rsidR="00697B0C" w:rsidRPr="005A6E13" w:rsidRDefault="00697B0C" w:rsidP="00697B0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Iv.</w:t>
      </w:r>
      <w:r w:rsidRPr="005A6E13">
        <w:rPr>
          <w:rFonts w:asciiTheme="minorHAnsi" w:hAnsiTheme="minorHAnsi" w:cstheme="minorHAnsi"/>
          <w:sz w:val="22"/>
          <w:szCs w:val="22"/>
        </w:rPr>
        <w:br/>
        <w:t>ZÁRUKA, reklamace</w:t>
      </w:r>
    </w:p>
    <w:p w14:paraId="03FC9D0C" w14:textId="0002FB81" w:rsidR="00697B0C" w:rsidRPr="005A6E13" w:rsidRDefault="00697B0C" w:rsidP="00697B0C">
      <w:pPr>
        <w:keepLines w:val="0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Prodávající poskytuje kupujícímu záruku za jakost zařízení dle této smlouvy po dobu </w:t>
      </w:r>
      <w:r w:rsidR="00031034" w:rsidRPr="005A6E13">
        <w:rPr>
          <w:rFonts w:asciiTheme="minorHAnsi" w:hAnsiTheme="minorHAnsi" w:cstheme="minorHAnsi"/>
          <w:szCs w:val="22"/>
        </w:rPr>
        <w:t>12</w:t>
      </w:r>
      <w:r w:rsidR="00E73E32">
        <w:rPr>
          <w:rFonts w:asciiTheme="minorHAnsi" w:hAnsiTheme="minorHAnsi" w:cstheme="minorHAnsi"/>
          <w:szCs w:val="22"/>
        </w:rPr>
        <w:t xml:space="preserve"> měsíců</w:t>
      </w:r>
      <w:r w:rsidR="00031034" w:rsidRPr="005A6E13">
        <w:rPr>
          <w:rFonts w:asciiTheme="minorHAnsi" w:hAnsiTheme="minorHAnsi" w:cstheme="minorHAnsi"/>
          <w:szCs w:val="22"/>
        </w:rPr>
        <w:t xml:space="preserve"> nebo 2000Mth, podle </w:t>
      </w:r>
      <w:r w:rsidR="00E0758F" w:rsidRPr="005A6E13">
        <w:rPr>
          <w:rFonts w:asciiTheme="minorHAnsi" w:hAnsiTheme="minorHAnsi" w:cstheme="minorHAnsi"/>
          <w:szCs w:val="22"/>
        </w:rPr>
        <w:t>tohoto,</w:t>
      </w:r>
      <w:r w:rsidR="00031034" w:rsidRPr="005A6E13">
        <w:rPr>
          <w:rFonts w:asciiTheme="minorHAnsi" w:hAnsiTheme="minorHAnsi" w:cstheme="minorHAnsi"/>
          <w:szCs w:val="22"/>
        </w:rPr>
        <w:t xml:space="preserve"> co nastane dříve</w:t>
      </w:r>
      <w:r w:rsidRPr="005A6E13">
        <w:rPr>
          <w:rFonts w:asciiTheme="minorHAnsi" w:hAnsiTheme="minorHAnsi" w:cstheme="minorHAnsi"/>
          <w:szCs w:val="22"/>
        </w:rPr>
        <w:t xml:space="preserve"> </w:t>
      </w:r>
      <w:r w:rsidR="00031034" w:rsidRPr="005A6E13">
        <w:rPr>
          <w:rFonts w:asciiTheme="minorHAnsi" w:hAnsiTheme="minorHAnsi" w:cstheme="minorHAnsi"/>
          <w:szCs w:val="22"/>
        </w:rPr>
        <w:t>ode</w:t>
      </w:r>
      <w:r w:rsidRPr="005A6E13">
        <w:rPr>
          <w:rFonts w:asciiTheme="minorHAnsi" w:hAnsiTheme="minorHAnsi" w:cstheme="minorHAnsi"/>
          <w:szCs w:val="22"/>
        </w:rPr>
        <w:t xml:space="preserve"> dne řádného prokázání provozuschopnos</w:t>
      </w:r>
      <w:r w:rsidR="005B14F0" w:rsidRPr="005A6E13">
        <w:rPr>
          <w:rFonts w:asciiTheme="minorHAnsi" w:hAnsiTheme="minorHAnsi" w:cstheme="minorHAnsi"/>
          <w:szCs w:val="22"/>
        </w:rPr>
        <w:t>ti zařízení podle čl. II odst. 3</w:t>
      </w:r>
      <w:r w:rsidRPr="005A6E13">
        <w:rPr>
          <w:rFonts w:asciiTheme="minorHAnsi" w:hAnsiTheme="minorHAnsi" w:cstheme="minorHAnsi"/>
          <w:szCs w:val="22"/>
        </w:rPr>
        <w:t xml:space="preserve"> této smlouvy. Po tuto dobu bude zařízení způsobilé k užívání, k němuž bylo určeno, a zachová si </w:t>
      </w:r>
      <w:r w:rsidR="005B14F0" w:rsidRPr="005A6E13">
        <w:rPr>
          <w:rFonts w:asciiTheme="minorHAnsi" w:hAnsiTheme="minorHAnsi" w:cstheme="minorHAnsi"/>
          <w:szCs w:val="22"/>
        </w:rPr>
        <w:t>vlastnosti dle technické specifikace kupujícího</w:t>
      </w:r>
      <w:r w:rsidRPr="005A6E13">
        <w:rPr>
          <w:rFonts w:asciiTheme="minorHAnsi" w:hAnsiTheme="minorHAnsi" w:cstheme="minorHAnsi"/>
          <w:szCs w:val="22"/>
        </w:rPr>
        <w:t xml:space="preserve">. </w:t>
      </w:r>
      <w:r w:rsidR="005B14F0" w:rsidRPr="005A6E13">
        <w:rPr>
          <w:rFonts w:asciiTheme="minorHAnsi" w:hAnsiTheme="minorHAnsi" w:cstheme="minorHAnsi"/>
          <w:szCs w:val="22"/>
        </w:rPr>
        <w:t xml:space="preserve">Zjištěné </w:t>
      </w:r>
      <w:r w:rsidRPr="005A6E13">
        <w:rPr>
          <w:rFonts w:asciiTheme="minorHAnsi" w:hAnsiTheme="minorHAnsi" w:cstheme="minorHAnsi"/>
          <w:szCs w:val="22"/>
        </w:rPr>
        <w:t xml:space="preserve">vady </w:t>
      </w:r>
      <w:r w:rsidR="005B14F0" w:rsidRPr="005A6E13">
        <w:rPr>
          <w:rFonts w:asciiTheme="minorHAnsi" w:hAnsiTheme="minorHAnsi" w:cstheme="minorHAnsi"/>
          <w:szCs w:val="22"/>
        </w:rPr>
        <w:t xml:space="preserve">zařízení </w:t>
      </w:r>
      <w:r w:rsidRPr="005A6E13">
        <w:rPr>
          <w:rFonts w:asciiTheme="minorHAnsi" w:hAnsiTheme="minorHAnsi" w:cstheme="minorHAnsi"/>
          <w:szCs w:val="22"/>
        </w:rPr>
        <w:t xml:space="preserve">musí být prodávajícímu oznámeny </w:t>
      </w:r>
      <w:r w:rsidR="005B14F0" w:rsidRPr="005A6E13">
        <w:rPr>
          <w:rFonts w:asciiTheme="minorHAnsi" w:hAnsiTheme="minorHAnsi" w:cstheme="minorHAnsi"/>
          <w:szCs w:val="22"/>
        </w:rPr>
        <w:t>bez zbytečného odkladu</w:t>
      </w:r>
      <w:r w:rsidRPr="005A6E13">
        <w:rPr>
          <w:rFonts w:asciiTheme="minorHAnsi" w:hAnsiTheme="minorHAnsi" w:cstheme="minorHAnsi"/>
          <w:szCs w:val="22"/>
        </w:rPr>
        <w:t xml:space="preserve"> po jejich zjištění. Převzetí reklamace potvrdí prodávající kupujícímu </w:t>
      </w:r>
      <w:r w:rsidR="00577C1B" w:rsidRPr="005A6E13">
        <w:rPr>
          <w:rFonts w:asciiTheme="minorHAnsi" w:hAnsiTheme="minorHAnsi" w:cstheme="minorHAnsi"/>
          <w:szCs w:val="22"/>
        </w:rPr>
        <w:t xml:space="preserve">nejpozději </w:t>
      </w:r>
      <w:r w:rsidRPr="005A6E13">
        <w:rPr>
          <w:rFonts w:asciiTheme="minorHAnsi" w:hAnsiTheme="minorHAnsi" w:cstheme="minorHAnsi"/>
          <w:szCs w:val="22"/>
        </w:rPr>
        <w:t xml:space="preserve">ve lhůtě </w:t>
      </w:r>
      <w:r w:rsidR="00A119E3" w:rsidRPr="005A6E13">
        <w:rPr>
          <w:rFonts w:asciiTheme="minorHAnsi" w:hAnsiTheme="minorHAnsi" w:cstheme="minorHAnsi"/>
          <w:szCs w:val="22"/>
        </w:rPr>
        <w:t>24</w:t>
      </w:r>
      <w:r w:rsidRPr="005A6E13">
        <w:rPr>
          <w:rFonts w:asciiTheme="minorHAnsi" w:hAnsiTheme="minorHAnsi" w:cstheme="minorHAnsi"/>
          <w:szCs w:val="22"/>
        </w:rPr>
        <w:t xml:space="preserve"> hodin od jejích obdržení. Na </w:t>
      </w:r>
      <w:r w:rsidR="00495D5B" w:rsidRPr="005A6E13">
        <w:rPr>
          <w:rFonts w:asciiTheme="minorHAnsi" w:hAnsiTheme="minorHAnsi" w:cstheme="minorHAnsi"/>
          <w:szCs w:val="22"/>
        </w:rPr>
        <w:t xml:space="preserve">nový </w:t>
      </w:r>
      <w:r w:rsidRPr="005A6E13">
        <w:rPr>
          <w:rFonts w:asciiTheme="minorHAnsi" w:hAnsiTheme="minorHAnsi" w:cstheme="minorHAnsi"/>
          <w:szCs w:val="22"/>
        </w:rPr>
        <w:t>vyměněný</w:t>
      </w:r>
      <w:r w:rsidR="00A119E3" w:rsidRPr="005A6E13">
        <w:rPr>
          <w:rFonts w:asciiTheme="minorHAnsi" w:hAnsiTheme="minorHAnsi" w:cstheme="minorHAnsi"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 xml:space="preserve">komponent zařízení běží nová záruka v délce </w:t>
      </w:r>
      <w:r w:rsidR="000E50D2">
        <w:rPr>
          <w:rFonts w:asciiTheme="minorHAnsi" w:hAnsiTheme="minorHAnsi" w:cstheme="minorHAnsi"/>
          <w:szCs w:val="22"/>
        </w:rPr>
        <w:t>12</w:t>
      </w:r>
      <w:r w:rsidRPr="005A6E13">
        <w:rPr>
          <w:rFonts w:asciiTheme="minorHAnsi" w:hAnsiTheme="minorHAnsi" w:cstheme="minorHAnsi"/>
          <w:szCs w:val="22"/>
        </w:rPr>
        <w:t xml:space="preserve"> měsíců.</w:t>
      </w:r>
    </w:p>
    <w:p w14:paraId="0D2191D4" w14:textId="77777777" w:rsidR="00495D5B" w:rsidRPr="005A6E13" w:rsidRDefault="00697B0C" w:rsidP="00275E9B">
      <w:pPr>
        <w:keepLines w:val="0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Při uplatnění reklamací kupujícího v záruční době provede prodávající neprodleně všechna nutná šetření a co nejrychleji, nejdéle do 24 hodin od obdržení reklamace kupujícího, zahájí prodávající práce na odstranění vady zařízení. </w:t>
      </w:r>
    </w:p>
    <w:p w14:paraId="5BE43BE5" w14:textId="77777777" w:rsidR="00697B0C" w:rsidRPr="005A6E13" w:rsidRDefault="00697B0C" w:rsidP="00275E9B">
      <w:pPr>
        <w:keepLines w:val="0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Pokud nemůže být zařízení v důsledku vady v záruční době kupujícím užíváno, prodlužuje se záruční lhůta automaticky o počet dní, po které nemohla být zařízení používána z důvodu neodstraněné závady.</w:t>
      </w:r>
    </w:p>
    <w:p w14:paraId="5DDA9DC6" w14:textId="0C615E8D" w:rsidR="00E175C0" w:rsidRPr="005A6E13" w:rsidRDefault="00E175C0" w:rsidP="00E175C0">
      <w:pPr>
        <w:keepLines w:val="0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J</w:t>
      </w:r>
      <w:r w:rsidR="00FC4354" w:rsidRPr="005A6E13">
        <w:rPr>
          <w:rFonts w:asciiTheme="minorHAnsi" w:hAnsiTheme="minorHAnsi" w:cstheme="minorHAnsi"/>
          <w:szCs w:val="22"/>
        </w:rPr>
        <w:t>e požadován servis v režimu 24/</w:t>
      </w:r>
      <w:r w:rsidR="00A66DA5">
        <w:rPr>
          <w:rFonts w:asciiTheme="minorHAnsi" w:hAnsiTheme="minorHAnsi" w:cstheme="minorHAnsi"/>
          <w:szCs w:val="22"/>
        </w:rPr>
        <w:t>7</w:t>
      </w:r>
      <w:r w:rsidRPr="005A6E13">
        <w:rPr>
          <w:rFonts w:asciiTheme="minorHAnsi" w:hAnsiTheme="minorHAnsi" w:cstheme="minorHAnsi"/>
          <w:szCs w:val="22"/>
        </w:rPr>
        <w:t>.</w:t>
      </w:r>
    </w:p>
    <w:p w14:paraId="07E813B1" w14:textId="77777777" w:rsidR="00E175C0" w:rsidRPr="005A6E13" w:rsidRDefault="00E175C0" w:rsidP="00FC4354">
      <w:pPr>
        <w:keepLines w:val="0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Servisní kontakty: kontaktní osoba:………………………………………tel. číslo / email:  …………………………………………..</w:t>
      </w:r>
    </w:p>
    <w:p w14:paraId="6D4827E4" w14:textId="77777777" w:rsidR="00697B0C" w:rsidRPr="005A6E13" w:rsidRDefault="00697B0C" w:rsidP="00697B0C">
      <w:pPr>
        <w:pStyle w:val="Nadpis2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42F57AF" w14:textId="77777777" w:rsidR="00697B0C" w:rsidRPr="005A6E13" w:rsidRDefault="00697B0C" w:rsidP="00697B0C">
      <w:pPr>
        <w:pStyle w:val="Nadpis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V.</w:t>
      </w:r>
    </w:p>
    <w:p w14:paraId="27437FCF" w14:textId="77777777" w:rsidR="00697B0C" w:rsidRPr="005A6E13" w:rsidRDefault="00697B0C" w:rsidP="00697B0C">
      <w:pPr>
        <w:pStyle w:val="Nadpis2"/>
        <w:spacing w:before="0"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SMLUVNÍ POKUTY</w:t>
      </w:r>
    </w:p>
    <w:p w14:paraId="638AFA9E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</w:p>
    <w:p w14:paraId="65BD781B" w14:textId="77777777" w:rsidR="00697B0C" w:rsidRPr="005A6E13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 případě, že prodávající nedodrží termín pro dodání zařízení a prokázání jeho provozuschopnosti kupujícímu podle čl. II odst. 2 této smlouvy, je prodávající povinen uhradit prodávajícímu smluvní pokutu ve výši 0,</w:t>
      </w:r>
      <w:r w:rsidR="00A119E3" w:rsidRPr="005A6E13">
        <w:rPr>
          <w:rFonts w:asciiTheme="minorHAnsi" w:hAnsiTheme="minorHAnsi" w:cstheme="minorHAnsi"/>
          <w:szCs w:val="22"/>
        </w:rPr>
        <w:t>05</w:t>
      </w:r>
      <w:r w:rsidRPr="005A6E13">
        <w:rPr>
          <w:rFonts w:asciiTheme="minorHAnsi" w:hAnsiTheme="minorHAnsi" w:cstheme="minorHAnsi"/>
          <w:szCs w:val="22"/>
        </w:rPr>
        <w:t xml:space="preserve"> % ze sjednané kupní ceny zařízení podle čl. III odst. 1 této smlouvy vč. DPH za každý započatý den prodlení.</w:t>
      </w:r>
      <w:r w:rsidR="00A119E3" w:rsidRPr="005A6E13">
        <w:rPr>
          <w:rFonts w:asciiTheme="minorHAnsi" w:hAnsiTheme="minorHAnsi" w:cstheme="minorHAnsi"/>
          <w:szCs w:val="22"/>
        </w:rPr>
        <w:t xml:space="preserve"> Maximálně však </w:t>
      </w:r>
      <w:r w:rsidR="00E0758F" w:rsidRPr="005A6E13">
        <w:rPr>
          <w:rFonts w:asciiTheme="minorHAnsi" w:hAnsiTheme="minorHAnsi" w:cstheme="minorHAnsi"/>
          <w:szCs w:val="22"/>
        </w:rPr>
        <w:t>0,2 %</w:t>
      </w:r>
      <w:r w:rsidR="00A119E3" w:rsidRPr="005A6E13">
        <w:rPr>
          <w:rFonts w:asciiTheme="minorHAnsi" w:hAnsiTheme="minorHAnsi" w:cstheme="minorHAnsi"/>
          <w:szCs w:val="22"/>
        </w:rPr>
        <w:t xml:space="preserve"> z celkové pořizovací ceny předmětu.</w:t>
      </w:r>
    </w:p>
    <w:p w14:paraId="30B5958D" w14:textId="77777777" w:rsidR="00697B0C" w:rsidRPr="005A6E13" w:rsidRDefault="00697B0C" w:rsidP="00697B0C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 případě, že se kupující ocitne v prodlení se zaplacením kupní ceny díla podle čl. III odst. 2 této smlouvy, je povinen uhradit prodávajícímu smluvní pokutu ve výši 0,</w:t>
      </w:r>
      <w:r w:rsidR="00942EFC" w:rsidRPr="005A6E13">
        <w:rPr>
          <w:rFonts w:asciiTheme="minorHAnsi" w:hAnsiTheme="minorHAnsi" w:cstheme="minorHAnsi"/>
          <w:szCs w:val="22"/>
        </w:rPr>
        <w:t>05</w:t>
      </w:r>
      <w:r w:rsidRPr="005A6E13">
        <w:rPr>
          <w:rFonts w:asciiTheme="minorHAnsi" w:hAnsiTheme="minorHAnsi" w:cstheme="minorHAnsi"/>
          <w:szCs w:val="22"/>
        </w:rPr>
        <w:t xml:space="preserve"> % z dlužné částky vč. DPH za každý započatý den prodlení. </w:t>
      </w:r>
    </w:p>
    <w:p w14:paraId="413711B9" w14:textId="77777777" w:rsidR="00697B0C" w:rsidRPr="005A6E13" w:rsidRDefault="00697B0C" w:rsidP="00697B0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lastRenderedPageBreak/>
        <w:t>vI.</w:t>
      </w:r>
      <w:r w:rsidRPr="005A6E13">
        <w:rPr>
          <w:rFonts w:asciiTheme="minorHAnsi" w:hAnsiTheme="minorHAnsi" w:cstheme="minorHAnsi"/>
          <w:sz w:val="22"/>
          <w:szCs w:val="22"/>
        </w:rPr>
        <w:br/>
        <w:t>utajení důvěrných informací</w:t>
      </w:r>
    </w:p>
    <w:p w14:paraId="78AFB554" w14:textId="77777777" w:rsidR="00697B0C" w:rsidRPr="005A6E13" w:rsidRDefault="00697B0C" w:rsidP="00697B0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 případ, že prodávající bude mít v rámci plnění předmětu této smlouvy přístup k důvěrným informacím kupujícího, kterými se rozumí zejména dokumentace včetně výkresů, návrhy a vzorky, ústním informace, poznatky a zkušenosti kupujícího, dále jen "informace", zavazuje se, že:</w:t>
      </w:r>
    </w:p>
    <w:p w14:paraId="07CC5087" w14:textId="77777777" w:rsidR="00697B0C" w:rsidRPr="005A6E13" w:rsidRDefault="00697B0C" w:rsidP="00697B0C">
      <w:pPr>
        <w:numPr>
          <w:ilvl w:val="1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bude udržovat tyto informace v tajnosti vůči třetím stranám a zdrží se jejich zveřejnění;</w:t>
      </w:r>
    </w:p>
    <w:p w14:paraId="443A0C02" w14:textId="77777777" w:rsidR="00697B0C" w:rsidRPr="005A6E13" w:rsidRDefault="00697B0C" w:rsidP="00697B0C">
      <w:pPr>
        <w:numPr>
          <w:ilvl w:val="1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bude používat informace a takto nabyté know-how jen v rámci plnění předmětu této smlouvy, zvláště pak, že je nepoužije pro svou vlastní výrobu nebo pro dodávky třetím stranám;</w:t>
      </w:r>
    </w:p>
    <w:p w14:paraId="01EB6EB7" w14:textId="77777777" w:rsidR="00697B0C" w:rsidRPr="005A6E13" w:rsidRDefault="00697B0C" w:rsidP="00697B0C">
      <w:pPr>
        <w:numPr>
          <w:ilvl w:val="1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tyto informace sdělí jen těm zaměstnancům, kteří jsou zapojeni do plnění předmětu této smlouvy v souladu s podmínkami sjednanými v této smlouvě a v rozsahu nezbytně nutném pro výše zmíněný účel;</w:t>
      </w:r>
    </w:p>
    <w:p w14:paraId="4003089F" w14:textId="77777777" w:rsidR="00697B0C" w:rsidRPr="005A6E13" w:rsidRDefault="00697B0C" w:rsidP="00697B0C">
      <w:pPr>
        <w:numPr>
          <w:ilvl w:val="1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učiní vhodná opatření pro zajištění utajení a využití informací pouze při plnění předmětu této smlouvy prostřednictvím svých zaměstnanců (například použitím přístupu chráněného heslem, chráněným uložením dokumentace, vzorků a paměťových médií, fyzickým oddělením předmětu od jiných aktivit apod.). </w:t>
      </w:r>
    </w:p>
    <w:p w14:paraId="4F6E80B3" w14:textId="77777777" w:rsidR="00697B0C" w:rsidRPr="005A6E13" w:rsidRDefault="00697B0C" w:rsidP="00697B0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Budou-li v souvislosti s plněním předmětu této smlouvy poskytnuty druhé smluvní straně osobní údaje pracovníků, zavazuje se každá ze smluvních stran dodržet povinnosti stanovené platnými právními předpisy pro nakládání s osobními údaji a podniknout veškerá technická o organizační ochranná opatření ve shodě s tím.</w:t>
      </w:r>
    </w:p>
    <w:p w14:paraId="5D4C21B3" w14:textId="77777777" w:rsidR="00697B0C" w:rsidRPr="005A6E13" w:rsidRDefault="00697B0C" w:rsidP="00697B0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Veškerá dokumentace poskytnutá kupujícím prodávajícímu včetně výkresů, návrhů a vzorků zůstává výlučným vlastnictvím kupujícího. Prodávající se zavazuje, že s nimi bude pečlivě nakládat, skladovat je a že je kompletně vrátí kupujícímu po splnění svých závazků z této smlouvy.</w:t>
      </w:r>
    </w:p>
    <w:p w14:paraId="4CB5C597" w14:textId="77777777" w:rsidR="00697B0C" w:rsidRPr="005A6E13" w:rsidRDefault="00697B0C" w:rsidP="00697B0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Tím, že kupující sdělí prodávajícímu informace, nedochází k udělení licence.  Kupující si vyhrazuje veškerá práva na informace, které pocházejí od kupujícího, včetně autorského práva, přihlášení práv k průmyslovému vlastnictví, jako jsou patenty, užitné vzory, topografická práva atd. </w:t>
      </w:r>
    </w:p>
    <w:p w14:paraId="746A0B78" w14:textId="77777777" w:rsidR="00697B0C" w:rsidRPr="005A6E13" w:rsidRDefault="00697B0C" w:rsidP="00697B0C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Jakákoli reklama využívající závazek vzniklý z této smlouvy a informace z něho je nepřípustná, pokud k takovému postupu kupující nedá předem písemný souhlas.</w:t>
      </w:r>
    </w:p>
    <w:p w14:paraId="2346DDBA" w14:textId="77777777" w:rsidR="00697B0C" w:rsidRPr="005A6E13" w:rsidRDefault="00697B0C" w:rsidP="00697B0C">
      <w:pPr>
        <w:pStyle w:val="Nadpis2"/>
        <w:spacing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VII.</w:t>
      </w:r>
    </w:p>
    <w:p w14:paraId="70B4E808" w14:textId="77777777" w:rsidR="00697B0C" w:rsidRPr="005A6E13" w:rsidRDefault="00697B0C" w:rsidP="00697B0C">
      <w:pPr>
        <w:pStyle w:val="Nadpis2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NÁHRADA ÚJMY A POJIŠTĚNÍ</w:t>
      </w:r>
    </w:p>
    <w:p w14:paraId="67367556" w14:textId="77777777" w:rsidR="00697B0C" w:rsidRPr="005A6E13" w:rsidRDefault="00697B0C" w:rsidP="00697B0C">
      <w:pPr>
        <w:rPr>
          <w:rFonts w:asciiTheme="minorHAnsi" w:hAnsiTheme="minorHAnsi" w:cstheme="minorHAnsi"/>
          <w:szCs w:val="22"/>
        </w:rPr>
      </w:pPr>
    </w:p>
    <w:p w14:paraId="2F405CF4" w14:textId="77777777" w:rsidR="00697B0C" w:rsidRPr="005A6E13" w:rsidRDefault="00697B0C" w:rsidP="00697B0C">
      <w:pPr>
        <w:keepLines w:val="0"/>
        <w:numPr>
          <w:ilvl w:val="0"/>
          <w:numId w:val="8"/>
        </w:numPr>
        <w:spacing w:after="12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Každá ze stran má povinnost nahradit způsobenou majetkovou a nemajetkovou újmu v rámci platných právních předpisů a této Smlouvy. Obě strany se zavazují k vyvinutí maximálního úsilí k předcházení majetkové a nemajetkové újmě a k minimalizaci vzniklé újmy.</w:t>
      </w:r>
    </w:p>
    <w:p w14:paraId="533AC805" w14:textId="77777777" w:rsidR="00697B0C" w:rsidRPr="005A6E13" w:rsidRDefault="00697B0C" w:rsidP="00697B0C">
      <w:pPr>
        <w:keepLines w:val="0"/>
        <w:numPr>
          <w:ilvl w:val="0"/>
          <w:numId w:val="8"/>
        </w:numPr>
        <w:spacing w:after="12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Žádná ze stran není povinna nahradit majetkovou nebo nemajetkovou újmu, která vznikla v důsledku věcně nesprávného nebo jinak chybného zadání, které obdržela od druhé strany. Žádná ze smluvních stran není odpovědná za prodlení způsobené prodlením s plněním závazků druhé smluvní strany. </w:t>
      </w:r>
    </w:p>
    <w:p w14:paraId="11183752" w14:textId="77777777" w:rsidR="00697B0C" w:rsidRPr="005A6E13" w:rsidRDefault="00697B0C" w:rsidP="00697B0C">
      <w:pPr>
        <w:keepLines w:val="0"/>
        <w:numPr>
          <w:ilvl w:val="0"/>
          <w:numId w:val="8"/>
        </w:numPr>
        <w:spacing w:after="12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Smluvní strany se zavazují upozornit druhou smluvní stranu bez zbytečného odkladu na okolnosti vylučující povinnost k náhradě újmy, tedy mimořádnou nepředvídatelnou a nepřekonatelnou překážku vzniklou nezávisle na vůli smluvní strany bránící řádnému plnění této Smlouvy. Smluvní strany se zavazují k vyvinutí maximálního úsilí k odvrácení mimořádných nepředvídatelných a nepřekonatelných překážek vylučujících povinnost nahradit újmu. Poruší-li smluvní strana </w:t>
      </w:r>
      <w:r w:rsidRPr="005A6E13">
        <w:rPr>
          <w:rFonts w:asciiTheme="minorHAnsi" w:hAnsiTheme="minorHAnsi" w:cstheme="minorHAnsi"/>
          <w:szCs w:val="22"/>
        </w:rPr>
        <w:lastRenderedPageBreak/>
        <w:t>povinnost z této Smlouvy, zprostí se povinnosti k náhradě újmy, pokud prokáže, že jí ve splnění povinnosti dočasně nebo trvale zabránila mimořádná nepředvídatelná a nepřekonatelná překážka vzniklá nezávisle na její vůli.</w:t>
      </w:r>
    </w:p>
    <w:p w14:paraId="690EED8C" w14:textId="77777777" w:rsidR="00697B0C" w:rsidRPr="005A6E13" w:rsidRDefault="00697B0C" w:rsidP="00133D1C">
      <w:pPr>
        <w:keepLines w:val="0"/>
        <w:spacing w:after="120"/>
        <w:ind w:left="360"/>
        <w:jc w:val="both"/>
        <w:rPr>
          <w:rFonts w:asciiTheme="minorHAnsi" w:hAnsiTheme="minorHAnsi" w:cstheme="minorHAnsi"/>
          <w:szCs w:val="22"/>
        </w:rPr>
      </w:pPr>
    </w:p>
    <w:p w14:paraId="7CBC0CDD" w14:textId="77777777" w:rsidR="00697B0C" w:rsidRPr="005A6E13" w:rsidRDefault="00697B0C" w:rsidP="00697B0C">
      <w:pPr>
        <w:pStyle w:val="Nadpis2"/>
        <w:spacing w:after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VIII.</w:t>
      </w:r>
    </w:p>
    <w:p w14:paraId="554687E6" w14:textId="77777777" w:rsidR="00697B0C" w:rsidRPr="005A6E13" w:rsidRDefault="00697B0C" w:rsidP="00697B0C">
      <w:pPr>
        <w:pStyle w:val="Nadpis2"/>
        <w:spacing w:before="0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Doba trvání smlouvy</w:t>
      </w:r>
    </w:p>
    <w:p w14:paraId="0DD86816" w14:textId="77777777" w:rsidR="00697B0C" w:rsidRPr="005A6E1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Tato smlouva nabývá platnosti a účinnosti dnem podpisu oběma smluvními stranami.</w:t>
      </w:r>
    </w:p>
    <w:p w14:paraId="421DCC30" w14:textId="77777777" w:rsidR="00697B0C" w:rsidRPr="005A6E1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Obě smluvní strany mají právo od této smlouvy odstoupit v případě podstatného porušení smluvních povinností druhé smluvní strany.</w:t>
      </w:r>
    </w:p>
    <w:p w14:paraId="0C2F301F" w14:textId="77777777" w:rsidR="00697B0C" w:rsidRPr="005A6E1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Za podstatné porušení smluvních povinností na straně prodávajícího se považuje zejména prodlení s</w:t>
      </w:r>
      <w:r w:rsidR="00D26928" w:rsidRPr="005A6E13">
        <w:rPr>
          <w:rFonts w:asciiTheme="minorHAnsi" w:hAnsiTheme="minorHAnsi" w:cstheme="minorHAnsi"/>
          <w:szCs w:val="22"/>
        </w:rPr>
        <w:t xml:space="preserve"> předáním zařízení </w:t>
      </w:r>
      <w:r w:rsidR="00AB253B" w:rsidRPr="005A6E13">
        <w:rPr>
          <w:rFonts w:asciiTheme="minorHAnsi" w:hAnsiTheme="minorHAnsi" w:cstheme="minorHAnsi"/>
          <w:szCs w:val="22"/>
        </w:rPr>
        <w:t>a</w:t>
      </w:r>
      <w:r w:rsidR="00D26928" w:rsidRPr="005A6E13">
        <w:rPr>
          <w:rFonts w:asciiTheme="minorHAnsi" w:hAnsiTheme="minorHAnsi" w:cstheme="minorHAnsi"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 xml:space="preserve">prokázáním </w:t>
      </w:r>
      <w:r w:rsidR="00AB253B" w:rsidRPr="005A6E13">
        <w:rPr>
          <w:rFonts w:asciiTheme="minorHAnsi" w:hAnsiTheme="minorHAnsi" w:cstheme="minorHAnsi"/>
          <w:szCs w:val="22"/>
        </w:rPr>
        <w:t xml:space="preserve">jeho </w:t>
      </w:r>
      <w:r w:rsidRPr="005A6E13">
        <w:rPr>
          <w:rFonts w:asciiTheme="minorHAnsi" w:hAnsiTheme="minorHAnsi" w:cstheme="minorHAnsi"/>
          <w:szCs w:val="22"/>
        </w:rPr>
        <w:t xml:space="preserve">provozuschopnosti podle čl. II odst. </w:t>
      </w:r>
      <w:r w:rsidR="005B14F0" w:rsidRPr="005A6E13">
        <w:rPr>
          <w:rFonts w:asciiTheme="minorHAnsi" w:hAnsiTheme="minorHAnsi" w:cstheme="minorHAnsi"/>
          <w:szCs w:val="22"/>
        </w:rPr>
        <w:t>2</w:t>
      </w:r>
      <w:r w:rsidRPr="005A6E13">
        <w:rPr>
          <w:rFonts w:asciiTheme="minorHAnsi" w:hAnsiTheme="minorHAnsi" w:cstheme="minorHAnsi"/>
          <w:szCs w:val="22"/>
        </w:rPr>
        <w:t xml:space="preserve"> této smlouvy delší než 14</w:t>
      </w:r>
      <w:r w:rsidRPr="005A6E13">
        <w:rPr>
          <w:rFonts w:asciiTheme="minorHAnsi" w:hAnsiTheme="minorHAnsi" w:cstheme="minorHAnsi"/>
          <w:b/>
          <w:bCs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>dní oproti sjednanému termínu.</w:t>
      </w:r>
    </w:p>
    <w:p w14:paraId="0955D135" w14:textId="77777777" w:rsidR="00697B0C" w:rsidRPr="005A6E1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Za podstatné porušení smluvních povinností na straně kupujícího se považuje prodlení se zaplacením kupní ceny podle čl. III odst. 2 této smlouvy delší než 30</w:t>
      </w:r>
      <w:r w:rsidRPr="005A6E13">
        <w:rPr>
          <w:rFonts w:asciiTheme="minorHAnsi" w:hAnsiTheme="minorHAnsi" w:cstheme="minorHAnsi"/>
          <w:b/>
          <w:bCs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>dní oproti sjednanému termínu.</w:t>
      </w:r>
    </w:p>
    <w:p w14:paraId="3C479DB8" w14:textId="77777777" w:rsidR="00586658" w:rsidRPr="005A6E13" w:rsidRDefault="00586658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Kupující má právo odstoupit od této smlouvy v případě, že v rámci insolvenčního řízení prodávajícího rozhodne soud o prohlášení konkurzu.</w:t>
      </w:r>
    </w:p>
    <w:p w14:paraId="227A6FEA" w14:textId="77777777" w:rsidR="00697B0C" w:rsidRPr="005A6E13" w:rsidRDefault="00697B0C" w:rsidP="00697B0C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Odstoupení od této smlouvy anebo zánik této smlouvy z jiných důvodů se nedotýká práva na úhradu smluvní pokuty a práva na náhradu újmy.</w:t>
      </w:r>
    </w:p>
    <w:p w14:paraId="4E243634" w14:textId="77777777" w:rsidR="00697B0C" w:rsidRPr="005A6E13" w:rsidRDefault="00697B0C" w:rsidP="00697B0C">
      <w:pPr>
        <w:pStyle w:val="Nadpis2"/>
        <w:ind w:left="357"/>
        <w:rPr>
          <w:rFonts w:asciiTheme="minorHAnsi" w:hAnsiTheme="minorHAnsi" w:cstheme="minorHAnsi"/>
          <w:sz w:val="22"/>
          <w:szCs w:val="22"/>
        </w:rPr>
      </w:pPr>
      <w:r w:rsidRPr="005A6E13">
        <w:rPr>
          <w:rFonts w:asciiTheme="minorHAnsi" w:hAnsiTheme="minorHAnsi" w:cstheme="minorHAnsi"/>
          <w:sz w:val="22"/>
          <w:szCs w:val="22"/>
        </w:rPr>
        <w:t>IX.</w:t>
      </w:r>
      <w:r w:rsidRPr="005A6E13">
        <w:rPr>
          <w:rFonts w:asciiTheme="minorHAnsi" w:hAnsiTheme="minorHAnsi" w:cstheme="minorHAnsi"/>
          <w:sz w:val="22"/>
          <w:szCs w:val="22"/>
        </w:rPr>
        <w:br/>
        <w:t>ZVLÁŠTNÍ A závěrečná ustanovení</w:t>
      </w:r>
    </w:p>
    <w:p w14:paraId="5E404CB2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 vyloučení pochybností smluvní strany výslovně potvrzují, že jsou podnikateli a uzavírají tuto smlouvu v rámci svého podnikání. Smluvní strany se dohodly, že se na závazek vzniklý z této smlouvy neuplatní ustanovení § 1798 až 1800 občanského zákoníku, obsahující úpravu smluv uzavíraných adhézním způsobem.</w:t>
      </w:r>
    </w:p>
    <w:p w14:paraId="63CB2067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Tato smlouva a rovněž všechny sem spadající dohody a z nich vznikající spory podléhají českému právu s vyloučením kolizního práva. Použití Haagských jednotných nákupních zákonů, úmluv OSN o mezinárodní koupi zboží a o promlčení při mezinárodní koupi zboží nebo ostatních mezinárodních konvencí o koupi zboží jsou vyloučeny.</w:t>
      </w:r>
    </w:p>
    <w:p w14:paraId="02A70429" w14:textId="77777777" w:rsidR="00697B0C" w:rsidRPr="005A6E13" w:rsidRDefault="00697B0C" w:rsidP="00697B0C">
      <w:pPr>
        <w:pStyle w:val="Zkladntext"/>
        <w:keepLines w:val="0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Neplatnost některého ustanovení této smlouvy či některých ustanovení této smlouvy nemá vliv na platnost této smlouvy jako celku, v tomto případě dohodnou smluvní strany platné ustanovení, které je nejblíže optimálnímu účelu neplatného ustanovení.</w:t>
      </w:r>
    </w:p>
    <w:p w14:paraId="5C574C38" w14:textId="77777777" w:rsidR="00697B0C" w:rsidRPr="005A6E13" w:rsidRDefault="00697B0C" w:rsidP="00697B0C">
      <w:pPr>
        <w:pStyle w:val="Zkladntext"/>
        <w:keepLines w:val="0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Závazky z této smlouvy přechází na právního nástupce smluvních stran.</w:t>
      </w:r>
    </w:p>
    <w:p w14:paraId="1C13EA72" w14:textId="77777777" w:rsidR="00F112BF" w:rsidRPr="005A6E13" w:rsidRDefault="00F112BF" w:rsidP="002E0248">
      <w:pPr>
        <w:pStyle w:val="Zkladntext"/>
        <w:keepLines w:val="0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Prodávající souhlasí pro případ, že na úhradu kupní ceny či její části bude kupujícím čerpána dotace z veřejných prostředků</w:t>
      </w:r>
      <w:r w:rsidR="002E0248" w:rsidRPr="005A6E13">
        <w:rPr>
          <w:rFonts w:asciiTheme="minorHAnsi" w:hAnsiTheme="minorHAnsi" w:cstheme="minorHAnsi"/>
          <w:szCs w:val="22"/>
        </w:rPr>
        <w:t xml:space="preserve">, </w:t>
      </w:r>
      <w:r w:rsidRPr="005A6E13">
        <w:rPr>
          <w:rFonts w:asciiTheme="minorHAnsi" w:hAnsiTheme="minorHAnsi" w:cstheme="minorHAnsi"/>
          <w:szCs w:val="22"/>
        </w:rPr>
        <w:t>spoluprac</w:t>
      </w:r>
      <w:r w:rsidR="002E0248" w:rsidRPr="005A6E13">
        <w:rPr>
          <w:rFonts w:asciiTheme="minorHAnsi" w:hAnsiTheme="minorHAnsi" w:cstheme="minorHAnsi"/>
          <w:szCs w:val="22"/>
        </w:rPr>
        <w:t xml:space="preserve">ovat </w:t>
      </w:r>
      <w:r w:rsidRPr="005A6E13">
        <w:rPr>
          <w:rFonts w:asciiTheme="minorHAnsi" w:hAnsiTheme="minorHAnsi" w:cstheme="minorHAnsi"/>
          <w:szCs w:val="22"/>
        </w:rPr>
        <w:t>s kontrolami ze strany poskytovatele</w:t>
      </w:r>
      <w:r w:rsidR="002E0248" w:rsidRPr="005A6E13">
        <w:rPr>
          <w:rFonts w:asciiTheme="minorHAnsi" w:hAnsiTheme="minorHAnsi" w:cstheme="minorHAnsi"/>
          <w:szCs w:val="22"/>
        </w:rPr>
        <w:t xml:space="preserve"> této dotace</w:t>
      </w:r>
      <w:r w:rsidRPr="005A6E13">
        <w:rPr>
          <w:rFonts w:asciiTheme="minorHAnsi" w:hAnsiTheme="minorHAnsi" w:cstheme="minorHAnsi"/>
          <w:szCs w:val="22"/>
        </w:rPr>
        <w:t xml:space="preserve">, třetích osob pověřených </w:t>
      </w:r>
      <w:r w:rsidR="002E0248" w:rsidRPr="005A6E13">
        <w:rPr>
          <w:rFonts w:asciiTheme="minorHAnsi" w:hAnsiTheme="minorHAnsi" w:cstheme="minorHAnsi"/>
          <w:szCs w:val="22"/>
        </w:rPr>
        <w:t xml:space="preserve">tímto </w:t>
      </w:r>
      <w:r w:rsidRPr="005A6E13">
        <w:rPr>
          <w:rFonts w:asciiTheme="minorHAnsi" w:hAnsiTheme="minorHAnsi" w:cstheme="minorHAnsi"/>
          <w:szCs w:val="22"/>
        </w:rPr>
        <w:t>poskytovatelem, Ministerstv</w:t>
      </w:r>
      <w:r w:rsidR="002E0248" w:rsidRPr="005A6E13">
        <w:rPr>
          <w:rFonts w:asciiTheme="minorHAnsi" w:hAnsiTheme="minorHAnsi" w:cstheme="minorHAnsi"/>
          <w:szCs w:val="22"/>
        </w:rPr>
        <w:t>a</w:t>
      </w:r>
      <w:r w:rsidRPr="005A6E13">
        <w:rPr>
          <w:rFonts w:asciiTheme="minorHAnsi" w:hAnsiTheme="minorHAnsi" w:cstheme="minorHAnsi"/>
          <w:szCs w:val="22"/>
        </w:rPr>
        <w:t xml:space="preserve"> </w:t>
      </w:r>
      <w:r w:rsidR="002E0248" w:rsidRPr="005A6E13">
        <w:rPr>
          <w:rFonts w:asciiTheme="minorHAnsi" w:hAnsiTheme="minorHAnsi" w:cstheme="minorHAnsi"/>
          <w:szCs w:val="22"/>
        </w:rPr>
        <w:t xml:space="preserve">průmyslu a obchodu ČR, </w:t>
      </w:r>
      <w:r w:rsidRPr="005A6E13">
        <w:rPr>
          <w:rFonts w:asciiTheme="minorHAnsi" w:hAnsiTheme="minorHAnsi" w:cstheme="minorHAnsi"/>
          <w:szCs w:val="22"/>
        </w:rPr>
        <w:t>Ministerstv</w:t>
      </w:r>
      <w:r w:rsidR="002E0248" w:rsidRPr="005A6E13">
        <w:rPr>
          <w:rFonts w:asciiTheme="minorHAnsi" w:hAnsiTheme="minorHAnsi" w:cstheme="minorHAnsi"/>
          <w:szCs w:val="22"/>
        </w:rPr>
        <w:t>a</w:t>
      </w:r>
      <w:r w:rsidRPr="005A6E13">
        <w:rPr>
          <w:rFonts w:asciiTheme="minorHAnsi" w:hAnsiTheme="minorHAnsi" w:cstheme="minorHAnsi"/>
          <w:szCs w:val="22"/>
        </w:rPr>
        <w:t xml:space="preserve"> financí ČR, Evropské komise, Evropského účetního dvora a</w:t>
      </w:r>
      <w:r w:rsidR="002E0248" w:rsidRPr="005A6E13">
        <w:rPr>
          <w:rFonts w:asciiTheme="minorHAnsi" w:hAnsiTheme="minorHAnsi" w:cstheme="minorHAnsi"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>Nejvyššího</w:t>
      </w:r>
      <w:r w:rsidR="002E0248" w:rsidRPr="005A6E13">
        <w:rPr>
          <w:rFonts w:asciiTheme="minorHAnsi" w:hAnsiTheme="minorHAnsi" w:cstheme="minorHAnsi"/>
          <w:szCs w:val="22"/>
        </w:rPr>
        <w:t xml:space="preserve"> </w:t>
      </w:r>
      <w:r w:rsidRPr="005A6E13">
        <w:rPr>
          <w:rFonts w:asciiTheme="minorHAnsi" w:hAnsiTheme="minorHAnsi" w:cstheme="minorHAnsi"/>
          <w:szCs w:val="22"/>
        </w:rPr>
        <w:t xml:space="preserve">kontrolního úřadu ČR. Těmto subjektům je </w:t>
      </w:r>
      <w:r w:rsidR="002E0248" w:rsidRPr="005A6E13">
        <w:rPr>
          <w:rFonts w:asciiTheme="minorHAnsi" w:hAnsiTheme="minorHAnsi" w:cstheme="minorHAnsi"/>
          <w:szCs w:val="22"/>
        </w:rPr>
        <w:t xml:space="preserve">prodávající povinen zpřístupnit zejména </w:t>
      </w:r>
      <w:r w:rsidRPr="005A6E13">
        <w:rPr>
          <w:rFonts w:asciiTheme="minorHAnsi" w:hAnsiTheme="minorHAnsi" w:cstheme="minorHAnsi"/>
          <w:szCs w:val="22"/>
        </w:rPr>
        <w:t xml:space="preserve">veškerou dokumentaci </w:t>
      </w:r>
      <w:r w:rsidR="002E0248" w:rsidRPr="005A6E13">
        <w:rPr>
          <w:rFonts w:asciiTheme="minorHAnsi" w:hAnsiTheme="minorHAnsi" w:cstheme="minorHAnsi"/>
          <w:szCs w:val="22"/>
        </w:rPr>
        <w:t>vztahující se k této smlouvě a závazku z ní vyplývajícího</w:t>
      </w:r>
      <w:r w:rsidRPr="005A6E13">
        <w:rPr>
          <w:rFonts w:asciiTheme="minorHAnsi" w:hAnsiTheme="minorHAnsi" w:cstheme="minorHAnsi"/>
          <w:szCs w:val="22"/>
        </w:rPr>
        <w:t>.</w:t>
      </w:r>
    </w:p>
    <w:p w14:paraId="4315E9AF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lastRenderedPageBreak/>
        <w:t>Jakékoli změny nebo dodatky k této smlouvě musí být učiněny písemnou formou a schváleny podpisy obou stran.</w:t>
      </w:r>
    </w:p>
    <w:p w14:paraId="3AB2C959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Smluvní strany se dohodly, že místně příslušným soudem ve sporech z této smlouvy bude soud místně příslušný podle sídla kupujícího.</w:t>
      </w:r>
    </w:p>
    <w:p w14:paraId="77E32EF3" w14:textId="77777777" w:rsidR="00E175C0" w:rsidRPr="005A6E13" w:rsidRDefault="00E175C0" w:rsidP="00E175C0">
      <w:pPr>
        <w:pStyle w:val="Zkladntext"/>
        <w:keepLines w:val="0"/>
        <w:numPr>
          <w:ilvl w:val="0"/>
          <w:numId w:val="7"/>
        </w:numPr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Dle § 2 e) zákona č. 320/2001 Sb., o finanční kontrole ve veřejné správě, ve znění pozdějších předpisů, je prodávající osobou povinnou spolupůsobit při výkonu finanční kontroly.</w:t>
      </w:r>
    </w:p>
    <w:p w14:paraId="618D1563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Smlouva je sepsána ve dvou vyhotoveních, z nichž každá smluvní strana obdrží jedno vyhotovení.</w:t>
      </w:r>
    </w:p>
    <w:p w14:paraId="7C7A7391" w14:textId="77777777" w:rsidR="00697B0C" w:rsidRPr="005A6E13" w:rsidRDefault="00697B0C" w:rsidP="00697B0C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Tato smlouva je jasným a svobodným projevem vůle smluvních stran, není uzavřena v tísni za zjevně nevýhodných podmínek a smluvní strany prohlašují, že si ji přečetly, rozumí jejímu obsahu a s tímto souhlasí. Jako projev své souhlasné vůle připojují smluvní strany svůj podpis pod tuto smlouvu.</w:t>
      </w:r>
    </w:p>
    <w:p w14:paraId="00B08481" w14:textId="4E9A694F" w:rsidR="00E175C0" w:rsidRPr="005A6E13" w:rsidRDefault="00697B0C" w:rsidP="00FC4354">
      <w:pPr>
        <w:keepLines w:val="0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 xml:space="preserve">Přílohy této smlouvy a její nedílnou součást tvoří: </w:t>
      </w:r>
      <w:r w:rsidR="005A6E13" w:rsidRPr="005A6E13">
        <w:rPr>
          <w:rFonts w:asciiTheme="minorHAnsi" w:hAnsiTheme="minorHAnsi" w:cstheme="minorHAnsi"/>
          <w:szCs w:val="22"/>
        </w:rPr>
        <w:t>p</w:t>
      </w:r>
      <w:r w:rsidRPr="005A6E13">
        <w:rPr>
          <w:rFonts w:asciiTheme="minorHAnsi" w:hAnsiTheme="minorHAnsi" w:cstheme="minorHAnsi"/>
          <w:szCs w:val="22"/>
        </w:rPr>
        <w:t>říloha č. 1 -</w:t>
      </w:r>
      <w:r w:rsidR="00586658" w:rsidRPr="005A6E13">
        <w:rPr>
          <w:rFonts w:asciiTheme="minorHAnsi" w:hAnsiTheme="minorHAnsi" w:cstheme="minorHAnsi"/>
          <w:szCs w:val="22"/>
        </w:rPr>
        <w:t xml:space="preserve"> technické specifikaci kupujícího č.</w:t>
      </w:r>
      <w:r w:rsidR="00AB253B" w:rsidRPr="005A6E13">
        <w:rPr>
          <w:rFonts w:asciiTheme="minorHAnsi" w:hAnsiTheme="minorHAnsi" w:cstheme="minorHAnsi"/>
          <w:szCs w:val="22"/>
        </w:rPr>
        <w:t xml:space="preserve"> </w:t>
      </w:r>
      <w:r w:rsidR="00B25AA8">
        <w:rPr>
          <w:rFonts w:asciiTheme="minorHAnsi" w:hAnsiTheme="minorHAnsi" w:cstheme="minorHAnsi"/>
          <w:szCs w:val="22"/>
        </w:rPr>
        <w:t>5</w:t>
      </w:r>
      <w:r w:rsidR="00AB253B" w:rsidRPr="005A6E13">
        <w:rPr>
          <w:rFonts w:asciiTheme="minorHAnsi" w:hAnsiTheme="minorHAnsi" w:cstheme="minorHAnsi"/>
          <w:szCs w:val="22"/>
        </w:rPr>
        <w:t xml:space="preserve"> </w:t>
      </w:r>
      <w:r w:rsidR="00B25AA8" w:rsidRPr="00B25AA8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="00AB253B" w:rsidRPr="00B25AA8">
        <w:rPr>
          <w:rFonts w:asciiTheme="minorHAnsi" w:hAnsiTheme="minorHAnsi" w:cstheme="minorHAnsi"/>
          <w:szCs w:val="22"/>
          <w:highlight w:val="yellow"/>
        </w:rPr>
        <w:t xml:space="preserve">ze dne </w:t>
      </w:r>
      <w:r w:rsidR="00B25AA8" w:rsidRPr="00B25AA8">
        <w:rPr>
          <w:rFonts w:asciiTheme="minorHAnsi" w:hAnsiTheme="minorHAnsi" w:cstheme="minorHAnsi"/>
          <w:szCs w:val="22"/>
          <w:highlight w:val="yellow"/>
        </w:rPr>
        <w:t>….</w:t>
      </w:r>
      <w:r w:rsidRPr="005A6E13">
        <w:rPr>
          <w:rFonts w:asciiTheme="minorHAnsi" w:hAnsiTheme="minorHAnsi" w:cstheme="minorHAnsi"/>
          <w:szCs w:val="22"/>
        </w:rPr>
        <w:t xml:space="preserve"> příloha č. 2 – cenová nabídka prodávajícího</w:t>
      </w:r>
      <w:r w:rsidR="00FC30F0" w:rsidRPr="005A6E13">
        <w:rPr>
          <w:rFonts w:asciiTheme="minorHAnsi" w:hAnsiTheme="minorHAnsi" w:cstheme="minorHAnsi"/>
          <w:szCs w:val="22"/>
        </w:rPr>
        <w:t xml:space="preserve">. </w:t>
      </w:r>
      <w:r w:rsidRPr="005A6E13">
        <w:rPr>
          <w:rFonts w:asciiTheme="minorHAnsi" w:hAnsiTheme="minorHAnsi" w:cstheme="minorHAnsi"/>
          <w:bCs/>
          <w:szCs w:val="22"/>
        </w:rPr>
        <w:t>V</w:t>
      </w:r>
      <w:r w:rsidRPr="005A6E13">
        <w:rPr>
          <w:rFonts w:asciiTheme="minorHAnsi" w:hAnsiTheme="minorHAnsi" w:cstheme="minorHAnsi"/>
          <w:szCs w:val="22"/>
        </w:rPr>
        <w:t xml:space="preserve"> případě rozporu ve znění této smlouvy a příloh smlouvy má vždy přednost smlouva a následně přílohy v tom pořadí, </w:t>
      </w:r>
      <w:r w:rsidR="0083360C" w:rsidRPr="005A6E13">
        <w:rPr>
          <w:rFonts w:asciiTheme="minorHAnsi" w:hAnsiTheme="minorHAnsi" w:cstheme="minorHAnsi"/>
          <w:szCs w:val="22"/>
        </w:rPr>
        <w:t xml:space="preserve">v </w:t>
      </w:r>
      <w:r w:rsidRPr="005A6E13">
        <w:rPr>
          <w:rFonts w:asciiTheme="minorHAnsi" w:hAnsiTheme="minorHAnsi" w:cstheme="minorHAnsi"/>
          <w:szCs w:val="22"/>
        </w:rPr>
        <w:t>jak</w:t>
      </w:r>
      <w:r w:rsidR="0083360C" w:rsidRPr="005A6E13">
        <w:rPr>
          <w:rFonts w:asciiTheme="minorHAnsi" w:hAnsiTheme="minorHAnsi" w:cstheme="minorHAnsi"/>
          <w:szCs w:val="22"/>
        </w:rPr>
        <w:t>ém</w:t>
      </w:r>
      <w:r w:rsidRPr="005A6E13">
        <w:rPr>
          <w:rFonts w:asciiTheme="minorHAnsi" w:hAnsiTheme="minorHAnsi" w:cstheme="minorHAnsi"/>
          <w:szCs w:val="22"/>
        </w:rPr>
        <w:t xml:space="preserve"> jsou číslovány.</w:t>
      </w:r>
    </w:p>
    <w:p w14:paraId="0ED80209" w14:textId="77777777" w:rsidR="00697B0C" w:rsidRPr="005A6E13" w:rsidRDefault="00586658" w:rsidP="00697B0C">
      <w:pPr>
        <w:spacing w:before="480" w:after="1200"/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>Ve Žďáru nad Sázavou</w:t>
      </w:r>
      <w:r w:rsidR="00697B0C" w:rsidRPr="005A6E13">
        <w:rPr>
          <w:rFonts w:asciiTheme="minorHAnsi" w:hAnsiTheme="minorHAnsi" w:cstheme="minorHAnsi"/>
          <w:szCs w:val="22"/>
        </w:rPr>
        <w:t xml:space="preserve"> dne ………</w:t>
      </w:r>
      <w:r w:rsidRPr="005A6E13">
        <w:rPr>
          <w:rFonts w:asciiTheme="minorHAnsi" w:hAnsiTheme="minorHAnsi" w:cstheme="minorHAnsi"/>
          <w:szCs w:val="22"/>
        </w:rPr>
        <w:tab/>
      </w:r>
      <w:r w:rsidRPr="005A6E13">
        <w:rPr>
          <w:rFonts w:asciiTheme="minorHAnsi" w:hAnsiTheme="minorHAnsi" w:cstheme="minorHAnsi"/>
          <w:szCs w:val="22"/>
        </w:rPr>
        <w:tab/>
      </w:r>
      <w:r w:rsidRPr="005A6E13">
        <w:rPr>
          <w:rFonts w:asciiTheme="minorHAnsi" w:hAnsiTheme="minorHAnsi" w:cstheme="minorHAnsi"/>
          <w:szCs w:val="22"/>
        </w:rPr>
        <w:tab/>
      </w:r>
    </w:p>
    <w:p w14:paraId="0FD2DD74" w14:textId="77777777" w:rsidR="00697B0C" w:rsidRPr="005A6E13" w:rsidRDefault="00697B0C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ab/>
        <w:t>.......................................</w:t>
      </w:r>
      <w:r w:rsidRPr="005A6E13">
        <w:rPr>
          <w:rFonts w:asciiTheme="minorHAnsi" w:hAnsiTheme="minorHAnsi" w:cstheme="minorHAnsi"/>
          <w:szCs w:val="22"/>
        </w:rPr>
        <w:tab/>
        <w:t>.......................................</w:t>
      </w:r>
    </w:p>
    <w:p w14:paraId="27866360" w14:textId="77777777" w:rsidR="00697B0C" w:rsidRPr="005A6E13" w:rsidRDefault="00586658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ab/>
        <w:t>kupující</w:t>
      </w:r>
      <w:r w:rsidRPr="005A6E13">
        <w:rPr>
          <w:rFonts w:asciiTheme="minorHAnsi" w:hAnsiTheme="minorHAnsi" w:cstheme="minorHAnsi"/>
          <w:szCs w:val="22"/>
        </w:rPr>
        <w:tab/>
        <w:t>kupující</w:t>
      </w:r>
    </w:p>
    <w:p w14:paraId="699F2CDB" w14:textId="77777777" w:rsidR="00586658" w:rsidRPr="005A6E13" w:rsidRDefault="00586658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b/>
          <w:szCs w:val="22"/>
        </w:rPr>
      </w:pPr>
      <w:r w:rsidRPr="005A6E13">
        <w:rPr>
          <w:rFonts w:asciiTheme="minorHAnsi" w:hAnsiTheme="minorHAnsi" w:cstheme="minorHAnsi"/>
          <w:szCs w:val="22"/>
        </w:rPr>
        <w:tab/>
      </w:r>
      <w:r w:rsidRPr="005A6E13">
        <w:rPr>
          <w:rFonts w:asciiTheme="minorHAnsi" w:hAnsiTheme="minorHAnsi" w:cstheme="minorHAnsi"/>
          <w:b/>
          <w:szCs w:val="22"/>
        </w:rPr>
        <w:t>Cooper-Standard Automotive</w:t>
      </w:r>
      <w:r w:rsidRPr="005A6E13">
        <w:rPr>
          <w:rFonts w:asciiTheme="minorHAnsi" w:hAnsiTheme="minorHAnsi" w:cstheme="minorHAnsi"/>
          <w:b/>
          <w:szCs w:val="22"/>
        </w:rPr>
        <w:tab/>
        <w:t xml:space="preserve">Cooper-Standard Automotive </w:t>
      </w:r>
    </w:p>
    <w:p w14:paraId="1A88C0FD" w14:textId="77777777" w:rsidR="00586658" w:rsidRPr="005A6E13" w:rsidRDefault="00586658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b/>
          <w:szCs w:val="22"/>
        </w:rPr>
      </w:pPr>
      <w:r w:rsidRPr="005A6E13">
        <w:rPr>
          <w:rFonts w:asciiTheme="minorHAnsi" w:hAnsiTheme="minorHAnsi" w:cstheme="minorHAnsi"/>
          <w:b/>
          <w:szCs w:val="22"/>
        </w:rPr>
        <w:tab/>
        <w:t>Česká republika s.r.o.</w:t>
      </w:r>
      <w:r w:rsidRPr="005A6E13">
        <w:rPr>
          <w:rFonts w:asciiTheme="minorHAnsi" w:hAnsiTheme="minorHAnsi" w:cstheme="minorHAnsi"/>
          <w:b/>
          <w:szCs w:val="22"/>
        </w:rPr>
        <w:tab/>
        <w:t>Česká republika s.r.o.</w:t>
      </w:r>
    </w:p>
    <w:p w14:paraId="0B60699A" w14:textId="77777777" w:rsidR="00586658" w:rsidRPr="005A6E13" w:rsidRDefault="00586658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b/>
          <w:szCs w:val="22"/>
        </w:rPr>
        <w:tab/>
      </w:r>
      <w:r w:rsidRPr="005A6E13">
        <w:rPr>
          <w:rFonts w:asciiTheme="minorHAnsi" w:hAnsiTheme="minorHAnsi" w:cstheme="minorHAnsi"/>
          <w:szCs w:val="22"/>
        </w:rPr>
        <w:t>zast. Janem Barákem</w:t>
      </w:r>
      <w:r w:rsidRPr="005A6E13">
        <w:rPr>
          <w:rFonts w:asciiTheme="minorHAnsi" w:hAnsiTheme="minorHAnsi" w:cstheme="minorHAnsi"/>
          <w:szCs w:val="22"/>
        </w:rPr>
        <w:tab/>
        <w:t>zast. Františkem Šustrem</w:t>
      </w:r>
    </w:p>
    <w:p w14:paraId="0CBFFB8F" w14:textId="77777777" w:rsidR="00586658" w:rsidRPr="005A6E13" w:rsidRDefault="00586658" w:rsidP="00697B0C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ab/>
        <w:t>prokuristou</w:t>
      </w:r>
      <w:r w:rsidRPr="005A6E13">
        <w:rPr>
          <w:rFonts w:asciiTheme="minorHAnsi" w:hAnsiTheme="minorHAnsi" w:cstheme="minorHAnsi"/>
          <w:szCs w:val="22"/>
        </w:rPr>
        <w:tab/>
        <w:t>prokuristou</w:t>
      </w:r>
    </w:p>
    <w:p w14:paraId="3C2262C8" w14:textId="77777777" w:rsidR="00184ABA" w:rsidRPr="005A6E13" w:rsidRDefault="00697B0C" w:rsidP="00FC4354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</w:rPr>
        <w:tab/>
      </w:r>
    </w:p>
    <w:p w14:paraId="0E347797" w14:textId="77777777" w:rsidR="00586658" w:rsidRPr="005A6E13" w:rsidRDefault="00586658" w:rsidP="00FC4354">
      <w:pPr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>V ………………….. dne ……….</w:t>
      </w:r>
    </w:p>
    <w:p w14:paraId="0DDC82AC" w14:textId="77777777" w:rsidR="00AB253B" w:rsidRPr="005A6E13" w:rsidRDefault="00AB253B" w:rsidP="00586658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  <w:highlight w:val="yellow"/>
        </w:rPr>
      </w:pPr>
    </w:p>
    <w:p w14:paraId="5F8DB768" w14:textId="77777777" w:rsidR="00586658" w:rsidRPr="005A6E13" w:rsidRDefault="00586658" w:rsidP="00586658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  <w:highlight w:val="yellow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ab/>
        <w:t>.......................................</w:t>
      </w:r>
    </w:p>
    <w:p w14:paraId="5AC1F017" w14:textId="77777777" w:rsidR="00586658" w:rsidRPr="005A6E13" w:rsidRDefault="00586658" w:rsidP="00586658">
      <w:pPr>
        <w:tabs>
          <w:tab w:val="center" w:pos="2694"/>
          <w:tab w:val="center" w:pos="6663"/>
        </w:tabs>
        <w:rPr>
          <w:rFonts w:asciiTheme="minorHAnsi" w:hAnsiTheme="minorHAnsi" w:cstheme="minorHAnsi"/>
          <w:szCs w:val="22"/>
        </w:rPr>
      </w:pPr>
      <w:r w:rsidRPr="005A6E13">
        <w:rPr>
          <w:rFonts w:asciiTheme="minorHAnsi" w:hAnsiTheme="minorHAnsi" w:cstheme="minorHAnsi"/>
          <w:szCs w:val="22"/>
          <w:highlight w:val="yellow"/>
        </w:rPr>
        <w:tab/>
        <w:t>prodávající</w:t>
      </w:r>
      <w:r w:rsidRPr="005A6E13">
        <w:rPr>
          <w:rFonts w:asciiTheme="minorHAnsi" w:hAnsiTheme="minorHAnsi" w:cstheme="minorHAnsi"/>
          <w:szCs w:val="22"/>
        </w:rPr>
        <w:tab/>
      </w:r>
    </w:p>
    <w:sectPr w:rsidR="00586658" w:rsidRPr="005A6E13" w:rsidSect="00A516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132C4" w14:textId="77777777" w:rsidR="00A569AC" w:rsidRDefault="00A569AC" w:rsidP="001A587E">
      <w:r>
        <w:separator/>
      </w:r>
    </w:p>
  </w:endnote>
  <w:endnote w:type="continuationSeparator" w:id="0">
    <w:p w14:paraId="36AE8AA9" w14:textId="77777777" w:rsidR="00A569AC" w:rsidRDefault="00A569AC" w:rsidP="001A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6799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36AB5" w14:textId="014ADFB7" w:rsidR="00F25C17" w:rsidRDefault="00F25C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E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6EE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91571A" w14:textId="77777777" w:rsidR="00F25C17" w:rsidRDefault="00F25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52CBD" w14:textId="77777777" w:rsidR="00A569AC" w:rsidRDefault="00A569AC" w:rsidP="001A587E">
      <w:r>
        <w:separator/>
      </w:r>
    </w:p>
  </w:footnote>
  <w:footnote w:type="continuationSeparator" w:id="0">
    <w:p w14:paraId="74D17ECD" w14:textId="77777777" w:rsidR="00A569AC" w:rsidRDefault="00A569AC" w:rsidP="001A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94"/>
      <w:gridCol w:w="3168"/>
    </w:tblGrid>
    <w:tr w:rsidR="00BF6AA7" w14:paraId="4B154604" w14:textId="77777777" w:rsidTr="006C58B0">
      <w:trPr>
        <w:cantSplit/>
        <w:trHeight w:val="970"/>
      </w:trPr>
      <w:tc>
        <w:tcPr>
          <w:tcW w:w="59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0885742" w14:textId="77777777" w:rsidR="00BF6AA7" w:rsidRDefault="00BF6AA7" w:rsidP="00BF6AA7">
          <w:pPr>
            <w:pStyle w:val="Nzev"/>
            <w:spacing w:before="0" w:after="0"/>
          </w:pPr>
          <w:r>
            <w:t>ZADÁVACÍ DOKUMENTACE</w:t>
          </w:r>
        </w:p>
      </w:tc>
      <w:tc>
        <w:tcPr>
          <w:tcW w:w="3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88403E" w14:textId="77777777" w:rsidR="00BF6AA7" w:rsidRDefault="00BF6AA7" w:rsidP="00BF6AA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0A2BF557" wp14:editId="536FB95C">
                <wp:extent cx="1760220" cy="480060"/>
                <wp:effectExtent l="19050" t="0" r="0" b="0"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678C74" w14:textId="77777777" w:rsidR="005A6E13" w:rsidRDefault="005A6E13" w:rsidP="005A6E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765C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A20A4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66644F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27D5C7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FD1061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0A4230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171D3B"/>
    <w:multiLevelType w:val="hybridMultilevel"/>
    <w:tmpl w:val="1EF2B2B0"/>
    <w:lvl w:ilvl="0" w:tplc="DE90DE9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066E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199304A"/>
    <w:multiLevelType w:val="singleLevel"/>
    <w:tmpl w:val="DE90DE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51850DC"/>
    <w:multiLevelType w:val="multilevel"/>
    <w:tmpl w:val="78E8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8530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20E5470"/>
    <w:multiLevelType w:val="multilevel"/>
    <w:tmpl w:val="3AB0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64B76D3"/>
    <w:multiLevelType w:val="hybridMultilevel"/>
    <w:tmpl w:val="7C0EB51C"/>
    <w:lvl w:ilvl="0" w:tplc="040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0C"/>
    <w:rsid w:val="00000A36"/>
    <w:rsid w:val="00026785"/>
    <w:rsid w:val="00031034"/>
    <w:rsid w:val="00040B0F"/>
    <w:rsid w:val="000A2145"/>
    <w:rsid w:val="000D4970"/>
    <w:rsid w:val="000D668B"/>
    <w:rsid w:val="000E50D2"/>
    <w:rsid w:val="00105AC3"/>
    <w:rsid w:val="00133D1C"/>
    <w:rsid w:val="0016746F"/>
    <w:rsid w:val="00184ABA"/>
    <w:rsid w:val="001A587E"/>
    <w:rsid w:val="001C2556"/>
    <w:rsid w:val="001E1933"/>
    <w:rsid w:val="001E1BC9"/>
    <w:rsid w:val="0020065F"/>
    <w:rsid w:val="00290AF9"/>
    <w:rsid w:val="00297812"/>
    <w:rsid w:val="002E0248"/>
    <w:rsid w:val="003546A1"/>
    <w:rsid w:val="00392749"/>
    <w:rsid w:val="003A33CB"/>
    <w:rsid w:val="004005C7"/>
    <w:rsid w:val="00471FE6"/>
    <w:rsid w:val="00495D5B"/>
    <w:rsid w:val="004C7F2A"/>
    <w:rsid w:val="004E1F18"/>
    <w:rsid w:val="004E5BAE"/>
    <w:rsid w:val="0051160E"/>
    <w:rsid w:val="00577C1B"/>
    <w:rsid w:val="00586658"/>
    <w:rsid w:val="005A6E13"/>
    <w:rsid w:val="005B14F0"/>
    <w:rsid w:val="005D1B45"/>
    <w:rsid w:val="005D773D"/>
    <w:rsid w:val="006022DF"/>
    <w:rsid w:val="006051BD"/>
    <w:rsid w:val="006749EA"/>
    <w:rsid w:val="00697B0C"/>
    <w:rsid w:val="006A62BB"/>
    <w:rsid w:val="007475FC"/>
    <w:rsid w:val="00754BB5"/>
    <w:rsid w:val="007662E0"/>
    <w:rsid w:val="007B48DF"/>
    <w:rsid w:val="007B55CB"/>
    <w:rsid w:val="007C4616"/>
    <w:rsid w:val="007F6DE6"/>
    <w:rsid w:val="007F74E8"/>
    <w:rsid w:val="00812CD9"/>
    <w:rsid w:val="0083360C"/>
    <w:rsid w:val="00873CD5"/>
    <w:rsid w:val="00886C3F"/>
    <w:rsid w:val="00894197"/>
    <w:rsid w:val="008D1A7E"/>
    <w:rsid w:val="008E3A9B"/>
    <w:rsid w:val="0091501D"/>
    <w:rsid w:val="00942EFC"/>
    <w:rsid w:val="00954DA5"/>
    <w:rsid w:val="00993B11"/>
    <w:rsid w:val="009F5B65"/>
    <w:rsid w:val="00A0651D"/>
    <w:rsid w:val="00A119E3"/>
    <w:rsid w:val="00A47B63"/>
    <w:rsid w:val="00A51622"/>
    <w:rsid w:val="00A569AC"/>
    <w:rsid w:val="00A63BE2"/>
    <w:rsid w:val="00A66DA5"/>
    <w:rsid w:val="00AA0769"/>
    <w:rsid w:val="00AB253B"/>
    <w:rsid w:val="00AB260D"/>
    <w:rsid w:val="00AF74D1"/>
    <w:rsid w:val="00B25AA8"/>
    <w:rsid w:val="00B85E86"/>
    <w:rsid w:val="00B929E6"/>
    <w:rsid w:val="00BA77B2"/>
    <w:rsid w:val="00BD1D3A"/>
    <w:rsid w:val="00BF6AA7"/>
    <w:rsid w:val="00C94448"/>
    <w:rsid w:val="00C94789"/>
    <w:rsid w:val="00CB6662"/>
    <w:rsid w:val="00CE76DC"/>
    <w:rsid w:val="00D07F97"/>
    <w:rsid w:val="00D26928"/>
    <w:rsid w:val="00D77FBF"/>
    <w:rsid w:val="00E0758F"/>
    <w:rsid w:val="00E175C0"/>
    <w:rsid w:val="00E40F11"/>
    <w:rsid w:val="00E73E32"/>
    <w:rsid w:val="00EB6B53"/>
    <w:rsid w:val="00ED3DC9"/>
    <w:rsid w:val="00EF0D91"/>
    <w:rsid w:val="00F01DD8"/>
    <w:rsid w:val="00F112BF"/>
    <w:rsid w:val="00F20701"/>
    <w:rsid w:val="00F25C17"/>
    <w:rsid w:val="00F563FE"/>
    <w:rsid w:val="00F7272B"/>
    <w:rsid w:val="00F9552B"/>
    <w:rsid w:val="00F96EEE"/>
    <w:rsid w:val="00FC30F0"/>
    <w:rsid w:val="00FC4354"/>
    <w:rsid w:val="00FD75EC"/>
    <w:rsid w:val="00FF2FF9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49CE"/>
  <w15:docId w15:val="{3CFF13FE-76FA-4BB7-AF90-16872B46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7B0C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97B0C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697B0C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697B0C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97B0C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97B0C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697B0C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697B0C"/>
    <w:pPr>
      <w:ind w:left="283" w:hanging="283"/>
    </w:pPr>
  </w:style>
  <w:style w:type="paragraph" w:styleId="Zkladntext">
    <w:name w:val="Body Text"/>
    <w:basedOn w:val="Normln"/>
    <w:link w:val="ZkladntextChar"/>
    <w:uiPriority w:val="99"/>
    <w:rsid w:val="00697B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7B0C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697B0C"/>
  </w:style>
  <w:style w:type="character" w:customStyle="1" w:styleId="Zkladntext2Char">
    <w:name w:val="Základní text 2 Char"/>
    <w:basedOn w:val="Standardnpsmoodstavce"/>
    <w:link w:val="Zkladntext2"/>
    <w:rsid w:val="00697B0C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97B0C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697B0C"/>
    <w:rPr>
      <w:rFonts w:ascii="Arial" w:eastAsia="Times New Roman" w:hAnsi="Arial" w:cs="Times New Roman"/>
      <w:szCs w:val="20"/>
      <w:lang w:eastAsia="cs-CZ"/>
    </w:rPr>
  </w:style>
  <w:style w:type="character" w:customStyle="1" w:styleId="apple-converted-space">
    <w:name w:val="apple-converted-space"/>
    <w:rsid w:val="00697B0C"/>
  </w:style>
  <w:style w:type="character" w:styleId="Odkaznakoment">
    <w:name w:val="annotation reference"/>
    <w:basedOn w:val="Standardnpsmoodstavce"/>
    <w:uiPriority w:val="99"/>
    <w:semiHidden/>
    <w:unhideWhenUsed/>
    <w:rsid w:val="00697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B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B0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B0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0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58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587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8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587E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BF6AA7"/>
    <w:pPr>
      <w:keepLines w:val="0"/>
      <w:spacing w:before="120" w:after="360"/>
      <w:contextualSpacing/>
      <w:jc w:val="center"/>
    </w:pPr>
    <w:rPr>
      <w:rFonts w:ascii="Calibri" w:hAnsi="Calibri"/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F6AA7"/>
    <w:rPr>
      <w:rFonts w:ascii="Calibri" w:eastAsia="Times New Roman" w:hAnsi="Calibri" w:cs="Times New Roman"/>
      <w:b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0932-9AA6-4228-8F44-67BF9EE0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Linde MH CR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brecka</dc:creator>
  <cp:lastModifiedBy>Ivan Štochl</cp:lastModifiedBy>
  <cp:revision>2</cp:revision>
  <dcterms:created xsi:type="dcterms:W3CDTF">2017-12-18T11:15:00Z</dcterms:created>
  <dcterms:modified xsi:type="dcterms:W3CDTF">2017-12-18T11:15:00Z</dcterms:modified>
</cp:coreProperties>
</file>