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77777777" w:rsidR="00A759C9" w:rsidRPr="00CA35AC" w:rsidRDefault="00A759C9" w:rsidP="00A759C9">
      <w:pPr>
        <w:spacing w:line="276" w:lineRule="auto"/>
      </w:pPr>
      <w:r w:rsidRPr="00CA35AC">
        <w:t>Číslo smlouvy objednatele:</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číslo účtu:</w:t>
      </w:r>
      <w:r w:rsidRPr="00CA35AC">
        <w:tab/>
        <w:t>725191/0100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72388FF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p>
    <w:p w14:paraId="5FBC9C59"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Ing. Ivanem Zajíčkem, vedoucím odboru správy a rozvoje města</w:t>
      </w:r>
    </w:p>
    <w:p w14:paraId="61C6EC6E" w14:textId="421365DF"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ab/>
      </w:r>
      <w:r w:rsidR="00E21990">
        <w:t>Bronislavem Mackem</w:t>
      </w:r>
      <w:r w:rsidRPr="00CA35AC">
        <w:t>, referentkou odboru správy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3601788D"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CA35AC">
        <w:rPr>
          <w:b/>
        </w:rPr>
        <w:t>„</w:t>
      </w:r>
      <w:r w:rsidR="00662AA2" w:rsidRPr="00662AA2">
        <w:rPr>
          <w:b/>
          <w:sz w:val="22"/>
          <w:szCs w:val="22"/>
        </w:rPr>
        <w:t>Stavební úpravy a změna užívání části objektu ZŠ TGM, ulice Školní, Poděbrady</w:t>
      </w:r>
      <w:r w:rsidRPr="00662AA2">
        <w:rPr>
          <w:b/>
          <w:sz w:val="22"/>
          <w:szCs w:val="22"/>
        </w:rPr>
        <w:t xml:space="preserve">“ </w:t>
      </w:r>
      <w:r w:rsidRPr="00662AA2">
        <w:rPr>
          <w:sz w:val="22"/>
          <w:szCs w:val="22"/>
        </w:rPr>
        <w:t>(dále je</w:t>
      </w:r>
      <w:r w:rsidRPr="00CA35AC">
        <w:t>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0" w:name="_Ref374530598"/>
    </w:p>
    <w:bookmarkEnd w:id="0"/>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1" w:name="_Ref374529472"/>
    </w:p>
    <w:bookmarkEnd w:id="1"/>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4B1850B8" w14:textId="6050C4B2" w:rsidR="00A759C9" w:rsidRPr="00443C38" w:rsidRDefault="00A759C9" w:rsidP="00A759C9">
      <w:pPr>
        <w:pStyle w:val="rove2-slovantext"/>
        <w:rPr>
          <w:rFonts w:ascii="Times New Roman" w:hAnsi="Times New Roman"/>
          <w:b/>
          <w:sz w:val="24"/>
        </w:rPr>
      </w:pPr>
      <w:r w:rsidRPr="00443C38">
        <w:rPr>
          <w:rFonts w:ascii="Times New Roman" w:hAnsi="Times New Roman"/>
          <w:sz w:val="24"/>
        </w:rPr>
        <w:t xml:space="preserve">Účelem této smlouvy je provedení díla s názvem </w:t>
      </w:r>
      <w:r w:rsidRPr="00443C38">
        <w:rPr>
          <w:rFonts w:ascii="Times New Roman" w:hAnsi="Times New Roman"/>
          <w:b/>
          <w:sz w:val="24"/>
        </w:rPr>
        <w:t>„</w:t>
      </w:r>
      <w:r w:rsidR="006B0641" w:rsidRPr="00443C38">
        <w:rPr>
          <w:rFonts w:ascii="Times New Roman" w:hAnsi="Times New Roman"/>
          <w:b/>
          <w:sz w:val="24"/>
        </w:rPr>
        <w:t>Stavební úpravy a změna užívání části objektu ZŠ TGM, ulice Školní, Poděbrady</w:t>
      </w:r>
      <w:r w:rsidRPr="00443C38">
        <w:rPr>
          <w:rFonts w:ascii="Times New Roman" w:hAnsi="Times New Roman"/>
          <w:b/>
          <w:sz w:val="24"/>
        </w:rPr>
        <w:t xml:space="preserve">“ </w:t>
      </w:r>
      <w:r w:rsidRPr="00443C38">
        <w:rPr>
          <w:rFonts w:ascii="Times New Roman" w:hAnsi="Times New Roman"/>
          <w:bCs/>
          <w:sz w:val="24"/>
        </w:rPr>
        <w:t>(dále také jen Stavba)</w:t>
      </w:r>
      <w:r w:rsidRPr="00443C38">
        <w:rPr>
          <w:rFonts w:ascii="Times New Roman" w:hAnsi="Times New Roman"/>
          <w:b/>
          <w:sz w:val="24"/>
        </w:rPr>
        <w:t>.</w:t>
      </w:r>
    </w:p>
    <w:p w14:paraId="7EDD7975" w14:textId="52D5CD82"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Předmětem díla </w:t>
      </w:r>
      <w:r w:rsidR="0021108C" w:rsidRPr="0021108C">
        <w:rPr>
          <w:rFonts w:ascii="Times New Roman" w:hAnsi="Times New Roman"/>
          <w:sz w:val="24"/>
        </w:rPr>
        <w:t>jsou stavební úpravy spojené se změnou dispozic v části objektu v 1. PP budovy ZŠ TGM, ul. Školní 556/1 a změnu užívání části objektu, a to z bytu školníka na učebnu s pobytovou místností. Původní prostor sloužili jako byt školníka, sklady a sociální zázemí. V rámci stavebních úprav dojde ke sloučení dvou pokojů v jednu učebnu, sklady budou sloužit jako pobytová místnost s kabinetem a dojde k drobným úpravám v rámci vstupu do sociálního zařízení. Součástí předmětu plnění není vybavení nově vzniklých prostor</w:t>
      </w:r>
      <w:r w:rsidRPr="00CA35AC">
        <w:rPr>
          <w:rFonts w:ascii="Times New Roman" w:hAnsi="Times New Roman"/>
          <w:sz w:val="24"/>
        </w:rPr>
        <w:t xml:space="preserve">. </w:t>
      </w:r>
    </w:p>
    <w:p w14:paraId="11897CCF" w14:textId="5CF8F92B"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Předmět díla bude realizován v souladu </w:t>
      </w:r>
      <w:r w:rsidR="005A56E5">
        <w:rPr>
          <w:rFonts w:ascii="Times New Roman" w:hAnsi="Times New Roman"/>
          <w:sz w:val="24"/>
        </w:rPr>
        <w:t xml:space="preserve">se </w:t>
      </w:r>
      <w:r w:rsidR="005A56E5" w:rsidRPr="005A56E5">
        <w:rPr>
          <w:rFonts w:ascii="Times New Roman" w:hAnsi="Times New Roman"/>
          <w:sz w:val="24"/>
        </w:rPr>
        <w:t>souhlas</w:t>
      </w:r>
      <w:r w:rsidR="005A56E5">
        <w:rPr>
          <w:rFonts w:ascii="Times New Roman" w:hAnsi="Times New Roman"/>
          <w:sz w:val="24"/>
        </w:rPr>
        <w:t>em</w:t>
      </w:r>
      <w:r w:rsidR="005A56E5" w:rsidRPr="005A56E5">
        <w:rPr>
          <w:rFonts w:ascii="Times New Roman" w:hAnsi="Times New Roman"/>
          <w:sz w:val="24"/>
        </w:rPr>
        <w:t xml:space="preserve"> s provedením ohlášeného stavebního záměru </w:t>
      </w:r>
      <w:proofErr w:type="gramStart"/>
      <w:r w:rsidR="005A56E5" w:rsidRPr="005A56E5">
        <w:rPr>
          <w:rFonts w:ascii="Times New Roman" w:hAnsi="Times New Roman"/>
          <w:sz w:val="24"/>
        </w:rPr>
        <w:t>č.j.</w:t>
      </w:r>
      <w:proofErr w:type="gramEnd"/>
      <w:r w:rsidR="005A56E5" w:rsidRPr="005A56E5">
        <w:rPr>
          <w:rFonts w:ascii="Times New Roman" w:hAnsi="Times New Roman"/>
          <w:sz w:val="24"/>
        </w:rPr>
        <w:t xml:space="preserve"> MEUPDY/0015005/VUP/2024/</w:t>
      </w:r>
      <w:proofErr w:type="spellStart"/>
      <w:r w:rsidR="005A56E5" w:rsidRPr="005A56E5">
        <w:rPr>
          <w:rFonts w:ascii="Times New Roman" w:hAnsi="Times New Roman"/>
          <w:sz w:val="24"/>
        </w:rPr>
        <w:t>JNe</w:t>
      </w:r>
      <w:proofErr w:type="spellEnd"/>
      <w:r w:rsidR="005A56E5" w:rsidRPr="005A56E5">
        <w:rPr>
          <w:rFonts w:ascii="Times New Roman" w:hAnsi="Times New Roman"/>
          <w:sz w:val="24"/>
        </w:rPr>
        <w:t xml:space="preserve"> ze dne 11. 3. 2024</w:t>
      </w:r>
      <w:r w:rsidR="00443C38">
        <w:rPr>
          <w:rFonts w:ascii="Times New Roman" w:hAnsi="Times New Roman"/>
          <w:sz w:val="24"/>
        </w:rPr>
        <w:t xml:space="preserve"> </w:t>
      </w:r>
      <w:r w:rsidRPr="00CA35AC">
        <w:rPr>
          <w:rFonts w:ascii="Times New Roman" w:hAnsi="Times New Roman"/>
          <w:sz w:val="24"/>
        </w:rPr>
        <w:t>vydaným Městským úřadem Poděbrady, Odborem výstavby a územního plánování</w:t>
      </w:r>
      <w:r w:rsidR="000C0686">
        <w:rPr>
          <w:rFonts w:ascii="Times New Roman" w:hAnsi="Times New Roman"/>
          <w:sz w:val="24"/>
        </w:rPr>
        <w:t xml:space="preserve"> a orgány dotčené státní správy</w:t>
      </w:r>
      <w:r w:rsidRPr="00CA35AC">
        <w:rPr>
          <w:rFonts w:ascii="Times New Roman" w:hAnsi="Times New Roman"/>
          <w:sz w:val="24"/>
        </w:rPr>
        <w:t>.</w:t>
      </w:r>
    </w:p>
    <w:p w14:paraId="6285DC0D" w14:textId="739F1FBF"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Rozsah a způsob plnění je podrobně popsán v projektové dokumentace </w:t>
      </w:r>
      <w:r w:rsidR="005A56E5" w:rsidRPr="005A56E5">
        <w:rPr>
          <w:rFonts w:ascii="Times New Roman" w:hAnsi="Times New Roman"/>
          <w:sz w:val="24"/>
        </w:rPr>
        <w:t xml:space="preserve">ve stupni pro povolení stavby z 08/2023 s názvem „Stavební úpravy a změna užívání části objektu p. č. st. 1597, k. </w:t>
      </w:r>
      <w:proofErr w:type="spellStart"/>
      <w:r w:rsidR="005A56E5" w:rsidRPr="005A56E5">
        <w:rPr>
          <w:rFonts w:ascii="Times New Roman" w:hAnsi="Times New Roman"/>
          <w:sz w:val="24"/>
        </w:rPr>
        <w:t>ú.</w:t>
      </w:r>
      <w:proofErr w:type="spellEnd"/>
      <w:r w:rsidR="005A56E5" w:rsidRPr="005A56E5">
        <w:rPr>
          <w:rFonts w:ascii="Times New Roman" w:hAnsi="Times New Roman"/>
          <w:sz w:val="24"/>
        </w:rPr>
        <w:t xml:space="preserve"> Poděbrady“ zpracovaná dodavatelem KFJ </w:t>
      </w:r>
      <w:proofErr w:type="spellStart"/>
      <w:r w:rsidR="005A56E5" w:rsidRPr="005A56E5">
        <w:rPr>
          <w:rFonts w:ascii="Times New Roman" w:hAnsi="Times New Roman"/>
          <w:sz w:val="24"/>
        </w:rPr>
        <w:t>project</w:t>
      </w:r>
      <w:proofErr w:type="spellEnd"/>
      <w:r w:rsidR="005A56E5" w:rsidRPr="005A56E5">
        <w:rPr>
          <w:rFonts w:ascii="Times New Roman" w:hAnsi="Times New Roman"/>
          <w:sz w:val="24"/>
        </w:rPr>
        <w:t xml:space="preserve"> s.r.o., Komenského 527, 281 63 Kostelec nad Černými lesy, IČO 14075245, zodpovědný projektant Ing. Karel Fousek, ČKAIT 0009817</w:t>
      </w:r>
      <w:r>
        <w:rPr>
          <w:rFonts w:ascii="Times New Roman" w:hAnsi="Times New Roman"/>
          <w:sz w:val="24"/>
        </w:rPr>
        <w:t>.</w:t>
      </w:r>
      <w:r w:rsidR="00DE5700">
        <w:rPr>
          <w:rFonts w:ascii="Times New Roman" w:hAnsi="Times New Roman"/>
          <w:sz w:val="24"/>
        </w:rPr>
        <w:t xml:space="preserve"> </w:t>
      </w:r>
      <w:r w:rsidR="005150B2">
        <w:rPr>
          <w:rFonts w:ascii="Times New Roman" w:hAnsi="Times New Roman"/>
          <w:sz w:val="24"/>
        </w:rPr>
        <w:t>Č</w:t>
      </w:r>
      <w:r w:rsidR="00DE5700" w:rsidRPr="00DE5700">
        <w:rPr>
          <w:rFonts w:ascii="Times New Roman" w:hAnsi="Times New Roman"/>
          <w:sz w:val="24"/>
        </w:rPr>
        <w:t xml:space="preserve">ást elektroinstalace zpracovaná dodavatelem Atelier </w:t>
      </w:r>
      <w:proofErr w:type="spellStart"/>
      <w:r w:rsidR="00DE5700" w:rsidRPr="00DE5700">
        <w:rPr>
          <w:rFonts w:ascii="Times New Roman" w:hAnsi="Times New Roman"/>
          <w:sz w:val="24"/>
        </w:rPr>
        <w:t>Ja</w:t>
      </w:r>
      <w:proofErr w:type="spellEnd"/>
      <w:r w:rsidR="00DE5700" w:rsidRPr="00DE5700">
        <w:rPr>
          <w:rFonts w:ascii="Times New Roman" w:hAnsi="Times New Roman"/>
          <w:sz w:val="24"/>
        </w:rPr>
        <w:t>-Han s.r.o., Na Vyhlídce 1247/2, 795 01 Rýmařov, IČO 06767168, zodpovědný projektant Martin Jahoda, ČKAIT 1201706.</w:t>
      </w:r>
    </w:p>
    <w:p w14:paraId="76F3BF97" w14:textId="77777777" w:rsidR="00A759C9" w:rsidRPr="00CA35AC" w:rsidRDefault="00A759C9" w:rsidP="00A759C9">
      <w:pPr>
        <w:pStyle w:val="rove2-slovantext"/>
        <w:rPr>
          <w:rFonts w:ascii="Times New Roman" w:hAnsi="Times New Roman"/>
          <w:sz w:val="24"/>
          <w:lang w:eastAsia="ar-SA"/>
        </w:rPr>
      </w:pPr>
      <w:r w:rsidRPr="00CA35AC">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77777777"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všechna opatření organizačního a stavebně technologického charakteru k řádnému provedení předmětu díla;</w:t>
      </w:r>
    </w:p>
    <w:p w14:paraId="19D1F611"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 xml:space="preserve">zajistit po celou dobu realizace stavby funkci odpovědného stavbyvedoucího dle </w:t>
      </w:r>
      <w:proofErr w:type="spellStart"/>
      <w:r w:rsidRPr="00CA35AC">
        <w:rPr>
          <w:rFonts w:ascii="Times New Roman" w:hAnsi="Times New Roman"/>
          <w:sz w:val="24"/>
          <w:szCs w:val="24"/>
        </w:rPr>
        <w:t>ust</w:t>
      </w:r>
      <w:proofErr w:type="spellEnd"/>
      <w:r w:rsidRPr="00CA35AC">
        <w:rPr>
          <w:rFonts w:ascii="Times New Roman" w:hAnsi="Times New Roman"/>
          <w:sz w:val="24"/>
          <w:szCs w:val="24"/>
        </w:rPr>
        <w:t>. § 153 zákona č. 183/2006 Sb., o územním plánování a stavebním řádu (stavební zákon). Stavbyvedoucím tak může být pouze fyzická osoba, která získala oprávnění k své činnosti podle zvláštního právního předpisu, tedy výhradně osoba autorizovaná;</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lastRenderedPageBreak/>
        <w:t>zabezpečit souhlas (rozhodnutí) ke zvláštnímu užívání veřejného prostranství a komunikací dle zvláštních právních předpisů;</w:t>
      </w:r>
    </w:p>
    <w:p w14:paraId="481AA8C1"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případné přechodné dopravní značení dle zvláštních právních předpisů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265E51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5011549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43E65B0D"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doklady, stanoviska DOSS nutných pro vydání kolaudačního souhlasu, a tyto doklady předat objednateli. </w:t>
      </w:r>
    </w:p>
    <w:p w14:paraId="773FDEC8" w14:textId="3ECB2E46" w:rsidR="00A759C9" w:rsidRPr="00653ACE" w:rsidRDefault="00A759C9" w:rsidP="00A759C9">
      <w:pPr>
        <w:pStyle w:val="rove2-slovantext"/>
        <w:spacing w:line="276" w:lineRule="auto"/>
        <w:rPr>
          <w:rFonts w:ascii="Times New Roman" w:hAnsi="Times New Roman"/>
          <w:sz w:val="24"/>
        </w:rPr>
      </w:pPr>
      <w:r w:rsidRPr="00CA35AC">
        <w:rPr>
          <w:rFonts w:ascii="Times New Roman" w:hAnsi="Times New Roman"/>
          <w:sz w:val="24"/>
        </w:rPr>
        <w:t>Předmětem plnění této smlouvy je také vyhotovení dokumentace skutečného provedení díla ve 4 vyhotoveních v listinné podobě a ve 2 vyhotoveních v elektronické verzi na CD/DVD</w:t>
      </w:r>
      <w:r>
        <w:rPr>
          <w:rFonts w:ascii="Times New Roman" w:hAnsi="Times New Roman"/>
          <w:sz w:val="24"/>
        </w:rPr>
        <w:t>/jiném nosiči</w:t>
      </w:r>
      <w:r w:rsidRPr="00CA35AC">
        <w:rPr>
          <w:rFonts w:ascii="Times New Roman" w:hAnsi="Times New Roman"/>
          <w:sz w:val="24"/>
        </w:rPr>
        <w:t>. Zhotovitel je povinen zpracovat projektovou dokumentaci skutečného provedení Stavby tak, aby byla po obsahové a formální stránce v souladu zejména s vyhláškou č. 499/2006 Sb., o dokumentaci staveb, ve znění pozdějších předpisů.</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9468C6" w:rsidRDefault="00A759C9" w:rsidP="009468C6">
      <w:pPr>
        <w:pStyle w:val="rove1-nzevlnku"/>
        <w:spacing w:line="276" w:lineRule="auto"/>
        <w:rPr>
          <w:rFonts w:ascii="Times New Roman" w:hAnsi="Times New Roman" w:cs="Times New Roman"/>
          <w:b w:val="0"/>
          <w:sz w:val="24"/>
          <w:szCs w:val="24"/>
        </w:rPr>
      </w:pPr>
      <w:r w:rsidRPr="009468C6">
        <w:rPr>
          <w:rFonts w:ascii="Times New Roman" w:hAnsi="Times New Roman" w:cs="Times New Roman"/>
          <w:sz w:val="24"/>
          <w:szCs w:val="24"/>
        </w:rPr>
        <w:t xml:space="preserve">Místo plnění </w:t>
      </w:r>
    </w:p>
    <w:p w14:paraId="2D6368FA" w14:textId="0FA53DAF" w:rsidR="002F509B" w:rsidRPr="00B11F7A" w:rsidRDefault="00B11F7A" w:rsidP="001442A6">
      <w:pPr>
        <w:jc w:val="both"/>
      </w:pPr>
      <w:r w:rsidRPr="00B11F7A">
        <w:rPr>
          <w:szCs w:val="22"/>
        </w:rPr>
        <w:t xml:space="preserve">Místem plnění je budova Základní školy T. G. Masaryka, Školní 556/II, 290 01 Poděbrady na pozemku </w:t>
      </w:r>
      <w:proofErr w:type="spellStart"/>
      <w:r w:rsidRPr="00B11F7A">
        <w:rPr>
          <w:szCs w:val="22"/>
        </w:rPr>
        <w:t>stp.č</w:t>
      </w:r>
      <w:proofErr w:type="spellEnd"/>
      <w:r w:rsidRPr="00B11F7A">
        <w:rPr>
          <w:szCs w:val="22"/>
        </w:rPr>
        <w:t xml:space="preserve">. 1597 v k. </w:t>
      </w:r>
      <w:proofErr w:type="spellStart"/>
      <w:r w:rsidRPr="00B11F7A">
        <w:rPr>
          <w:szCs w:val="22"/>
        </w:rPr>
        <w:t>ú.</w:t>
      </w:r>
      <w:proofErr w:type="spellEnd"/>
      <w:r w:rsidRPr="00B11F7A">
        <w:rPr>
          <w:szCs w:val="22"/>
        </w:rPr>
        <w:t xml:space="preserve"> Poděbrady</w:t>
      </w:r>
      <w:r w:rsidR="002F509B" w:rsidRPr="00B11F7A">
        <w:t>.</w:t>
      </w: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2"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3" w:name="_Ref374531348"/>
      <w:bookmarkEnd w:id="2"/>
    </w:p>
    <w:p w14:paraId="2C602E40" w14:textId="795434B4"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E021CC" w:rsidRPr="00E021CC">
        <w:rPr>
          <w:rFonts w:ascii="Times New Roman" w:hAnsi="Times New Roman"/>
          <w:sz w:val="24"/>
          <w:szCs w:val="24"/>
        </w:rPr>
        <w:t>na základě písemné výzvy objednatele</w:t>
      </w:r>
    </w:p>
    <w:p w14:paraId="4ECCFDE7" w14:textId="1F7158A0" w:rsidR="00E021CC" w:rsidRDefault="00E021CC" w:rsidP="00E021CC">
      <w:pPr>
        <w:pStyle w:val="rove2-text"/>
        <w:rPr>
          <w:rFonts w:ascii="Times New Roman" w:hAnsi="Times New Roman"/>
          <w:sz w:val="24"/>
          <w:szCs w:val="24"/>
        </w:rPr>
      </w:pPr>
      <w:r w:rsidRPr="00CA35AC">
        <w:rPr>
          <w:rFonts w:ascii="Times New Roman" w:hAnsi="Times New Roman"/>
          <w:sz w:val="24"/>
          <w:szCs w:val="24"/>
        </w:rPr>
        <w:t xml:space="preserve">Termín </w:t>
      </w:r>
      <w:r>
        <w:rPr>
          <w:rFonts w:ascii="Times New Roman" w:hAnsi="Times New Roman"/>
          <w:sz w:val="24"/>
          <w:szCs w:val="24"/>
        </w:rPr>
        <w:t>zahájení</w:t>
      </w:r>
      <w:r w:rsidR="005E7579" w:rsidRPr="005E7579">
        <w:rPr>
          <w:rFonts w:ascii="Times New Roman" w:hAnsi="Times New Roman"/>
          <w:sz w:val="24"/>
          <w:szCs w:val="24"/>
        </w:rPr>
        <w:t xml:space="preserve"> stavebních prací</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E7579" w:rsidRPr="005E7579">
        <w:rPr>
          <w:rFonts w:ascii="Times New Roman" w:hAnsi="Times New Roman"/>
          <w:sz w:val="24"/>
          <w:szCs w:val="24"/>
        </w:rPr>
        <w:t>do 10 pracovních dnů od předání staveniště</w:t>
      </w:r>
    </w:p>
    <w:p w14:paraId="650D42BC" w14:textId="0FA5F6CC"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lastRenderedPageBreak/>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B11F7A">
        <w:rPr>
          <w:rFonts w:ascii="Times New Roman" w:hAnsi="Times New Roman"/>
          <w:sz w:val="24"/>
          <w:szCs w:val="24"/>
        </w:rPr>
        <w:t>4</w:t>
      </w:r>
      <w:r w:rsidR="00D11375">
        <w:rPr>
          <w:rFonts w:ascii="Times New Roman" w:hAnsi="Times New Roman"/>
          <w:sz w:val="24"/>
          <w:szCs w:val="24"/>
        </w:rPr>
        <w:t xml:space="preserve"> měsíců </w:t>
      </w:r>
      <w:r w:rsidR="009F67B0">
        <w:rPr>
          <w:rFonts w:ascii="Times New Roman" w:hAnsi="Times New Roman"/>
          <w:sz w:val="24"/>
          <w:szCs w:val="24"/>
        </w:rPr>
        <w:t>od předání a převzetí staveniště</w:t>
      </w:r>
    </w:p>
    <w:p w14:paraId="48C6108C" w14:textId="754C9BCC" w:rsidR="00A759C9" w:rsidRPr="00CA35AC" w:rsidRDefault="0001394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do 7 dnů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7D1B6B9B" w14:textId="77777777" w:rsidR="000A256F" w:rsidRPr="000A256F" w:rsidRDefault="000A256F" w:rsidP="000A256F">
      <w:pPr>
        <w:pStyle w:val="rove2-slovantext"/>
        <w:tabs>
          <w:tab w:val="left" w:pos="993"/>
        </w:tabs>
        <w:spacing w:after="0" w:line="276" w:lineRule="auto"/>
        <w:rPr>
          <w:rFonts w:ascii="Times New Roman" w:hAnsi="Times New Roman"/>
          <w:sz w:val="24"/>
        </w:rPr>
      </w:pPr>
      <w:r w:rsidRPr="000A256F">
        <w:rPr>
          <w:rFonts w:ascii="Times New Roman" w:hAnsi="Times New Roman"/>
          <w:sz w:val="24"/>
        </w:rPr>
        <w:t>Zhotovitel je povinen respektovat provozní podmínky objednatele, ze kterých vyplývají zejména následující omezení a požadavky:</w:t>
      </w:r>
    </w:p>
    <w:p w14:paraId="1FFC0C8D" w14:textId="3B9AE85F" w:rsid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Pracovní doba dodavatele je možná ve všední dny od 7.00 do 18.00. Mimo tuto vyhrazenou dobu a o víkendech a svátcích je možné provádět pouze nerušící práce (práce nehlučné a neprašné).</w:t>
      </w:r>
      <w:r w:rsidR="00F4524F">
        <w:rPr>
          <w:rFonts w:ascii="Times New Roman" w:hAnsi="Times New Roman"/>
          <w:sz w:val="24"/>
        </w:rPr>
        <w:t xml:space="preserve"> Bourací práce je možné provádět pouze po 12:00 hodině v koordinaci se zástupcem Základní školy T. G. Masaryka </w:t>
      </w:r>
      <w:r w:rsidR="003319CC">
        <w:rPr>
          <w:rFonts w:ascii="Times New Roman" w:hAnsi="Times New Roman"/>
          <w:sz w:val="24"/>
        </w:rPr>
        <w:t xml:space="preserve">(ZŠ) </w:t>
      </w:r>
      <w:r w:rsidR="00F4524F">
        <w:rPr>
          <w:rFonts w:ascii="Times New Roman" w:hAnsi="Times New Roman"/>
          <w:sz w:val="24"/>
        </w:rPr>
        <w:t>a Základní umělecké školy Otakara Vondrovice</w:t>
      </w:r>
      <w:r w:rsidR="003319CC">
        <w:rPr>
          <w:rFonts w:ascii="Times New Roman" w:hAnsi="Times New Roman"/>
          <w:sz w:val="24"/>
        </w:rPr>
        <w:t xml:space="preserve"> (ZUŠ)</w:t>
      </w:r>
      <w:r w:rsidR="00F4524F">
        <w:rPr>
          <w:rFonts w:ascii="Times New Roman" w:hAnsi="Times New Roman"/>
          <w:sz w:val="24"/>
        </w:rPr>
        <w:t>.</w:t>
      </w:r>
    </w:p>
    <w:p w14:paraId="3F5F2843" w14:textId="5C1ADC70" w:rsidR="008A1E17" w:rsidRPr="000A256F" w:rsidRDefault="00FE06A1" w:rsidP="000A256F">
      <w:pPr>
        <w:pStyle w:val="rove3-slovantext"/>
        <w:tabs>
          <w:tab w:val="left" w:pos="993"/>
        </w:tabs>
        <w:spacing w:before="40" w:after="0" w:line="276" w:lineRule="auto"/>
        <w:rPr>
          <w:rFonts w:ascii="Times New Roman" w:hAnsi="Times New Roman"/>
          <w:sz w:val="24"/>
        </w:rPr>
      </w:pPr>
      <w:r w:rsidRPr="00FE06A1">
        <w:rPr>
          <w:rFonts w:ascii="Times New Roman" w:hAnsi="Times New Roman"/>
          <w:sz w:val="24"/>
        </w:rPr>
        <w:t>Sociální zázemí lze používat pouze stávající v rekonstruovaném prostoru 1. PP budovy (původní byt školníka),</w:t>
      </w:r>
      <w:bookmarkStart w:id="4" w:name="_GoBack"/>
      <w:bookmarkEnd w:id="4"/>
      <w:r w:rsidR="008A1E17">
        <w:rPr>
          <w:rFonts w:ascii="Times New Roman" w:hAnsi="Times New Roman"/>
          <w:sz w:val="24"/>
        </w:rPr>
        <w:t xml:space="preserve"> v ostatních případech je zhotovitel povinen zajistit vlastní sociální zázemí v prostorech zařízení staveniště.</w:t>
      </w:r>
    </w:p>
    <w:p w14:paraId="237A3EC9"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 xml:space="preserve">Venkovní staveniště musí být řádně ohraničeno a zabezpečeno tak, aby byl zamezen přístup na staveniště nepovolaným osobám z důvodu bezpečnosti práce. </w:t>
      </w:r>
    </w:p>
    <w:p w14:paraId="23C77C63" w14:textId="18D79FA4"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Zhotovitel při realizaci díla dodrží všechny podmínky vyplývajících ze stavebního povolení případně dalších rozhodnutí orgánů veřejné správy</w:t>
      </w:r>
      <w:r w:rsidR="003319CC">
        <w:rPr>
          <w:rFonts w:ascii="Times New Roman" w:hAnsi="Times New Roman"/>
          <w:sz w:val="24"/>
        </w:rPr>
        <w:t xml:space="preserve"> a dále podmínky stanovené (ZŠ a ZUŠ)</w:t>
      </w:r>
      <w:r w:rsidRPr="000A256F">
        <w:rPr>
          <w:rFonts w:ascii="Times New Roman" w:hAnsi="Times New Roman"/>
          <w:sz w:val="24"/>
        </w:rPr>
        <w:t xml:space="preserve">. </w:t>
      </w:r>
    </w:p>
    <w:p w14:paraId="712FED37"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odlišné od projektové dokumentace předané objednatelem, jako např. neodpovídající geologické údaje apod.</w:t>
      </w:r>
    </w:p>
    <w:p w14:paraId="59BA7F31"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Vícepráce práce může zhotovitel zahájit pouze v případě, že s objednatelem uzavře dodatek k této smlouvě, jinak nárok na jejich úhradu nevzniká. Změnový list bude mít náležitosti podle podmínek poskytovatele dotace a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5" w:name="_Ref374528434"/>
      <w:bookmarkEnd w:id="3"/>
    </w:p>
    <w:bookmarkEnd w:id="5"/>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6"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7"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změn u prací, které jsou obsaženy v položkovém rozpočtu, bude změna ceny stanovena na základě jednotkové ceny dané práce v položkovém rozpočtu. V případě změn u prací, které nejsou 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Návrh změnového listu musí obsahovat zejména následující údaje:</w:t>
      </w:r>
    </w:p>
    <w:p w14:paraId="349614F7"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lastRenderedPageBreak/>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D0A20D0"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r w:rsidR="00893AD5">
        <w:rPr>
          <w:rFonts w:ascii="Times New Roman" w:hAnsi="Times New Roman"/>
          <w:sz w:val="24"/>
        </w:rPr>
        <w:t>.</w:t>
      </w:r>
    </w:p>
    <w:p w14:paraId="5363AF8A" w14:textId="316159C2" w:rsidR="00E65905" w:rsidRPr="00E65905" w:rsidRDefault="00E65905" w:rsidP="00E65905">
      <w:pPr>
        <w:pStyle w:val="rove2-slovantext"/>
        <w:rPr>
          <w:rFonts w:ascii="Times New Roman" w:hAnsi="Times New Roman"/>
          <w:sz w:val="24"/>
        </w:rPr>
      </w:pPr>
      <w:r w:rsidRPr="00E65905">
        <w:rPr>
          <w:rFonts w:ascii="Times New Roman" w:hAnsi="Times New Roman"/>
          <w:sz w:val="24"/>
        </w:rPr>
        <w:t xml:space="preserve">Objednatel je povinen vyjádřit se ke změnovému listu nejpozději do 14 pracovních dnů ode dne předložení změnového listu zhotovitelem. </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750D1468" w:rsidR="00A759C9"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11D4D5F1" w14:textId="77777777" w:rsidR="00E21990" w:rsidRPr="00E65905" w:rsidRDefault="00E21990" w:rsidP="00E21990">
      <w:pPr>
        <w:pStyle w:val="rove2-slovantext"/>
        <w:numPr>
          <w:ilvl w:val="0"/>
          <w:numId w:val="0"/>
        </w:numPr>
        <w:spacing w:line="276" w:lineRule="auto"/>
        <w:ind w:left="397"/>
        <w:rPr>
          <w:rFonts w:ascii="Times New Roman" w:hAnsi="Times New Roman"/>
          <w:sz w:val="24"/>
        </w:rPr>
      </w:pP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w:t>
      </w:r>
      <w:bookmarkEnd w:id="7"/>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8" w:name="_Ref374531057"/>
      <w:r w:rsidRPr="00CA35AC">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8"/>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0EF3D94D"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lastRenderedPageBreak/>
        <w:t xml:space="preserve">Na každé faktuře musí být uvedena identifikace veřejné zakázky: </w:t>
      </w:r>
      <w:r w:rsidRPr="00CA35AC">
        <w:rPr>
          <w:rFonts w:ascii="Times New Roman" w:hAnsi="Times New Roman"/>
          <w:b/>
          <w:sz w:val="24"/>
        </w:rPr>
        <w:t>„</w:t>
      </w:r>
      <w:r w:rsidR="00443C38" w:rsidRPr="00443C38">
        <w:rPr>
          <w:rFonts w:ascii="Times New Roman" w:hAnsi="Times New Roman"/>
          <w:b/>
          <w:sz w:val="24"/>
        </w:rPr>
        <w:t>Stavební úpravy a změna užívání části objektu ZŠ TGM, ulice Školní, Poděbrady“</w:t>
      </w:r>
      <w:r w:rsidRPr="00CA35AC">
        <w:rPr>
          <w:rFonts w:ascii="Times New Roman" w:hAnsi="Times New Roman"/>
          <w:sz w:val="24"/>
        </w:rPr>
        <w:t xml:space="preserve"> a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6B4731BD" w14:textId="77777777" w:rsidR="00A759C9" w:rsidRPr="00CA35AC" w:rsidRDefault="00A759C9" w:rsidP="00A759C9">
      <w:pPr>
        <w:pStyle w:val="rove2-slovantext"/>
        <w:numPr>
          <w:ilvl w:val="0"/>
          <w:numId w:val="0"/>
        </w:numPr>
        <w:spacing w:line="276" w:lineRule="auto"/>
        <w:ind w:left="397"/>
        <w:rPr>
          <w:rFonts w:ascii="Times New Roman" w:hAnsi="Times New Roman"/>
          <w:sz w:val="24"/>
        </w:rPr>
      </w:pP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77777777"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p>
    <w:p w14:paraId="762DB983" w14:textId="3680E7E6" w:rsidR="00A759C9" w:rsidRPr="00CA35AC" w:rsidRDefault="00715B10"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715B10">
        <w:rPr>
          <w:bCs/>
        </w:rPr>
        <w:t>souhlas s provedením ohlášeného stavebního záměru</w:t>
      </w:r>
      <w:r w:rsidR="00A759C9" w:rsidRPr="00CA35AC">
        <w:rPr>
          <w:bCs/>
        </w:rPr>
        <w:t>;</w:t>
      </w:r>
    </w:p>
    <w:p w14:paraId="5332BE11" w14:textId="1142DB82"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stanoviska</w:t>
      </w:r>
      <w:r w:rsidR="005E1988">
        <w:rPr>
          <w:bCs/>
        </w:rPr>
        <w:t xml:space="preserve"> dotčených orgánů státní správy.</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lastRenderedPageBreak/>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336B6AA5"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 xml:space="preserve">Zhotovitel je povinen umožnit výkon technického a autorského dozoru v souladu s touto smlouvou. Technický dozor u téže stavby nesmí provádět zhotovitel ani osoba s ním propojená. </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Povinnosti objednatele</w:t>
      </w: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 xml:space="preserve">hotoviteli součinnost, která na něm pro potřeby plnění povinností zhotovitele podle této smlouvy může být spravedlivě požadována, zejména mu včas a řádně předávat </w:t>
      </w:r>
      <w:r w:rsidRPr="00CA35AC">
        <w:rPr>
          <w:bCs/>
          <w:iCs/>
        </w:rPr>
        <w:lastRenderedPageBreak/>
        <w:t>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E21990">
      <w:pPr>
        <w:widowControl w:val="0"/>
        <w:tabs>
          <w:tab w:val="left" w:pos="993"/>
        </w:tabs>
        <w:autoSpaceDE w:val="0"/>
        <w:autoSpaceDN w:val="0"/>
        <w:adjustRightInd w:val="0"/>
        <w:spacing w:after="240" w:line="276" w:lineRule="auto"/>
        <w:jc w:val="center"/>
      </w:pPr>
      <w:r w:rsidRPr="00CA35AC">
        <w:rPr>
          <w:b/>
        </w:rPr>
        <w:t>Staveniště</w:t>
      </w:r>
      <w:r w:rsidRPr="00CA35AC">
        <w:t xml:space="preserve"> </w:t>
      </w: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CA35AC">
        <w:rPr>
          <w:bCs/>
          <w:iCs/>
        </w:rPr>
        <w:t xml:space="preserve">Objednatel </w:t>
      </w:r>
      <w:bookmarkEnd w:id="9"/>
      <w:bookmarkEnd w:id="10"/>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CA35AC">
        <w:rPr>
          <w:bCs/>
          <w:iCs/>
        </w:rPr>
        <w:t xml:space="preserve">Zhotovitel </w:t>
      </w:r>
      <w:bookmarkEnd w:id="11"/>
      <w:bookmarkEnd w:id="12"/>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CA35AC">
        <w:rPr>
          <w:bCs/>
          <w:iCs/>
        </w:rPr>
        <w:t>Provozní</w:t>
      </w:r>
      <w:bookmarkEnd w:id="13"/>
      <w:bookmarkEnd w:id="14"/>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Náklady na projekt, vybudování, zprovoznění, údržbu, likvidaci a vyklizení zařízení staveniště jsou zahrnuty v ceně díla.</w:t>
      </w: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3F3AD907" w14:textId="77777777" w:rsidR="00A759C9" w:rsidRPr="00CA35AC" w:rsidRDefault="00A759C9" w:rsidP="00E21990">
      <w:pPr>
        <w:widowControl w:val="0"/>
        <w:numPr>
          <w:ilvl w:val="1"/>
          <w:numId w:val="9"/>
        </w:numPr>
        <w:tabs>
          <w:tab w:val="left" w:pos="993"/>
        </w:tabs>
        <w:autoSpaceDE w:val="0"/>
        <w:autoSpaceDN w:val="0"/>
        <w:adjustRightInd w:val="0"/>
        <w:spacing w:before="240"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5" w:name="_Ref376242080"/>
      <w:r w:rsidRPr="00CA35AC">
        <w:lastRenderedPageBreak/>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6" w:name="_Toc305060721"/>
      <w:bookmarkStart w:id="17" w:name="_Toc305061215"/>
      <w:bookmarkStart w:id="18" w:name="_Toc305060720"/>
      <w:bookmarkStart w:id="19"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8"/>
      <w:bookmarkEnd w:id="19"/>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 xml:space="preserve">dodávky materiálů, výrobků, technologického a strojního zařízení pro stavbu, jejich uskladnění a </w:t>
      </w:r>
      <w:r w:rsidRPr="00CA35AC">
        <w:lastRenderedPageBreak/>
        <w:t>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 xml:space="preserve">Zhotovitel je povinen vyzvat objednatele ke kontrole prací, které mají být v dalším postupu provádění Díla zakryty nebo se stanou nepřístupnými. Taková výzva musí být učiněna nejpozději tři pracovní dny předem, a to </w:t>
      </w:r>
      <w:r w:rsidRPr="00AE7375">
        <w:rPr>
          <w:b/>
          <w:i/>
        </w:rPr>
        <w:t>zápisem ve stavebním deníku</w:t>
      </w:r>
      <w:r w:rsidRPr="00CA35AC">
        <w:t xml:space="preserve">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t xml:space="preserve">Objednatel </w:t>
      </w:r>
      <w:r w:rsidRPr="00CA35AC">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Poddodavatelé  </w:t>
      </w:r>
    </w:p>
    <w:p w14:paraId="7BEBC961" w14:textId="4FD242B0"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 xml:space="preserve">Zhotovitel je oprávněn provádět části Díla pouze prostřednictvím poddodavatele, jejímž prostřednictvím splnil kvalifikační předpoklady v rámci veřejné zakázky nebo které uvedl v seznamu poddodavatelů, </w:t>
      </w:r>
      <w:r w:rsidRPr="00CA35AC">
        <w:rPr>
          <w:bCs/>
          <w:iCs/>
        </w:rPr>
        <w:t xml:space="preserve">který byl součástí nabídky zhotovitele v zadávacím řízení. Poddodavatelé mohou 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77777777" w:rsidR="00A759C9" w:rsidRPr="00CA35AC" w:rsidRDefault="00A759C9"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w:t>
      </w:r>
    </w:p>
    <w:p w14:paraId="0A30ED81"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r w:rsidRPr="00CA35AC">
        <w:rPr>
          <w:b/>
          <w:bCs/>
        </w:rPr>
        <w:t>Vlastnictví díla</w:t>
      </w: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E21990">
      <w:pPr>
        <w:widowControl w:val="0"/>
        <w:tabs>
          <w:tab w:val="left" w:pos="993"/>
        </w:tabs>
        <w:autoSpaceDE w:val="0"/>
        <w:autoSpaceDN w:val="0"/>
        <w:adjustRightInd w:val="0"/>
        <w:spacing w:after="240" w:line="276" w:lineRule="auto"/>
        <w:ind w:left="360"/>
        <w:jc w:val="center"/>
        <w:rPr>
          <w:b/>
          <w:bCs/>
        </w:rPr>
      </w:pPr>
      <w:bookmarkStart w:id="20" w:name="_Ref372447812"/>
      <w:bookmarkStart w:id="21" w:name="_Toc372551542"/>
      <w:bookmarkStart w:id="22" w:name="_Toc373753559"/>
      <w:bookmarkStart w:id="23" w:name="_Toc376779523"/>
      <w:r w:rsidRPr="00CA35AC">
        <w:rPr>
          <w:b/>
          <w:bCs/>
        </w:rPr>
        <w:t>Nebezpečí škody a pojištění</w:t>
      </w:r>
      <w:bookmarkEnd w:id="20"/>
      <w:r w:rsidRPr="00CA35AC">
        <w:rPr>
          <w:b/>
          <w:bCs/>
        </w:rPr>
        <w:t xml:space="preserve"> zhotovitele a díla</w:t>
      </w:r>
      <w:bookmarkEnd w:id="21"/>
      <w:bookmarkEnd w:id="22"/>
      <w:bookmarkEnd w:id="23"/>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4" w:name="_Ref372445336"/>
      <w:bookmarkStart w:id="25" w:name="_Toc372551543"/>
      <w:bookmarkStart w:id="26" w:name="_Toc373753560"/>
      <w:bookmarkStart w:id="27" w:name="_Toc372551539"/>
      <w:bookmarkStart w:id="28" w:name="_Toc373753556"/>
      <w:r w:rsidRPr="00CA35AC">
        <w:rPr>
          <w:bCs/>
          <w:iCs/>
        </w:rPr>
        <w:lastRenderedPageBreak/>
        <w:t xml:space="preserve">Zhotovitel je povinen mít uzavřené platné pojištění na odpovědnost za škodu způsobenou třetím osobám. Pojištění </w:t>
      </w:r>
      <w:bookmarkStart w:id="29" w:name="_Ref372442314"/>
      <w:r w:rsidRPr="00CA35AC">
        <w:rPr>
          <w:bCs/>
          <w:iCs/>
        </w:rPr>
        <w:t>odpovědnosti za škodu z výkonu podnikatelské činnosti musí krýt škody na věcech a na zdraví aspoň v tomto rozsahu</w:t>
      </w:r>
      <w:bookmarkEnd w:id="29"/>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79AE9A9D"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výši odpovídající možným rizikům ve vztahu k charakteru stavby a jejímu okolí, a to po celou dobu provádění Díla. Výše pojistné částky nebude v žádném případě nižší, než </w:t>
      </w:r>
      <w:r w:rsidR="00C867C3">
        <w:rPr>
          <w:bCs/>
        </w:rPr>
        <w:t>1</w:t>
      </w:r>
      <w:r w:rsidRPr="00CA35AC">
        <w:rPr>
          <w:bCs/>
        </w:rPr>
        <w:t>0.000.000,-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30" w:name="_Toc372551546"/>
      <w:bookmarkStart w:id="31" w:name="_Toc373753563"/>
      <w:bookmarkStart w:id="32" w:name="_Ref377116785"/>
      <w:r w:rsidRPr="00CA35AC">
        <w:rPr>
          <w:bCs/>
          <w:iCs/>
        </w:rPr>
        <w:t>Zhotovitel je dále povinen mít uzavřené platné stavebně montážní pojištění</w:t>
      </w:r>
      <w:bookmarkEnd w:id="30"/>
      <w:bookmarkEnd w:id="31"/>
      <w:bookmarkEnd w:id="32"/>
      <w:r w:rsidRPr="00CA35AC">
        <w:rPr>
          <w:bCs/>
          <w:iCs/>
        </w:rPr>
        <w:t xml:space="preserve">. </w:t>
      </w:r>
      <w:bookmarkStart w:id="33"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3"/>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332D387F"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Doklady o uzavření pojištění, řádných a včasných úhradách pojistného a trvání pojištění je zhotovitel povinen předložit objednateli nejpozději při </w:t>
      </w:r>
      <w:r w:rsidR="00AE7375">
        <w:rPr>
          <w:bCs/>
        </w:rPr>
        <w:t xml:space="preserve">podpisu smlouvy o dílo </w:t>
      </w:r>
      <w:r w:rsidRPr="00CA35AC">
        <w:rPr>
          <w:bCs/>
        </w:rPr>
        <w:t>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E21990">
      <w:pPr>
        <w:widowControl w:val="0"/>
        <w:tabs>
          <w:tab w:val="left" w:pos="993"/>
        </w:tabs>
        <w:autoSpaceDE w:val="0"/>
        <w:autoSpaceDN w:val="0"/>
        <w:adjustRightInd w:val="0"/>
        <w:spacing w:after="240" w:line="276" w:lineRule="auto"/>
        <w:jc w:val="center"/>
        <w:rPr>
          <w:b/>
        </w:rPr>
      </w:pPr>
      <w:r w:rsidRPr="00CA35AC">
        <w:rPr>
          <w:b/>
        </w:rPr>
        <w:t xml:space="preserve">Předání a převzetí díla </w:t>
      </w: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4" w:name="_Toc373753584"/>
      <w:r w:rsidRPr="00CA35AC">
        <w:rPr>
          <w:bCs/>
          <w:iCs/>
        </w:rPr>
        <w:t xml:space="preserve">Zhotovitel </w:t>
      </w:r>
      <w:bookmarkEnd w:id="34"/>
      <w:r w:rsidRPr="00CA35AC">
        <w:rPr>
          <w:bCs/>
          <w:iCs/>
        </w:rPr>
        <w:t xml:space="preserve">písemně oznámí datum dokončení díla objednateli nejméně </w:t>
      </w:r>
      <w:r w:rsidRPr="00AE793C">
        <w:rPr>
          <w:b/>
          <w:bCs/>
          <w:i/>
          <w:iCs/>
        </w:rPr>
        <w:t>pět dnů před dokončením díla</w:t>
      </w:r>
      <w:r w:rsidRPr="00CA35AC">
        <w:rPr>
          <w:bCs/>
          <w:iCs/>
        </w:rPr>
        <w:t xml:space="preserve">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5" w:name="_Toc373753586"/>
      <w:r w:rsidRPr="00CA35AC">
        <w:rPr>
          <w:bCs/>
          <w:iCs/>
        </w:rPr>
        <w:t xml:space="preserve">Před zahájením </w:t>
      </w:r>
      <w:bookmarkEnd w:id="35"/>
      <w:r w:rsidRPr="00CA35AC">
        <w:rPr>
          <w:bCs/>
          <w:iCs/>
        </w:rPr>
        <w:t>předávacího řízení je zhotovitel povinen připravit nezbytné doklady a následně je objednateli předat, a to zejména:</w:t>
      </w:r>
    </w:p>
    <w:p w14:paraId="5CAEFC5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lastRenderedPageBreak/>
        <w:t>zápisy a osvědčení o provedených zkouškách, včetně všech certifikátů, atestů, prohlášení o shodě a jiných dokladů;</w:t>
      </w:r>
    </w:p>
    <w:p w14:paraId="618EE460" w14:textId="3CC1F99F"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r w:rsidR="00893AD5">
        <w:rPr>
          <w:bCs/>
        </w:rPr>
        <w:t xml:space="preserve"> (akustika, umělé osvětlení, voda, ….)</w:t>
      </w:r>
      <w:r w:rsidRPr="00CA35AC">
        <w:rPr>
          <w:bCs/>
        </w:rPr>
        <w:t>;</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6" w:name="_Toc373753587"/>
      <w:r w:rsidRPr="00CA35AC">
        <w:rPr>
          <w:bCs/>
          <w:iCs/>
        </w:rPr>
        <w:t xml:space="preserve">O průběhu </w:t>
      </w:r>
      <w:bookmarkEnd w:id="36"/>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7" w:name="_Toc373753588"/>
      <w:r w:rsidRPr="00CA35AC">
        <w:rPr>
          <w:bCs/>
          <w:iCs/>
        </w:rPr>
        <w:t xml:space="preserve">Objednatel </w:t>
      </w:r>
      <w:bookmarkEnd w:id="37"/>
      <w:r w:rsidRPr="00CA35AC">
        <w:rPr>
          <w:bCs/>
          <w:iCs/>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0E178B15" w14:textId="77777777" w:rsidR="00A759C9" w:rsidRPr="00CA35AC" w:rsidRDefault="00A759C9" w:rsidP="00E21990">
      <w:pPr>
        <w:pStyle w:val="Odstavecseseznamem"/>
        <w:widowControl w:val="0"/>
        <w:numPr>
          <w:ilvl w:val="2"/>
          <w:numId w:val="20"/>
        </w:numPr>
        <w:tabs>
          <w:tab w:val="clear" w:pos="720"/>
        </w:tabs>
        <w:autoSpaceDE w:val="0"/>
        <w:autoSpaceDN w:val="0"/>
        <w:adjustRightInd w:val="0"/>
        <w:spacing w:before="240" w:after="240" w:line="276" w:lineRule="auto"/>
        <w:ind w:left="567" w:hanging="567"/>
        <w:jc w:val="both"/>
        <w:rPr>
          <w:bCs/>
        </w:rPr>
      </w:pPr>
      <w:r w:rsidRPr="00CA35AC">
        <w:rPr>
          <w:bCs/>
        </w:rPr>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77777777"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lastRenderedPageBreak/>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V reklamaci (reklamačním protokolu) musí být vady popsány nebo musí být uvedeno, jak se projevují. Dále v reklamaci objednatel uvede, jakým způsobem požaduje sjednat nápravu, ev. 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13"/>
      <w:r w:rsidRPr="00CA35AC">
        <w:rPr>
          <w:bCs/>
        </w:rPr>
        <w:t>pěti pracovních dnů od oznámení vady díla u vad bránících řádnému užívání díla,</w:t>
      </w:r>
      <w:bookmarkEnd w:id="38"/>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9" w:name="_Ref376708171"/>
      <w:r w:rsidRPr="00CA35AC">
        <w:rPr>
          <w:bCs/>
        </w:rPr>
        <w:t>deset pracovních dnů od oznámení vady díla u vad nebránících řádnému užívání díla,</w:t>
      </w:r>
      <w:bookmarkEnd w:id="39"/>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40" w:name="_Ref376708203"/>
      <w:r w:rsidRPr="00CA35AC">
        <w:rPr>
          <w:bCs/>
        </w:rPr>
        <w:t>patnáct pracovních dnů od oznámení vady díla u drobných vad díla.</w:t>
      </w:r>
      <w:bookmarkEnd w:id="40"/>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1" w:name="_Ref366500477"/>
      <w:bookmarkStart w:id="42" w:name="_Toc372551601"/>
      <w:bookmarkStart w:id="43" w:name="_Toc373753599"/>
      <w:bookmarkStart w:id="44" w:name="_Toc376779534"/>
      <w:r w:rsidRPr="00CA35AC">
        <w:rPr>
          <w:b/>
          <w:bCs/>
        </w:rPr>
        <w:t>Smluvní pokuty</w:t>
      </w:r>
      <w:bookmarkEnd w:id="41"/>
      <w:bookmarkEnd w:id="42"/>
      <w:bookmarkEnd w:id="43"/>
      <w:bookmarkEnd w:id="44"/>
      <w:r w:rsidRPr="00CA35AC">
        <w:rPr>
          <w:b/>
          <w:bCs/>
        </w:rPr>
        <w:t xml:space="preserve"> a úrok z prodlení</w:t>
      </w:r>
    </w:p>
    <w:p w14:paraId="4E3B0C18" w14:textId="76BD7122" w:rsidR="00A759C9" w:rsidRPr="00CA35AC" w:rsidRDefault="00A759C9" w:rsidP="00A759C9">
      <w:pPr>
        <w:pStyle w:val="rove2-slovantext"/>
        <w:numPr>
          <w:ilvl w:val="0"/>
          <w:numId w:val="0"/>
        </w:numPr>
        <w:spacing w:line="276" w:lineRule="auto"/>
        <w:ind w:left="397" w:hanging="397"/>
        <w:rPr>
          <w:rFonts w:ascii="Times New Roman" w:hAnsi="Times New Roman"/>
          <w:sz w:val="24"/>
        </w:rPr>
      </w:pPr>
      <w:r w:rsidRPr="00CA35AC">
        <w:rPr>
          <w:rFonts w:ascii="Times New Roman" w:hAnsi="Times New Roman"/>
          <w:bCs/>
          <w:iCs/>
          <w:sz w:val="24"/>
        </w:rPr>
        <w:t xml:space="preserve">1. </w:t>
      </w:r>
      <w:r w:rsidRPr="00CA35AC">
        <w:rPr>
          <w:rFonts w:ascii="Times New Roman" w:hAnsi="Times New Roman"/>
          <w:bCs/>
          <w:iCs/>
          <w:sz w:val="24"/>
        </w:rPr>
        <w:tab/>
        <w:t xml:space="preserve">Bude-li Zhotovitel v prodlení se splněním termínu dokončení díla sjednaného touto smlouvou, </w:t>
      </w:r>
      <w:r w:rsidRPr="00CA35AC">
        <w:rPr>
          <w:rFonts w:ascii="Times New Roman" w:hAnsi="Times New Roman"/>
          <w:bCs/>
          <w:sz w:val="24"/>
        </w:rPr>
        <w:t>je objednatel oprávněn uplatnit vůči zhotoviteli nárok na smluvní pokutu ve výši</w:t>
      </w:r>
      <w:r w:rsidRPr="00CA35AC">
        <w:rPr>
          <w:rFonts w:ascii="Times New Roman" w:hAnsi="Times New Roman"/>
          <w:bCs/>
          <w:iCs/>
          <w:sz w:val="24"/>
        </w:rPr>
        <w:t xml:space="preserve"> </w:t>
      </w:r>
      <w:r w:rsidRPr="00CA35AC">
        <w:rPr>
          <w:rFonts w:ascii="Times New Roman" w:hAnsi="Times New Roman"/>
          <w:bCs/>
          <w:sz w:val="24"/>
        </w:rPr>
        <w:t xml:space="preserve">0,2 % z celkové ceny </w:t>
      </w:r>
      <w:r w:rsidR="00FE204C">
        <w:rPr>
          <w:rFonts w:ascii="Times New Roman" w:hAnsi="Times New Roman"/>
          <w:bCs/>
          <w:sz w:val="24"/>
        </w:rPr>
        <w:t xml:space="preserve">bez DPH </w:t>
      </w:r>
      <w:r w:rsidRPr="00CA35AC">
        <w:rPr>
          <w:rFonts w:ascii="Times New Roman" w:hAnsi="Times New Roman"/>
          <w:bCs/>
          <w:sz w:val="24"/>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lastRenderedPageBreak/>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50.000,-Kč.</w:t>
      </w:r>
    </w:p>
    <w:p w14:paraId="2445EEAA"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29E1A7CE"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nepředloží objednateli upravený harmonogram ve lhůtách dle této smlouvy,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5" w:name="_Toc305060955"/>
      <w:bookmarkStart w:id="46" w:name="_Toc305061449"/>
      <w:r w:rsidRPr="00CA35AC">
        <w:rPr>
          <w:bCs/>
        </w:rPr>
        <w:t xml:space="preserve">Zhotovitel neodstraní reklamovanou vadu v termínu, </w:t>
      </w:r>
      <w:bookmarkEnd w:id="45"/>
      <w:bookmarkEnd w:id="46"/>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7" w:name="_Toc372551612"/>
      <w:bookmarkStart w:id="48" w:name="_Toc373753615"/>
      <w:bookmarkStart w:id="49" w:name="_Toc376779536"/>
      <w:r w:rsidRPr="00CA35AC">
        <w:rPr>
          <w:b/>
          <w:bCs/>
        </w:rPr>
        <w:t xml:space="preserve">XVII. </w:t>
      </w:r>
    </w:p>
    <w:p w14:paraId="722A61F8"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Oprávněné osoby </w:t>
      </w: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50" w:name="_Toc372551613"/>
      <w:bookmarkStart w:id="51" w:name="_Toc373753616"/>
      <w:bookmarkStart w:id="52" w:name="_Ref376457985"/>
      <w:bookmarkEnd w:id="47"/>
      <w:bookmarkEnd w:id="48"/>
      <w:bookmarkEnd w:id="49"/>
      <w:r w:rsidRPr="00CA35AC">
        <w:rPr>
          <w:bCs/>
          <w:iCs/>
        </w:rPr>
        <w:t xml:space="preserve">Jednání mezi </w:t>
      </w:r>
      <w:bookmarkEnd w:id="50"/>
      <w:bookmarkEnd w:id="51"/>
      <w:bookmarkEnd w:id="52"/>
      <w:r w:rsidRPr="00CA35AC">
        <w:rPr>
          <w:bCs/>
          <w:iCs/>
        </w:rPr>
        <w:t>smluvními stranami v rámci této smlouvy budou probíhat prostřednictvím níže uvedených oprávněných osob.</w:t>
      </w:r>
    </w:p>
    <w:p w14:paraId="7FF7F28A"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Pr="00CA35AC">
        <w:t>správy a rozvoje města</w:t>
      </w:r>
    </w:p>
    <w:p w14:paraId="66208B98" w14:textId="7D1ACBA4"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ab/>
      </w:r>
      <w:r w:rsidR="00581235">
        <w:rPr>
          <w:bCs/>
        </w:rPr>
        <w:t>Bronislav Macek</w:t>
      </w:r>
      <w:r w:rsidRPr="00CA35AC">
        <w:rPr>
          <w:bCs/>
        </w:rPr>
        <w:t xml:space="preserve">, referent odboru </w:t>
      </w:r>
      <w:r w:rsidRPr="00CA35AC">
        <w:t>správy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lastRenderedPageBreak/>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3" w:name="_Toc376779537"/>
      <w:r w:rsidRPr="00CA35AC">
        <w:rPr>
          <w:b/>
          <w:bCs/>
        </w:rPr>
        <w:t>Ustanovení o vzniku a zániku smlouvy</w:t>
      </w:r>
      <w:bookmarkEnd w:id="53"/>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Tato Smlouva nabývá platnosti a účinnosti dnem jejího podpisu oprávněnými zástupci obou Smluvních stran. Nebude-li Smlouva podepsána oběma Smluvními stranami téhož dne, stává se platnou a účinnou dnem podpisu pozdějšího.</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Smluvní strany se dohodly, že zhotovitel je oprávněn od této smlouvy odstoupit v případech, kdy to 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Objednatel bude v prodlení s úhradou svých splatných peněžitých závazků vyplývajících 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4" w:name="_Toc372551619"/>
      <w:bookmarkStart w:id="55" w:name="_Toc373753607"/>
      <w:r w:rsidRPr="00CA35AC">
        <w:rPr>
          <w:bCs/>
          <w:iCs/>
        </w:rPr>
        <w:t xml:space="preserve">Odstoupení </w:t>
      </w:r>
      <w:bookmarkEnd w:id="54"/>
      <w:bookmarkEnd w:id="55"/>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6" w:name="_Toc372551620"/>
      <w:bookmarkStart w:id="57" w:name="_Toc373753608"/>
      <w:r w:rsidRPr="00CA35AC">
        <w:rPr>
          <w:bCs/>
        </w:rPr>
        <w:t xml:space="preserve">Smluvní strany </w:t>
      </w:r>
      <w:bookmarkEnd w:id="56"/>
      <w:bookmarkEnd w:id="57"/>
      <w:r w:rsidRPr="00CA35AC">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11160229" w:rsidR="00A759C9"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E21990">
      <w:pPr>
        <w:widowControl w:val="0"/>
        <w:tabs>
          <w:tab w:val="left" w:pos="993"/>
        </w:tabs>
        <w:autoSpaceDE w:val="0"/>
        <w:autoSpaceDN w:val="0"/>
        <w:adjustRightInd w:val="0"/>
        <w:spacing w:after="240" w:line="276" w:lineRule="auto"/>
        <w:ind w:left="450"/>
        <w:jc w:val="center"/>
        <w:rPr>
          <w:b/>
          <w:bCs/>
        </w:rPr>
      </w:pPr>
      <w:r w:rsidRPr="00CA35AC">
        <w:rPr>
          <w:b/>
          <w:bCs/>
        </w:rPr>
        <w:t xml:space="preserve">Závěrečná ujednání </w:t>
      </w: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8" w:name="_Toc372551626"/>
      <w:bookmarkStart w:id="59" w:name="_Toc373753631"/>
      <w:r w:rsidRPr="00CA35AC">
        <w:rPr>
          <w:bCs/>
          <w:iCs/>
        </w:rPr>
        <w:lastRenderedPageBreak/>
        <w:t xml:space="preserve">Všechna </w:t>
      </w:r>
      <w:bookmarkEnd w:id="58"/>
      <w:bookmarkEnd w:id="59"/>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Tato smlouva o dílo je v souladu s ustanovením § 211 odst. 3 zákona č. 134/2016 Sb., o zadávání veřejných zakázek, uzavřena v písemné elektronické formě. Mimoto je tato smlouva vyhotovena rovněž ve třech tištěných vyhotoveních, z nichž objednatel obdrží dvě vyhotovení a zhotovitel jedno vyhotovení.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zhotovitelem.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6FD792D0" w14:textId="31177ED7"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 xml:space="preserve">Poděbrad </w:t>
      </w:r>
      <w:proofErr w:type="gramStart"/>
      <w:r w:rsidR="00E779F3">
        <w:rPr>
          <w:lang w:eastAsia="ar-SA"/>
        </w:rPr>
        <w:t>č. .</w:t>
      </w:r>
      <w:r w:rsidR="00E779F3" w:rsidRPr="00E779F3">
        <w:rPr>
          <w:highlight w:val="yellow"/>
          <w:lang w:eastAsia="ar-SA"/>
        </w:rPr>
        <w:t>......</w:t>
      </w:r>
      <w:r w:rsidR="00E779F3">
        <w:rPr>
          <w:lang w:eastAsia="ar-SA"/>
        </w:rPr>
        <w:t>/2024</w:t>
      </w:r>
      <w:proofErr w:type="gramEnd"/>
      <w:r w:rsidRPr="00CA35AC">
        <w:rPr>
          <w:lang w:eastAsia="ar-SA"/>
        </w:rPr>
        <w:t xml:space="preserve"> ze dne</w:t>
      </w:r>
      <w:r w:rsidR="00E779F3">
        <w:rPr>
          <w:lang w:eastAsia="ar-SA"/>
        </w:rPr>
        <w:t xml:space="preserve"> </w:t>
      </w:r>
      <w:r w:rsidR="00E779F3" w:rsidRPr="00E779F3">
        <w:rPr>
          <w:highlight w:val="yellow"/>
          <w:lang w:eastAsia="ar-SA"/>
        </w:rPr>
        <w:t>……..</w:t>
      </w:r>
      <w:r w:rsidRPr="00CA35AC">
        <w:rPr>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02024A50" w14:textId="66429049" w:rsidR="00A759C9" w:rsidRPr="00CA35AC" w:rsidRDefault="00A759C9" w:rsidP="00E21990">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sectPr w:rsidR="00A759C9" w:rsidRPr="00CA35AC" w:rsidSect="00156EB7">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E6821" w14:textId="77777777" w:rsidR="00424D5B" w:rsidRDefault="00225962">
      <w:r>
        <w:separator/>
      </w:r>
    </w:p>
  </w:endnote>
  <w:endnote w:type="continuationSeparator" w:id="0">
    <w:p w14:paraId="6E9F2CE5" w14:textId="77777777" w:rsidR="00424D5B"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5E31D" w14:textId="6A19C7A4"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FE06A1">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FE06A1">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F5C2" w14:textId="2A705BB0"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FE06A1">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FE06A1">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244F" w14:textId="77777777" w:rsidR="00424D5B" w:rsidRDefault="00225962">
      <w:r>
        <w:separator/>
      </w:r>
    </w:p>
  </w:footnote>
  <w:footnote w:type="continuationSeparator" w:id="0">
    <w:p w14:paraId="27013C29" w14:textId="77777777" w:rsidR="00424D5B" w:rsidRDefault="002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24205" w14:textId="77777777" w:rsidR="00BD1E39" w:rsidRDefault="00FE06A1">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661C0" w14:textId="28BB8D5F" w:rsidR="00BD1E39" w:rsidRDefault="00AF7807">
    <w:pPr>
      <w:pStyle w:val="Zhlav"/>
    </w:pPr>
    <w:r>
      <w:t xml:space="preserve">Příloha </w:t>
    </w:r>
    <w:proofErr w:type="gramStart"/>
    <w:r>
      <w:t>č. 4</w:t>
    </w:r>
    <w:r w:rsidR="00C6589B">
      <w:t xml:space="preserve"> Návrh</w:t>
    </w:r>
    <w:proofErr w:type="gramEnd"/>
    <w:r w:rsidR="00C6589B">
      <w:t xml:space="preserve"> smlouvy o dílo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23"/>
    <w:lvlOverride w:ilvl="0">
      <w:startOverride w:val="1"/>
    </w:lvlOverride>
    <w:lvlOverride w:ilvl="1">
      <w:startOverride w:val="1"/>
    </w:lvlOverride>
  </w:num>
  <w:num w:numId="7">
    <w:abstractNumId w:val="8"/>
  </w:num>
  <w:num w:numId="8">
    <w:abstractNumId w:val="22"/>
  </w:num>
  <w:num w:numId="9">
    <w:abstractNumId w:val="13"/>
  </w:num>
  <w:num w:numId="10">
    <w:abstractNumId w:val="5"/>
  </w:num>
  <w:num w:numId="11">
    <w:abstractNumId w:val="2"/>
  </w:num>
  <w:num w:numId="12">
    <w:abstractNumId w:val="0"/>
  </w:num>
  <w:num w:numId="13">
    <w:abstractNumId w:val="10"/>
  </w:num>
  <w:num w:numId="14">
    <w:abstractNumId w:val="9"/>
  </w:num>
  <w:num w:numId="15">
    <w:abstractNumId w:val="21"/>
  </w:num>
  <w:num w:numId="16">
    <w:abstractNumId w:val="17"/>
  </w:num>
  <w:num w:numId="17">
    <w:abstractNumId w:val="14"/>
  </w:num>
  <w:num w:numId="18">
    <w:abstractNumId w:val="11"/>
  </w:num>
  <w:num w:numId="19">
    <w:abstractNumId w:val="12"/>
  </w:num>
  <w:num w:numId="20">
    <w:abstractNumId w:val="16"/>
  </w:num>
  <w:num w:numId="21">
    <w:abstractNumId w:val="1"/>
  </w:num>
  <w:num w:numId="22">
    <w:abstractNumId w:val="15"/>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3"/>
  </w:num>
  <w:num w:numId="28">
    <w:abstractNumId w:val="23"/>
  </w:num>
  <w:num w:numId="29">
    <w:abstractNumId w:val="23"/>
  </w:num>
  <w:num w:numId="30">
    <w:abstractNumId w:val="2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C9"/>
    <w:rsid w:val="00006E60"/>
    <w:rsid w:val="0001394D"/>
    <w:rsid w:val="00034205"/>
    <w:rsid w:val="000A256F"/>
    <w:rsid w:val="000A67EF"/>
    <w:rsid w:val="000C0686"/>
    <w:rsid w:val="000E3143"/>
    <w:rsid w:val="000F48E3"/>
    <w:rsid w:val="001442A6"/>
    <w:rsid w:val="00162799"/>
    <w:rsid w:val="001832B3"/>
    <w:rsid w:val="001A7253"/>
    <w:rsid w:val="001E1959"/>
    <w:rsid w:val="0021108C"/>
    <w:rsid w:val="00225962"/>
    <w:rsid w:val="00251064"/>
    <w:rsid w:val="002B7831"/>
    <w:rsid w:val="002C5845"/>
    <w:rsid w:val="002F1EB8"/>
    <w:rsid w:val="002F509B"/>
    <w:rsid w:val="002F6988"/>
    <w:rsid w:val="002F75A6"/>
    <w:rsid w:val="003319CC"/>
    <w:rsid w:val="003E0414"/>
    <w:rsid w:val="00424D5B"/>
    <w:rsid w:val="00443C38"/>
    <w:rsid w:val="00496A9A"/>
    <w:rsid w:val="004A43DA"/>
    <w:rsid w:val="005150B2"/>
    <w:rsid w:val="00581235"/>
    <w:rsid w:val="005A56E5"/>
    <w:rsid w:val="005E1988"/>
    <w:rsid w:val="005E7579"/>
    <w:rsid w:val="00601655"/>
    <w:rsid w:val="00610E36"/>
    <w:rsid w:val="00653ACE"/>
    <w:rsid w:val="00662AA2"/>
    <w:rsid w:val="00677FC6"/>
    <w:rsid w:val="006A7FC3"/>
    <w:rsid w:val="006B0641"/>
    <w:rsid w:val="0071198D"/>
    <w:rsid w:val="00715B10"/>
    <w:rsid w:val="00743B73"/>
    <w:rsid w:val="007E52EE"/>
    <w:rsid w:val="00837D0F"/>
    <w:rsid w:val="00886E39"/>
    <w:rsid w:val="00891C56"/>
    <w:rsid w:val="00893AD5"/>
    <w:rsid w:val="008A1E17"/>
    <w:rsid w:val="00933474"/>
    <w:rsid w:val="009468C6"/>
    <w:rsid w:val="009A76FC"/>
    <w:rsid w:val="009D2D76"/>
    <w:rsid w:val="009F67B0"/>
    <w:rsid w:val="00A2194E"/>
    <w:rsid w:val="00A354A1"/>
    <w:rsid w:val="00A54FC7"/>
    <w:rsid w:val="00A74FDD"/>
    <w:rsid w:val="00A759C9"/>
    <w:rsid w:val="00AE7375"/>
    <w:rsid w:val="00AE793C"/>
    <w:rsid w:val="00AF7807"/>
    <w:rsid w:val="00B11F7A"/>
    <w:rsid w:val="00BE56C4"/>
    <w:rsid w:val="00BE573B"/>
    <w:rsid w:val="00C060AA"/>
    <w:rsid w:val="00C54ACA"/>
    <w:rsid w:val="00C6589B"/>
    <w:rsid w:val="00C867C3"/>
    <w:rsid w:val="00CC4E31"/>
    <w:rsid w:val="00D11375"/>
    <w:rsid w:val="00D2128D"/>
    <w:rsid w:val="00D30485"/>
    <w:rsid w:val="00D30C49"/>
    <w:rsid w:val="00D64141"/>
    <w:rsid w:val="00D700C0"/>
    <w:rsid w:val="00D70A0D"/>
    <w:rsid w:val="00DD0125"/>
    <w:rsid w:val="00DD21EC"/>
    <w:rsid w:val="00DE27F6"/>
    <w:rsid w:val="00DE5700"/>
    <w:rsid w:val="00E021CC"/>
    <w:rsid w:val="00E1261E"/>
    <w:rsid w:val="00E21990"/>
    <w:rsid w:val="00E65905"/>
    <w:rsid w:val="00E779F3"/>
    <w:rsid w:val="00E77A2B"/>
    <w:rsid w:val="00EC63B5"/>
    <w:rsid w:val="00F21C82"/>
    <w:rsid w:val="00F4524F"/>
    <w:rsid w:val="00FA4ED8"/>
    <w:rsid w:val="00FE06A1"/>
    <w:rsid w:val="00FE2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17</Pages>
  <Words>6362</Words>
  <Characters>37537</Characters>
  <Application>Microsoft Office Word</Application>
  <DocSecurity>0</DocSecurity>
  <Lines>312</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80</cp:revision>
  <dcterms:created xsi:type="dcterms:W3CDTF">2024-06-03T06:51:00Z</dcterms:created>
  <dcterms:modified xsi:type="dcterms:W3CDTF">2024-06-26T06:51:00Z</dcterms:modified>
</cp:coreProperties>
</file>