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66" w:rsidRDefault="009C6C66" w:rsidP="009C6C66">
      <w:pPr>
        <w:rPr>
          <w:b/>
          <w:smallCaps/>
          <w:sz w:val="28"/>
          <w:szCs w:val="28"/>
        </w:rPr>
      </w:pPr>
      <w:r w:rsidRPr="009C6C66">
        <w:rPr>
          <w:b/>
          <w:smallCaps/>
          <w:sz w:val="28"/>
          <w:szCs w:val="28"/>
        </w:rPr>
        <w:t>Příloha č. 1</w:t>
      </w:r>
    </w:p>
    <w:p w:rsidR="00B25B77" w:rsidRPr="00B25B77" w:rsidRDefault="00B25B77" w:rsidP="00B25B77">
      <w:pPr>
        <w:jc w:val="center"/>
        <w:rPr>
          <w:b/>
          <w:smallCaps/>
          <w:sz w:val="32"/>
          <w:szCs w:val="32"/>
        </w:rPr>
      </w:pPr>
      <w:r w:rsidRPr="00B25B77">
        <w:rPr>
          <w:b/>
          <w:smallCaps/>
          <w:sz w:val="32"/>
          <w:szCs w:val="32"/>
        </w:rPr>
        <w:t>Specifikace předmětu plnění</w:t>
      </w:r>
    </w:p>
    <w:p w:rsidR="00AD2818" w:rsidRPr="0063378D" w:rsidRDefault="002D64BD" w:rsidP="0063378D">
      <w:pPr>
        <w:spacing w:line="240" w:lineRule="auto"/>
        <w:jc w:val="both"/>
        <w:rPr>
          <w:sz w:val="22"/>
          <w:szCs w:val="22"/>
        </w:rPr>
      </w:pPr>
      <w:r w:rsidRPr="0063378D">
        <w:rPr>
          <w:sz w:val="22"/>
          <w:szCs w:val="22"/>
        </w:rPr>
        <w:t>Kompletní</w:t>
      </w:r>
      <w:r w:rsidR="00AD2818" w:rsidRPr="0063378D">
        <w:rPr>
          <w:sz w:val="22"/>
          <w:szCs w:val="22"/>
        </w:rPr>
        <w:t xml:space="preserve"> specifik</w:t>
      </w:r>
      <w:r w:rsidRPr="0063378D">
        <w:rPr>
          <w:sz w:val="22"/>
          <w:szCs w:val="22"/>
        </w:rPr>
        <w:t>ace</w:t>
      </w:r>
      <w:r w:rsidR="00AD2818" w:rsidRPr="0063378D">
        <w:rPr>
          <w:sz w:val="22"/>
          <w:szCs w:val="22"/>
        </w:rPr>
        <w:t xml:space="preserve"> </w:t>
      </w:r>
      <w:r w:rsidRPr="0063378D">
        <w:rPr>
          <w:sz w:val="22"/>
          <w:szCs w:val="22"/>
        </w:rPr>
        <w:t xml:space="preserve">následujících </w:t>
      </w:r>
      <w:r w:rsidR="00AD2818" w:rsidRPr="0063378D">
        <w:rPr>
          <w:sz w:val="22"/>
          <w:szCs w:val="22"/>
        </w:rPr>
        <w:t>požadovan</w:t>
      </w:r>
      <w:r w:rsidRPr="0063378D">
        <w:rPr>
          <w:sz w:val="22"/>
          <w:szCs w:val="22"/>
        </w:rPr>
        <w:t>ých</w:t>
      </w:r>
      <w:r w:rsidR="00AD2818" w:rsidRPr="0063378D">
        <w:rPr>
          <w:sz w:val="22"/>
          <w:szCs w:val="22"/>
        </w:rPr>
        <w:t xml:space="preserve"> krok</w:t>
      </w:r>
      <w:r w:rsidRPr="0063378D">
        <w:rPr>
          <w:sz w:val="22"/>
          <w:szCs w:val="22"/>
        </w:rPr>
        <w:t>ů</w:t>
      </w:r>
      <w:r w:rsidR="00AD2818" w:rsidRPr="0063378D">
        <w:rPr>
          <w:sz w:val="22"/>
          <w:szCs w:val="22"/>
        </w:rPr>
        <w:t xml:space="preserve"> v rámci pořízení a implementace nového informačního systému</w:t>
      </w:r>
      <w:r w:rsidRPr="0063378D">
        <w:rPr>
          <w:sz w:val="22"/>
          <w:szCs w:val="22"/>
        </w:rPr>
        <w:t xml:space="preserve"> je uvedena níže</w:t>
      </w:r>
      <w:r w:rsidR="00AD2818" w:rsidRPr="0063378D">
        <w:rPr>
          <w:sz w:val="22"/>
          <w:szCs w:val="22"/>
        </w:rPr>
        <w:t>:</w:t>
      </w:r>
    </w:p>
    <w:p w:rsidR="00AD2818" w:rsidRPr="002D64BD" w:rsidRDefault="00AD2818" w:rsidP="002D64B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Předimplementační analýza;</w:t>
      </w:r>
    </w:p>
    <w:p w:rsidR="00AD2818" w:rsidRPr="002D64BD" w:rsidRDefault="00AD2818" w:rsidP="002D64B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Implementační a vývojové služby (kroky, harmonogram);</w:t>
      </w:r>
    </w:p>
    <w:p w:rsidR="00AD2818" w:rsidRPr="002D64BD" w:rsidRDefault="00AD2818" w:rsidP="002D64B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Požadavky na jednotlivé moduly informačního systému;</w:t>
      </w:r>
    </w:p>
    <w:p w:rsidR="00AD2818" w:rsidRPr="002D64BD" w:rsidRDefault="00AD2818" w:rsidP="002D64B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Požadavky na funkce, propojenost a analytické výstupy informačního systému;</w:t>
      </w:r>
    </w:p>
    <w:p w:rsidR="00AD2818" w:rsidRPr="002D64BD" w:rsidRDefault="00AD2818" w:rsidP="002D64B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Minimální technické parametry pořizovaného hardware.</w:t>
      </w:r>
    </w:p>
    <w:p w:rsidR="0063378D" w:rsidRPr="0063378D" w:rsidRDefault="0063378D" w:rsidP="00AD2818">
      <w:pPr>
        <w:rPr>
          <w:sz w:val="22"/>
          <w:szCs w:val="22"/>
        </w:rPr>
      </w:pPr>
    </w:p>
    <w:p w:rsidR="0063378D" w:rsidRDefault="0063378D" w:rsidP="0063378D">
      <w:pPr>
        <w:spacing w:line="240" w:lineRule="auto"/>
        <w:jc w:val="both"/>
      </w:pPr>
      <w:r w:rsidRPr="0063378D">
        <w:rPr>
          <w:sz w:val="22"/>
          <w:szCs w:val="22"/>
        </w:rPr>
        <w:t>Uchazeč je povinen respektovat plně veškeré požadavky zadavatele v této Příloze č. 1 i v celé zadávací dokumentaci. Nerespektování veškerých požadavků zadavatele v úplném rozsahu naplňuje znaky nesplnění požadavků zadavatele dle § 76 odst. 1 zákona</w:t>
      </w:r>
      <w:r>
        <w:rPr>
          <w:sz w:val="22"/>
          <w:szCs w:val="22"/>
        </w:rPr>
        <w:t>, v důsledku čehož musí být nabídka uchazeče vyřazena a v souladu s ustanovením § 76 odst. 6 zákona musí být takový uchazeč, jehož nabídka byla při posouzení nabídek hodnotící komisí vyřazena, vyloučen.</w:t>
      </w:r>
    </w:p>
    <w:p w:rsidR="0063378D" w:rsidRDefault="0063378D" w:rsidP="00AD2818"/>
    <w:p w:rsidR="00F21260" w:rsidRPr="002D64BD" w:rsidRDefault="00F21260" w:rsidP="002D64BD">
      <w:pPr>
        <w:pStyle w:val="Nadpis1"/>
        <w:ind w:hanging="720"/>
      </w:pPr>
      <w:r w:rsidRPr="002D64BD">
        <w:t>PŘEDIMPLEMENTAČNÍ PŘÍPRAVA IS</w:t>
      </w:r>
    </w:p>
    <w:p w:rsidR="00F21260" w:rsidRPr="002D64BD" w:rsidRDefault="00F21260" w:rsidP="002D64BD">
      <w:pPr>
        <w:spacing w:line="240" w:lineRule="auto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Předimplementační příprava slouží ke stanovení návrhu a popisu optimálního řešení, náročnosti řešení, případných rizik, stanovení harmonogramu a rozsahu implementačních a vývojových prací v rámci dodávky IS.</w:t>
      </w:r>
    </w:p>
    <w:p w:rsidR="00F21260" w:rsidRPr="002D64BD" w:rsidRDefault="00F21260" w:rsidP="002D64BD">
      <w:pPr>
        <w:spacing w:line="240" w:lineRule="auto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V rámci předimplementační přípravy budou řešeny tyto úkoly:</w:t>
      </w:r>
    </w:p>
    <w:p w:rsidR="00F21260" w:rsidRPr="002D64BD" w:rsidRDefault="00F21260" w:rsidP="002D64BD">
      <w:pPr>
        <w:pStyle w:val="Odstavecseseznamem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detailní zjištění/ověření všech požadavků společnosti na zavedení komponenty IS a schopnosti systému tyto požadavky řešit</w:t>
      </w:r>
    </w:p>
    <w:p w:rsidR="00F21260" w:rsidRPr="002D64BD" w:rsidRDefault="00F21260" w:rsidP="002D64BD">
      <w:pPr>
        <w:pStyle w:val="Odstavecseseznamem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analýza aplikačního prostředí, ve kterém bude komponenta IS pracovat, návrh nezbytných provozních změn</w:t>
      </w:r>
    </w:p>
    <w:p w:rsidR="00F21260" w:rsidRPr="002D64BD" w:rsidRDefault="00F21260" w:rsidP="002D64BD">
      <w:pPr>
        <w:pStyle w:val="Odstavecseseznamem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analýza prostředí uživatele a stanovení logistiky toku dokladů</w:t>
      </w:r>
    </w:p>
    <w:p w:rsidR="00F21260" w:rsidRPr="002D64BD" w:rsidRDefault="00F21260" w:rsidP="002D64BD">
      <w:pPr>
        <w:pStyle w:val="Odstavecseseznamem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definice stěžejních bodů zpracování a principy jejich realizace v rámci celého IS</w:t>
      </w:r>
    </w:p>
    <w:p w:rsidR="00F21260" w:rsidRPr="002D64BD" w:rsidRDefault="00F21260" w:rsidP="002D64BD">
      <w:pPr>
        <w:pStyle w:val="Odstavecseseznamem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rozbor případných požadovaných zakázkových úprav</w:t>
      </w:r>
    </w:p>
    <w:p w:rsidR="00F21260" w:rsidRPr="002D64BD" w:rsidRDefault="00F21260" w:rsidP="002D64BD">
      <w:pPr>
        <w:pStyle w:val="Odstavecseseznamem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prověření úrovně a parametrů technické základny (je-li součástí dodávky komponenty IS)</w:t>
      </w:r>
    </w:p>
    <w:p w:rsidR="00F21260" w:rsidRPr="002D64BD" w:rsidRDefault="00F21260" w:rsidP="002D64BD">
      <w:pPr>
        <w:pStyle w:val="Odstavecseseznamem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zprovoznění příslušné technické základny</w:t>
      </w:r>
    </w:p>
    <w:p w:rsidR="00F21260" w:rsidRPr="002D64BD" w:rsidRDefault="00F21260" w:rsidP="002D64BD">
      <w:pPr>
        <w:pStyle w:val="Odstavecseseznamem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analýza datové základny a návrh způsobu konverze potřebných dat</w:t>
      </w:r>
    </w:p>
    <w:p w:rsidR="00F21260" w:rsidRPr="002D64BD" w:rsidRDefault="00F21260" w:rsidP="002D64BD">
      <w:pPr>
        <w:pStyle w:val="Odstavecseseznamem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stanovení časového průběhu a kontrolních bodů implementace</w:t>
      </w:r>
    </w:p>
    <w:p w:rsidR="002D64BD" w:rsidRDefault="002D64BD" w:rsidP="002D64BD">
      <w:pPr>
        <w:tabs>
          <w:tab w:val="left" w:pos="567"/>
        </w:tabs>
        <w:spacing w:line="240" w:lineRule="auto"/>
        <w:jc w:val="both"/>
        <w:rPr>
          <w:rFonts w:cs="Calibri"/>
        </w:rPr>
      </w:pPr>
    </w:p>
    <w:p w:rsidR="00F21260" w:rsidRPr="002D64BD" w:rsidRDefault="00F21260" w:rsidP="002D64BD">
      <w:pPr>
        <w:tabs>
          <w:tab w:val="left" w:pos="567"/>
        </w:tabs>
        <w:spacing w:line="240" w:lineRule="auto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Fáze předimplementační přípravy bude ukončena předáním a písemným schválením dokumentu Předimplementační přípravy.</w:t>
      </w:r>
    </w:p>
    <w:p w:rsidR="00F21260" w:rsidRPr="002D64BD" w:rsidRDefault="00F21260" w:rsidP="002D64BD">
      <w:pPr>
        <w:spacing w:line="240" w:lineRule="auto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Vzhledem ke skutečnosti, že předimplementační fáze teprve bude zahájena, je třeba všechny ceny v rozpočtu chápat jako maximální. Vzhledem k naší fundovanosti, si troufáme tvrdit, že rozpočet nebude třeba navyšovat, pokud by se tak ovšem stalo, jsme připraveni dodatečné prostředky investovat z vlastních zdrojů.</w:t>
      </w:r>
    </w:p>
    <w:p w:rsidR="002D64BD" w:rsidRPr="002D64BD" w:rsidRDefault="002D64BD" w:rsidP="002D64BD">
      <w:pPr>
        <w:spacing w:line="240" w:lineRule="auto"/>
        <w:jc w:val="both"/>
        <w:rPr>
          <w:rFonts w:cs="Calibri"/>
          <w:sz w:val="22"/>
          <w:szCs w:val="22"/>
        </w:rPr>
      </w:pPr>
    </w:p>
    <w:p w:rsidR="002D64BD" w:rsidRDefault="002D64BD" w:rsidP="002D64BD">
      <w:pPr>
        <w:spacing w:line="240" w:lineRule="auto"/>
        <w:jc w:val="both"/>
        <w:rPr>
          <w:rFonts w:cs="Calibri"/>
        </w:rPr>
      </w:pPr>
    </w:p>
    <w:p w:rsidR="002D64BD" w:rsidRDefault="002D64BD" w:rsidP="002D64BD">
      <w:pPr>
        <w:spacing w:line="240" w:lineRule="auto"/>
        <w:jc w:val="both"/>
        <w:rPr>
          <w:rFonts w:cs="Calibri"/>
        </w:rPr>
      </w:pPr>
    </w:p>
    <w:p w:rsidR="002D64BD" w:rsidRDefault="002D64BD" w:rsidP="002D64BD">
      <w:pPr>
        <w:spacing w:line="240" w:lineRule="auto"/>
        <w:jc w:val="both"/>
        <w:rPr>
          <w:rFonts w:cs="Calibri"/>
        </w:rPr>
      </w:pPr>
    </w:p>
    <w:p w:rsidR="00F21260" w:rsidRPr="002D64BD" w:rsidRDefault="0063378D" w:rsidP="002D64BD">
      <w:pPr>
        <w:pStyle w:val="Nadpis1"/>
        <w:ind w:left="0" w:firstLine="0"/>
      </w:pPr>
      <w:r>
        <w:t>Implementace IS</w:t>
      </w:r>
    </w:p>
    <w:p w:rsidR="00F21260" w:rsidRPr="002D64BD" w:rsidRDefault="00F21260" w:rsidP="002D64BD">
      <w:pPr>
        <w:spacing w:line="240" w:lineRule="auto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Na základě schválené Předimplementační přípravy budou realizovány implementační práce s následujícím obsahem: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instalace příslušného aplikačního software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rozsáhlé školení klíčových uživatelů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definice dokladových řad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základní školení uživatelů na základě analýzy prostředí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seznámení s tiskovými výstupy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převod datové základny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provedení úvodní parametrizace komponenty IS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dohled nad rutinním provozem po dobu adaptační fáze nasazení (testovací provoz)</w:t>
      </w:r>
    </w:p>
    <w:p w:rsidR="00F21260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protokolární předání komponenty IS do rutinního provozu</w:t>
      </w:r>
    </w:p>
    <w:p w:rsidR="00551F20" w:rsidRDefault="00551F20" w:rsidP="00551F20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551F20" w:rsidRDefault="00551F20" w:rsidP="00551F20">
      <w:pPr>
        <w:pStyle w:val="Nadpis2"/>
        <w:numPr>
          <w:ilvl w:val="1"/>
          <w:numId w:val="47"/>
        </w:numPr>
      </w:pPr>
      <w:r>
        <w:t>převod datové základny – převod dat ze stávajícího IS</w:t>
      </w:r>
    </w:p>
    <w:p w:rsidR="00551F20" w:rsidRDefault="00551F20" w:rsidP="00551F20">
      <w:r>
        <w:t xml:space="preserve">V rámci převodu dat ze současného do nového informačního systému požadujeme převedení </w:t>
      </w:r>
      <w:r w:rsidR="006E6ECE">
        <w:t xml:space="preserve">položek </w:t>
      </w:r>
      <w:r>
        <w:t>minimálně těchto agend:</w:t>
      </w:r>
    </w:p>
    <w:p w:rsidR="00551F20" w:rsidRDefault="00551F20" w:rsidP="00107B53">
      <w:pPr>
        <w:pStyle w:val="Odstavecseseznamem"/>
        <w:numPr>
          <w:ilvl w:val="0"/>
          <w:numId w:val="48"/>
        </w:numPr>
      </w:pPr>
      <w:r>
        <w:t>Adresář firem</w:t>
      </w:r>
      <w:r w:rsidR="00107B53">
        <w:t xml:space="preserve"> </w:t>
      </w:r>
      <w:r w:rsidR="00107B53" w:rsidRPr="00107B53">
        <w:t>vč. kontaktních informací, bankovních účtů, kontaktních osob</w:t>
      </w:r>
      <w:r w:rsidR="00107B53">
        <w:t xml:space="preserve"> a nastaveného kreditního limitu</w:t>
      </w:r>
    </w:p>
    <w:p w:rsidR="00551F20" w:rsidRDefault="00551F20" w:rsidP="00107B53">
      <w:pPr>
        <w:pStyle w:val="Odstavecseseznamem"/>
        <w:numPr>
          <w:ilvl w:val="0"/>
          <w:numId w:val="48"/>
        </w:numPr>
      </w:pPr>
      <w:r>
        <w:t>Faktury vystavené</w:t>
      </w:r>
      <w:r w:rsidR="00107B53">
        <w:t xml:space="preserve"> vč. </w:t>
      </w:r>
      <w:r w:rsidR="00107B53" w:rsidRPr="00107B53">
        <w:t>všech položek v rámci každé faktury se zachováním produktového čísla zboží či služby, popisem a cenami v dané měně</w:t>
      </w:r>
    </w:p>
    <w:p w:rsidR="00551F20" w:rsidRDefault="00551F20" w:rsidP="00107B53">
      <w:pPr>
        <w:pStyle w:val="Odstavecseseznamem"/>
        <w:numPr>
          <w:ilvl w:val="0"/>
          <w:numId w:val="48"/>
        </w:numPr>
      </w:pPr>
      <w:r>
        <w:t>Faktury přijaté</w:t>
      </w:r>
      <w:r w:rsidR="00107B53">
        <w:t xml:space="preserve"> </w:t>
      </w:r>
      <w:r w:rsidR="00107B53" w:rsidRPr="00107B53">
        <w:t>vč. všech položek v rámci každé faktury se zachováním produktového čísla zboží či služby, popisem a cenami v dané měně</w:t>
      </w:r>
    </w:p>
    <w:p w:rsidR="002215CD" w:rsidRDefault="002215CD" w:rsidP="00551F20">
      <w:pPr>
        <w:pStyle w:val="Odstavecseseznamem"/>
        <w:numPr>
          <w:ilvl w:val="0"/>
          <w:numId w:val="48"/>
        </w:numPr>
      </w:pPr>
      <w:r>
        <w:t>Prodej za hotové</w:t>
      </w:r>
      <w:r w:rsidR="00107B53">
        <w:t xml:space="preserve"> vč. všech položek v rámci každého dokladu se zachováním případného produktového čísla zboží či služby, popisem a cenami v dané měně</w:t>
      </w:r>
    </w:p>
    <w:p w:rsidR="002215CD" w:rsidRDefault="002215CD" w:rsidP="00551F20">
      <w:pPr>
        <w:pStyle w:val="Odstavecseseznamem"/>
        <w:numPr>
          <w:ilvl w:val="0"/>
          <w:numId w:val="48"/>
        </w:numPr>
      </w:pPr>
      <w:r>
        <w:t>Platby</w:t>
      </w:r>
      <w:r w:rsidR="00107B53">
        <w:t xml:space="preserve"> hotovostní i bankovní se zachováním informací o pokladně, po</w:t>
      </w:r>
      <w:r w:rsidR="00B2536C">
        <w:t>kladníkovi (uživateli), datech</w:t>
      </w:r>
      <w:r w:rsidR="00107B53">
        <w:t xml:space="preserve"> a v případě bankovních plateb i avízových informací, čísel účtů, původní měně, kurzu (pokud je dostupný) a částce v cílové měně.</w:t>
      </w:r>
    </w:p>
    <w:p w:rsidR="00107B53" w:rsidRDefault="002215CD" w:rsidP="00107B53">
      <w:pPr>
        <w:pStyle w:val="Odstavecseseznamem"/>
        <w:numPr>
          <w:ilvl w:val="0"/>
          <w:numId w:val="48"/>
        </w:numPr>
      </w:pPr>
      <w:r>
        <w:t>Zakázky</w:t>
      </w:r>
      <w:r w:rsidR="00107B53">
        <w:t xml:space="preserve"> </w:t>
      </w:r>
      <w:r w:rsidR="00107B53" w:rsidRPr="00107B53">
        <w:t xml:space="preserve">vč. </w:t>
      </w:r>
      <w:r w:rsidR="00107B53">
        <w:t xml:space="preserve">čísla zakázky, </w:t>
      </w:r>
      <w:r w:rsidR="00107B53" w:rsidRPr="00107B53">
        <w:t>odka</w:t>
      </w:r>
      <w:r w:rsidR="00107B53">
        <w:t xml:space="preserve">zů na související doklady, data zahájení, plánovaného ukončení a reálnému ukončení zakázky, </w:t>
      </w:r>
      <w:r w:rsidR="00107B53" w:rsidRPr="00107B53">
        <w:t>přiděleného uživatele</w:t>
      </w:r>
      <w:r w:rsidR="00107B53">
        <w:t xml:space="preserve"> a obchodníka zakázky.</w:t>
      </w:r>
    </w:p>
    <w:p w:rsidR="002215CD" w:rsidRDefault="002215CD" w:rsidP="00107B53">
      <w:pPr>
        <w:pStyle w:val="Odstavecseseznamem"/>
        <w:numPr>
          <w:ilvl w:val="0"/>
          <w:numId w:val="48"/>
        </w:numPr>
      </w:pPr>
      <w:r>
        <w:t>Uživatelé a jejich identifikační údaje</w:t>
      </w:r>
      <w:r w:rsidR="00107B53">
        <w:t xml:space="preserve"> vč. přístupových oprávnění na úrovní jednotlivých agend a středisek</w:t>
      </w:r>
    </w:p>
    <w:p w:rsidR="002215CD" w:rsidRDefault="002215CD" w:rsidP="00551F20">
      <w:pPr>
        <w:pStyle w:val="Odstavecseseznamem"/>
        <w:numPr>
          <w:ilvl w:val="0"/>
          <w:numId w:val="48"/>
        </w:numPr>
      </w:pPr>
      <w:r>
        <w:t>Nabídky</w:t>
      </w:r>
      <w:r w:rsidR="00E53A6F">
        <w:t xml:space="preserve"> vč. čísla nabídky, obchodníka a uživatele, všech položek v rámci každé nabídky se zachováním případného produktového čísla zboží či služby, popisem a cenami v dané měně</w:t>
      </w:r>
    </w:p>
    <w:p w:rsidR="002215CD" w:rsidRDefault="002215CD" w:rsidP="00551F20">
      <w:pPr>
        <w:pStyle w:val="Odstavecseseznamem"/>
        <w:numPr>
          <w:ilvl w:val="0"/>
          <w:numId w:val="48"/>
        </w:numPr>
      </w:pPr>
      <w:r>
        <w:t>Objednávky přijaté</w:t>
      </w:r>
      <w:r w:rsidR="00E53A6F">
        <w:t xml:space="preserve"> vč. všech položek v rámci každé objednávky se zachováním případného produktového čísla zboží či služby, popisem a cenami v dané měně</w:t>
      </w:r>
    </w:p>
    <w:p w:rsidR="002215CD" w:rsidRDefault="002215CD" w:rsidP="00551F20">
      <w:pPr>
        <w:pStyle w:val="Odstavecseseznamem"/>
        <w:numPr>
          <w:ilvl w:val="0"/>
          <w:numId w:val="48"/>
        </w:numPr>
      </w:pPr>
      <w:r>
        <w:t>Objednávky vydané</w:t>
      </w:r>
      <w:r w:rsidR="00E53A6F">
        <w:t xml:space="preserve"> vč. všech položek v rámci každé objednávky se zachováním případného produktového čísla zboží či služby, popisem a cenami v dané měně</w:t>
      </w:r>
    </w:p>
    <w:p w:rsidR="002215CD" w:rsidRDefault="002215CD" w:rsidP="00551F20">
      <w:pPr>
        <w:pStyle w:val="Odstavecseseznamem"/>
        <w:numPr>
          <w:ilvl w:val="0"/>
          <w:numId w:val="48"/>
        </w:numPr>
      </w:pPr>
      <w:r>
        <w:t>Aktivní obchodní příležitosti</w:t>
      </w:r>
      <w:r w:rsidR="00E53A6F">
        <w:t xml:space="preserve"> vč. popisu, typu obchodní příležitosti, obchodníkovi, potenciálním zákazníkovi, výše předpokládaného výnosu, nákladu a zisku, pravděpodobnost získání a stavu příležitosti</w:t>
      </w:r>
    </w:p>
    <w:p w:rsidR="006E6ECE" w:rsidRDefault="006E6ECE" w:rsidP="00551F20">
      <w:pPr>
        <w:pStyle w:val="Odstavecseseznamem"/>
        <w:numPr>
          <w:ilvl w:val="0"/>
          <w:numId w:val="48"/>
        </w:numPr>
      </w:pPr>
      <w:r>
        <w:t>Stavy skladů a skladových položek</w:t>
      </w:r>
      <w:r w:rsidR="00E53A6F">
        <w:t xml:space="preserve"> vč. evidence pohybů jednotlivých skladových karet a zachování výrobních čísel pro účely evidence záruk prodaného a skladovaného zboží.</w:t>
      </w:r>
    </w:p>
    <w:p w:rsidR="006E6ECE" w:rsidRDefault="006E6ECE" w:rsidP="00551F20">
      <w:pPr>
        <w:pStyle w:val="Odstavecseseznamem"/>
        <w:numPr>
          <w:ilvl w:val="0"/>
          <w:numId w:val="48"/>
        </w:numPr>
      </w:pPr>
      <w:r>
        <w:t>Číselníky zboží</w:t>
      </w:r>
      <w:r w:rsidR="00E53A6F">
        <w:t xml:space="preserve"> se zachováním evidenčního čísla (P/N), názvu, měrné jednotky, atributu evidence výrobních čísel (ANO/NE), záruky a kategorie v číselníku zboží</w:t>
      </w:r>
    </w:p>
    <w:p w:rsidR="00E53A6F" w:rsidRDefault="006E6ECE" w:rsidP="00E53A6F">
      <w:pPr>
        <w:pStyle w:val="Odstavecseseznamem"/>
        <w:numPr>
          <w:ilvl w:val="0"/>
          <w:numId w:val="48"/>
        </w:numPr>
      </w:pPr>
      <w:r>
        <w:lastRenderedPageBreak/>
        <w:t>Mzdová agenda (mzdy, karty zaměstnanců)</w:t>
      </w:r>
      <w:r w:rsidR="00E53A6F">
        <w:t xml:space="preserve"> se zachování povinných nacionálů zaměstnanců nutných k vedení mzdové agendy, historie mezd pro účely výpočtu nemocenské, atp. a navedeným majetkem na jednotlivé pracovníky</w:t>
      </w:r>
    </w:p>
    <w:p w:rsidR="00E53A6F" w:rsidRDefault="00E53A6F" w:rsidP="00E53A6F">
      <w:pPr>
        <w:ind w:left="360"/>
      </w:pPr>
    </w:p>
    <w:p w:rsidR="006E6ECE" w:rsidRPr="00551F20" w:rsidRDefault="006E6ECE" w:rsidP="006E6ECE">
      <w:r>
        <w:t>Převod dat vyžadujeme v rámci celé historie současného IS, tzn. všechny existující záznamy je potřeba převézt. Důvodem je především potřeba historických dat o prodejích</w:t>
      </w:r>
      <w:r w:rsidR="00260602">
        <w:t xml:space="preserve"> a pohybech</w:t>
      </w:r>
      <w:r>
        <w:t>, vzhledem k analytickým výstupům, které po nás vyžadují např. obchodní partneři s</w:t>
      </w:r>
      <w:r w:rsidR="00260602">
        <w:t> </w:t>
      </w:r>
      <w:r>
        <w:t>různými</w:t>
      </w:r>
      <w:r w:rsidR="00260602">
        <w:t xml:space="preserve"> smluvními</w:t>
      </w:r>
      <w:r>
        <w:t xml:space="preserve"> kontrakty.</w:t>
      </w:r>
    </w:p>
    <w:p w:rsidR="002D64BD" w:rsidRPr="002D64BD" w:rsidRDefault="002D64BD" w:rsidP="002D64BD">
      <w:pPr>
        <w:spacing w:line="240" w:lineRule="auto"/>
        <w:jc w:val="both"/>
        <w:rPr>
          <w:rFonts w:cs="Calibri"/>
          <w:sz w:val="22"/>
          <w:szCs w:val="22"/>
        </w:rPr>
      </w:pPr>
    </w:p>
    <w:p w:rsidR="00F21260" w:rsidRPr="002D64BD" w:rsidRDefault="00F21260" w:rsidP="002D64BD">
      <w:pPr>
        <w:spacing w:line="240" w:lineRule="auto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Fáze Implementace bude ukončena vzájemným odsouhlasením a podpisem předávacího (akceptačního) protokolu.</w:t>
      </w:r>
    </w:p>
    <w:p w:rsidR="002D64BD" w:rsidRDefault="002D64BD" w:rsidP="00F21260">
      <w:pPr>
        <w:rPr>
          <w:sz w:val="24"/>
          <w:szCs w:val="24"/>
          <w:u w:val="single"/>
        </w:rPr>
      </w:pPr>
    </w:p>
    <w:p w:rsidR="00F21260" w:rsidRPr="002D64BD" w:rsidRDefault="0063378D" w:rsidP="002D64BD">
      <w:pPr>
        <w:pStyle w:val="Nadpis2"/>
        <w:numPr>
          <w:ilvl w:val="1"/>
          <w:numId w:val="16"/>
        </w:numPr>
        <w:ind w:hanging="735"/>
        <w:rPr>
          <w:szCs w:val="24"/>
        </w:rPr>
      </w:pPr>
      <w:r>
        <w:rPr>
          <w:szCs w:val="24"/>
        </w:rPr>
        <w:t>Vývoj zakázkových úprav IS</w:t>
      </w:r>
    </w:p>
    <w:p w:rsidR="00F21260" w:rsidRPr="002D64BD" w:rsidRDefault="00F21260" w:rsidP="002D64BD">
      <w:pPr>
        <w:spacing w:line="240" w:lineRule="auto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Na základě návrhu zakázkových úprav uvedených v rámci schválené Předimplementační přípravy bude realizován jejich vývoj, testování a nasazení v provozu v následujícím rozsahu: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 xml:space="preserve">vývoj a interní testování 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 xml:space="preserve">instalace betaverze 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 xml:space="preserve">testování 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instalace a konfigurace úpravy v rámci IS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školení uživatelů systému</w:t>
      </w:r>
    </w:p>
    <w:p w:rsidR="002D64BD" w:rsidRPr="002D64BD" w:rsidRDefault="002D64BD" w:rsidP="002D64BD">
      <w:pPr>
        <w:pStyle w:val="Odstavecseseznamem"/>
        <w:spacing w:after="0" w:line="240" w:lineRule="auto"/>
        <w:ind w:left="709"/>
        <w:contextualSpacing w:val="0"/>
        <w:jc w:val="both"/>
        <w:rPr>
          <w:rFonts w:cs="Calibri"/>
          <w:sz w:val="22"/>
          <w:szCs w:val="22"/>
        </w:rPr>
      </w:pPr>
    </w:p>
    <w:p w:rsidR="00F21260" w:rsidRPr="002D64BD" w:rsidRDefault="00F21260" w:rsidP="002D64BD">
      <w:pPr>
        <w:spacing w:line="240" w:lineRule="auto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Vývoj zakázkových úprav bude ukončen vzájemným odsouhlasením funkcionalit a podpisem předávacího (akceptačního) protokolu.</w:t>
      </w:r>
    </w:p>
    <w:p w:rsidR="00F21260" w:rsidRDefault="00F21260" w:rsidP="00F21260">
      <w:pPr>
        <w:rPr>
          <w:sz w:val="24"/>
          <w:szCs w:val="24"/>
          <w:u w:val="single"/>
        </w:rPr>
      </w:pPr>
    </w:p>
    <w:p w:rsidR="00F21260" w:rsidRPr="002D64BD" w:rsidRDefault="0063378D" w:rsidP="002D64BD">
      <w:pPr>
        <w:pStyle w:val="Nadpis2"/>
        <w:numPr>
          <w:ilvl w:val="1"/>
          <w:numId w:val="16"/>
        </w:numPr>
        <w:ind w:hanging="735"/>
        <w:rPr>
          <w:szCs w:val="24"/>
        </w:rPr>
      </w:pPr>
      <w:r>
        <w:rPr>
          <w:szCs w:val="24"/>
        </w:rPr>
        <w:t>Kvantitativní požadavky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Základní licence pro 1 server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44 uživatelů v rámci celé společnosti (26 – Ostrava, 2 – Olomouc, 4 – Brno, 4 – Praha, 4 – Plzeň, potenciálně 4 – Východní Čechy)</w:t>
      </w:r>
    </w:p>
    <w:p w:rsidR="0063378D" w:rsidRDefault="0063378D">
      <w:pPr>
        <w:spacing w:after="0" w:line="240" w:lineRule="auto"/>
      </w:pPr>
      <w:r>
        <w:br w:type="page"/>
      </w:r>
    </w:p>
    <w:p w:rsidR="00F21260" w:rsidRPr="00C35CF8" w:rsidRDefault="0063378D" w:rsidP="00C35CF8">
      <w:pPr>
        <w:pStyle w:val="Nadpis1"/>
        <w:ind w:left="567" w:hanging="567"/>
        <w:jc w:val="both"/>
      </w:pPr>
      <w:r>
        <w:lastRenderedPageBreak/>
        <w:t>Základní vlastnosti, technologie a možnosti rozšíření, které musí nový IS splňovat</w:t>
      </w:r>
      <w:r w:rsidR="00F21260" w:rsidRPr="00C35CF8">
        <w:t xml:space="preserve"> 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Modularita IS;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Škálovatelnost a rozšiřitelnost IS;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Architektura typu client-server;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Webový přístup k hlavním datům a možnost vytváření, revize a uzavírání zakázek;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mobilního přístupu z prostředí platformy Windows Phone 7</w:t>
      </w:r>
      <w:r w:rsidR="00C60FB7">
        <w:rPr>
          <w:rFonts w:cs="Calibri"/>
          <w:sz w:val="22"/>
          <w:szCs w:val="22"/>
        </w:rPr>
        <w:t>.x, 8.x</w:t>
      </w:r>
      <w:r w:rsidRPr="002D64BD">
        <w:rPr>
          <w:rFonts w:cs="Calibri"/>
          <w:sz w:val="22"/>
          <w:szCs w:val="22"/>
        </w:rPr>
        <w:t xml:space="preserve"> s přístupem k hlavním datům a možností vytváření, revize a uzavírání zakázek (společnost aktuálně využívá telefony s </w:t>
      </w:r>
      <w:r w:rsidR="00C60FB7">
        <w:rPr>
          <w:rFonts w:cs="Calibri"/>
          <w:sz w:val="22"/>
          <w:szCs w:val="22"/>
        </w:rPr>
        <w:t>těmito</w:t>
      </w:r>
      <w:r w:rsidRPr="002D64BD">
        <w:rPr>
          <w:rFonts w:cs="Calibri"/>
          <w:sz w:val="22"/>
          <w:szCs w:val="22"/>
        </w:rPr>
        <w:t xml:space="preserve"> operačním</w:t>
      </w:r>
      <w:r w:rsidR="00C60FB7">
        <w:rPr>
          <w:rFonts w:cs="Calibri"/>
          <w:sz w:val="22"/>
          <w:szCs w:val="22"/>
        </w:rPr>
        <w:t>i</w:t>
      </w:r>
      <w:r w:rsidRPr="002D64BD">
        <w:rPr>
          <w:rFonts w:cs="Calibri"/>
          <w:sz w:val="22"/>
          <w:szCs w:val="22"/>
        </w:rPr>
        <w:t xml:space="preserve"> systémem</w:t>
      </w:r>
      <w:r w:rsidR="00C60FB7">
        <w:rPr>
          <w:rFonts w:cs="Calibri"/>
          <w:sz w:val="22"/>
          <w:szCs w:val="22"/>
        </w:rPr>
        <w:t>y</w:t>
      </w:r>
      <w:r w:rsidRPr="002D64BD">
        <w:rPr>
          <w:rFonts w:cs="Calibri"/>
          <w:sz w:val="22"/>
          <w:szCs w:val="22"/>
        </w:rPr>
        <w:t>);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Administrátorský přístup do vývojového prostředí IS včetně možnosti individuálních programových úprav prováděných;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Podpora legislativy ČR;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práce v jazykových mutacích Čeština, Angličtina;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Možnosti tvorby nových individuálních modulů;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Dotazy v reálném čase na data pro současné i minulé účetní období;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Podpora OLAP technologie;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Sledování tzv. „transakčních toků“ (historie v čase) od konečných součtů k originálním zdrojovým dokladům (propadání);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Nastavení povinného nebo nepovinného propojení mezi účty účetní osnovy a nákladovými středisky, nákladovými skupinami, zakázkami a projekty;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Uživatelské nastavení vzhledu formulářů s možnosti uložení;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Uživatelské nastavení filtrů dat a možnosti jeho uložení;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vytvoření (úpravy) vlastního menu;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Integrace s produkty z rodiny Microsoft Office;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Fulltextové vyhledávání v celé databázi IS;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Možnosti vytváření vzorů definovaných uživatelem pro zjednodušené zadávání kmenových dat;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připojení externích dokumentů k dokladům a k dalším záznamům v rámci IS;</w:t>
      </w:r>
    </w:p>
    <w:p w:rsidR="00783CDB" w:rsidRPr="00783CDB" w:rsidRDefault="00F21260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vedení agend více firem (IČ) včetně výměny faktur a skladových dokladů elektron</w:t>
      </w:r>
      <w:r w:rsidR="00783CDB">
        <w:rPr>
          <w:rFonts w:cs="Calibri"/>
          <w:sz w:val="22"/>
          <w:szCs w:val="22"/>
        </w:rPr>
        <w:t>icky a synchronizace sortimentu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t>intuitivní systém ovládání aplikace respektující současné trendy vývoje GUI v rámci OS Windows</w:t>
      </w:r>
    </w:p>
    <w:p w:rsid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t>nativní podpora Windows Vista, 7 a 8</w:t>
      </w:r>
    </w:p>
    <w:p w:rsidR="00783CDB" w:rsidRPr="004E0CD0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alternativní plnohodnotná práce s IS ve webovém prohlížeči na libovolném zařízení připojeném k síti internet (s podporou Java Scriptu)</w:t>
      </w:r>
    </w:p>
    <w:p w:rsidR="00783CDB" w:rsidRPr="004E0CD0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b/>
        </w:rPr>
      </w:pPr>
      <w:r w:rsidRPr="001B149C">
        <w:rPr>
          <w:rFonts w:cs="Calibri"/>
          <w:sz w:val="22"/>
          <w:szCs w:val="22"/>
        </w:rPr>
        <w:t>podpora provozu v rámci terminálového prostředí skrze standardní Remote Desktop i RemoteApp</w:t>
      </w:r>
      <w:r>
        <w:t xml:space="preserve"> =&gt; respektovat nastavení RDP vzhledem k tiskárnám, síťovým jednotkám, atp.</w:t>
      </w:r>
    </w:p>
    <w:p w:rsidR="00783CDB" w:rsidRPr="004E0CD0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b/>
        </w:rPr>
      </w:pPr>
      <w:r>
        <w:t>Možnost automatického přihlášení bez zadávání uživatelského jména a hesla dle rozpoznaného doménového uživatele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t>podpora standardních klávesových zkratek v rámci OS Windows (copy, paste, atp.) + vlastní klávesové zkratky IS, které zrychlí práci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t>podpora práce na dvou a více monitorech (plochách) současně, příp. vícenásobné spuštění aplikace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možnost hromadné instalace </w:t>
      </w:r>
      <w:r w:rsidRPr="001B149C">
        <w:rPr>
          <w:rFonts w:cs="Calibri"/>
          <w:sz w:val="22"/>
          <w:szCs w:val="22"/>
        </w:rPr>
        <w:t>v rámci celého doménového prostředí (MSI instalátor s parametry, atp.)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t xml:space="preserve">podpora 32-bit i 64-bit prostředí OS </w:t>
      </w:r>
      <w:r>
        <w:rPr>
          <w:rFonts w:cs="Calibri"/>
          <w:sz w:val="22"/>
          <w:szCs w:val="22"/>
        </w:rPr>
        <w:t xml:space="preserve">MS </w:t>
      </w:r>
      <w:r w:rsidRPr="001B149C">
        <w:rPr>
          <w:rFonts w:cs="Calibri"/>
          <w:sz w:val="22"/>
          <w:szCs w:val="22"/>
        </w:rPr>
        <w:t>Windows (či Windows Server)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t>databázová platforma Microsoft SQL Server 2008 R2 / 2012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lastRenderedPageBreak/>
        <w:t>plánovač úloh v rámci automatizovaných úkonů v IS – zálohování, rozesílání pohledávek, pipeline, faktur, hromadný tisk vybraných dokladů v zadanou dobu na zadanou tiskárnu, „blokace“ partnerů, kteří mají faktury po splatnosti, atp.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t>kvalitní vzhled výchozích tiskových sestav s možností dodavatelské i administrátorské úpravy v komfortně použitelném editoru tiskových sestav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t>uživatelsky definovatelné menu (samozřejmě respektující zabezpečení – uživatelská práva), které mohu „nasadit“ vybraným uživatelům hromadně buď jako implicitní (mohou sami doupravit, předělat jinak – jen se jim nasadila šablona), nebo jako rezidentní (nemohou uživatelé bez oprávnění změnit)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t>uživatelsky i administrátorsky možná úprava nastavení přehledů a filtrů – zase formou hromadného nasazení nebo individuálního nastavení (implicitní, rezidentní):</w:t>
      </w:r>
    </w:p>
    <w:p w:rsidR="00783CDB" w:rsidRPr="00623527" w:rsidRDefault="00783CDB" w:rsidP="00783CDB">
      <w:pPr>
        <w:pStyle w:val="Odstavecseseznamem"/>
        <w:numPr>
          <w:ilvl w:val="1"/>
          <w:numId w:val="1"/>
        </w:numPr>
        <w:rPr>
          <w:b/>
        </w:rPr>
      </w:pPr>
      <w:r>
        <w:t>přehledy:</w:t>
      </w:r>
    </w:p>
    <w:p w:rsidR="00783CDB" w:rsidRPr="00623527" w:rsidRDefault="00783CDB" w:rsidP="00783CDB">
      <w:pPr>
        <w:pStyle w:val="Odstavecseseznamem"/>
        <w:numPr>
          <w:ilvl w:val="2"/>
          <w:numId w:val="1"/>
        </w:numPr>
        <w:rPr>
          <w:b/>
        </w:rPr>
      </w:pPr>
      <w:r>
        <w:t>výběr sloupců</w:t>
      </w:r>
    </w:p>
    <w:p w:rsidR="00783CDB" w:rsidRPr="00623527" w:rsidRDefault="00783CDB" w:rsidP="00783CDB">
      <w:pPr>
        <w:pStyle w:val="Odstavecseseznamem"/>
        <w:numPr>
          <w:ilvl w:val="2"/>
          <w:numId w:val="1"/>
        </w:numPr>
        <w:rPr>
          <w:b/>
        </w:rPr>
      </w:pPr>
      <w:r>
        <w:t>šířka sloupců</w:t>
      </w:r>
    </w:p>
    <w:p w:rsidR="00783CDB" w:rsidRPr="00623527" w:rsidRDefault="00783CDB" w:rsidP="00783CDB">
      <w:pPr>
        <w:pStyle w:val="Odstavecseseznamem"/>
        <w:numPr>
          <w:ilvl w:val="2"/>
          <w:numId w:val="1"/>
        </w:numPr>
        <w:rPr>
          <w:b/>
        </w:rPr>
      </w:pPr>
      <w:r>
        <w:t>pořadí sloupců</w:t>
      </w:r>
    </w:p>
    <w:p w:rsidR="00783CDB" w:rsidRPr="00623527" w:rsidRDefault="00783CDB" w:rsidP="00783CDB">
      <w:pPr>
        <w:pStyle w:val="Odstavecseseznamem"/>
        <w:numPr>
          <w:ilvl w:val="2"/>
          <w:numId w:val="1"/>
        </w:numPr>
        <w:rPr>
          <w:b/>
        </w:rPr>
      </w:pPr>
      <w:r>
        <w:t>zabarvení řádků dle definovatelných podmínek (např. uhrazené faktury budou podbarveny zeleně, atp.)</w:t>
      </w:r>
    </w:p>
    <w:p w:rsidR="00783CDB" w:rsidRPr="00623527" w:rsidRDefault="00783CDB" w:rsidP="00783CDB">
      <w:pPr>
        <w:pStyle w:val="Odstavecseseznamem"/>
        <w:numPr>
          <w:ilvl w:val="1"/>
          <w:numId w:val="1"/>
        </w:numPr>
        <w:rPr>
          <w:b/>
        </w:rPr>
      </w:pPr>
      <w:r>
        <w:t>filtry:</w:t>
      </w:r>
    </w:p>
    <w:p w:rsidR="00783CDB" w:rsidRPr="004E0CD0" w:rsidRDefault="00783CDB" w:rsidP="00783CDB">
      <w:pPr>
        <w:pStyle w:val="Odstavecseseznamem"/>
        <w:numPr>
          <w:ilvl w:val="2"/>
          <w:numId w:val="1"/>
        </w:numPr>
        <w:rPr>
          <w:b/>
        </w:rPr>
      </w:pPr>
      <w:r>
        <w:t>definice filtrů dle všech hlavních atributů dokladů, a to pomocí logických operátorů a rozsahů, číselných řad a případně typů dokladů (zálohové faktury, klasické faktury, zálohové faktury, výzvy k platbě, atp.)</w:t>
      </w:r>
    </w:p>
    <w:p w:rsidR="00783CDB" w:rsidRDefault="00783CDB" w:rsidP="00783CDB">
      <w:pPr>
        <w:pStyle w:val="Odstavecseseznamem"/>
        <w:numPr>
          <w:ilvl w:val="0"/>
          <w:numId w:val="1"/>
        </w:numPr>
      </w:pPr>
      <w:r>
        <w:t>Dynamické texty – vlastní číselník definovatelných textů, které se zobrazují jako záhlaví a/nebo zápatí tiskových sestav (dokladů), příp. dodatečných textů pod položkami faktur na tiskové sestavě. Např. u faktury vydané je (úvodní) dynamický text z číselníku „Fakturujeme Vám na základě smlouvy o dílo XYZ ze dne 1.1.2014 následující:“, závěrečným textem pak může být doložka o zahrnutí poplatku za ekologickou likvidaci do cen položek. Dodatečnými dynamickými texty může být například v případě v nabídky platnost nabídky, navrhovaná doba splatnosti, atp.</w:t>
      </w:r>
    </w:p>
    <w:p w:rsidR="00783CDB" w:rsidRDefault="00783CDB" w:rsidP="00783CDB">
      <w:pPr>
        <w:pStyle w:val="Odstavecseseznamem"/>
        <w:numPr>
          <w:ilvl w:val="0"/>
          <w:numId w:val="1"/>
        </w:numPr>
      </w:pPr>
      <w:r>
        <w:t>Zobrazení všech dokladů a záznamů napříč všemi lety zpět bez nutnosti přepínání se mezi jednotlivými lety účetní jednotky</w:t>
      </w:r>
    </w:p>
    <w:p w:rsidR="00783CDB" w:rsidRDefault="00783CDB" w:rsidP="00783CDB">
      <w:pPr>
        <w:pStyle w:val="Odstavecseseznamem"/>
        <w:numPr>
          <w:ilvl w:val="0"/>
          <w:numId w:val="1"/>
        </w:numPr>
      </w:pPr>
      <w:r>
        <w:t>Možnost importu a exportu dat všech klíčových agend pomocí CSV, XLS(X), XML. V případě importu/exportu pomocí XLS(X) umožnit výběr sloupců a tabulek, které se mají nahrát, příp. doplnit nebo i přepsat. Tento nástroj bude sloužit především k práci s různorodými ceníky a dalšími zdroji dat.</w:t>
      </w:r>
    </w:p>
    <w:p w:rsidR="00783CDB" w:rsidRDefault="00783CDB" w:rsidP="00783CDB">
      <w:pPr>
        <w:pStyle w:val="Odstavecseseznamem"/>
        <w:numPr>
          <w:ilvl w:val="0"/>
          <w:numId w:val="1"/>
        </w:numPr>
      </w:pPr>
      <w:r>
        <w:t>Příprava na přechod na měnu EUR vč. fixace</w:t>
      </w:r>
    </w:p>
    <w:p w:rsidR="00783CDB" w:rsidRDefault="00783CDB" w:rsidP="00783CDB">
      <w:pPr>
        <w:pStyle w:val="Odstavecseseznamem"/>
        <w:numPr>
          <w:ilvl w:val="0"/>
          <w:numId w:val="1"/>
        </w:numPr>
      </w:pPr>
      <w:r>
        <w:t>Podpora Intrastat</w:t>
      </w:r>
    </w:p>
    <w:p w:rsidR="00783CDB" w:rsidRDefault="00783CDB" w:rsidP="00783CDB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783CDB" w:rsidRPr="001B149C" w:rsidRDefault="00783CDB" w:rsidP="00783CDB">
      <w:pPr>
        <w:pStyle w:val="Nadpis2"/>
        <w:numPr>
          <w:ilvl w:val="1"/>
          <w:numId w:val="35"/>
        </w:numPr>
        <w:ind w:hanging="735"/>
        <w:rPr>
          <w:szCs w:val="24"/>
        </w:rPr>
      </w:pPr>
      <w:r w:rsidRPr="001B149C">
        <w:rPr>
          <w:szCs w:val="24"/>
        </w:rPr>
        <w:t xml:space="preserve">Obecné </w:t>
      </w:r>
      <w:r>
        <w:rPr>
          <w:szCs w:val="24"/>
        </w:rPr>
        <w:t>procesní</w:t>
      </w:r>
      <w:r w:rsidRPr="001B149C">
        <w:rPr>
          <w:szCs w:val="24"/>
        </w:rPr>
        <w:t xml:space="preserve"> </w:t>
      </w:r>
      <w:r>
        <w:rPr>
          <w:szCs w:val="24"/>
        </w:rPr>
        <w:t>požadavky</w:t>
      </w:r>
      <w:r w:rsidRPr="001B149C">
        <w:rPr>
          <w:szCs w:val="24"/>
        </w:rPr>
        <w:t>:</w:t>
      </w:r>
    </w:p>
    <w:p w:rsidR="00783CDB" w:rsidRPr="001B149C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1B149C">
        <w:rPr>
          <w:rFonts w:cs="Calibri"/>
          <w:sz w:val="22"/>
          <w:szCs w:val="22"/>
        </w:rPr>
        <w:t>Flow tvorby dokladů do „kruhu“</w:t>
      </w:r>
    </w:p>
    <w:p w:rsidR="00783CDB" w:rsidRPr="001B149C" w:rsidRDefault="00783CDB" w:rsidP="00783CDB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 w:rsidRPr="001B149C">
        <w:t xml:space="preserve">Zakázka je hlavní agenda systému, ze které musí jít generovat další doklady. Zakázce akorát procesně předchází obchodní příležitost, která je v podstatě na stejné úrovni jako zakázka, ale dokud není zakázkou, neumožňuje navázat další doklady. </w:t>
      </w:r>
    </w:p>
    <w:p w:rsidR="00783CDB" w:rsidRPr="001B149C" w:rsidRDefault="00783CDB" w:rsidP="00783CDB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 w:rsidRPr="001B149C">
        <w:t>Volná tvorba dokladu z dokladu – např. z nabídky vytvořím objednávku přijatou =&gt; fakturu vydanou =&gt; výdejku =&gt; dodací list, atp. – procesně nelze fixovat jeden postup, nicméně ve schématu níže uveden obvyklé postupy v rámci obchodního procesu, resp. jaký doklad je z jakého dokladu vytvářen (převáděn) a předvyplňován.</w:t>
      </w:r>
    </w:p>
    <w:p w:rsidR="00783CDB" w:rsidRDefault="00783CDB" w:rsidP="00783CDB">
      <w:pPr>
        <w:pStyle w:val="Odstavecseseznamem"/>
      </w:pPr>
    </w:p>
    <w:p w:rsidR="00783CDB" w:rsidRDefault="00783CDB" w:rsidP="00783CDB">
      <w:pPr>
        <w:pStyle w:val="Odstavecseseznamem"/>
      </w:pPr>
      <w:r>
        <w:rPr>
          <w:noProof/>
          <w:lang w:eastAsia="cs-CZ"/>
        </w:rPr>
        <w:lastRenderedPageBreak/>
        <w:drawing>
          <wp:inline distT="0" distB="0" distL="0" distR="0">
            <wp:extent cx="5489407" cy="2028825"/>
            <wp:effectExtent l="76200" t="0" r="35093" b="0"/>
            <wp:docPr id="1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83CDB" w:rsidRDefault="00783CDB" w:rsidP="00783CDB">
      <w:pPr>
        <w:pStyle w:val="Odstavecseseznamem"/>
        <w:numPr>
          <w:ilvl w:val="0"/>
          <w:numId w:val="1"/>
        </w:numPr>
      </w:pPr>
      <w:r>
        <w:t>Podpora přímého přístupu do databáze (vč. datového skladu) z aplikace Microsoft Excel a možnost reportingu i s použitím kontingenčních tabulek</w:t>
      </w:r>
    </w:p>
    <w:p w:rsidR="00783CDB" w:rsidRDefault="00783CDB" w:rsidP="00783CDB">
      <w:pPr>
        <w:pStyle w:val="Odstavecseseznamem"/>
        <w:numPr>
          <w:ilvl w:val="0"/>
          <w:numId w:val="1"/>
        </w:numPr>
      </w:pPr>
      <w:r>
        <w:t>Možnost uzamykání dokladů, kdy uživatelé se standardními uživatelskými právy nebudou schopni doklad editovat</w:t>
      </w:r>
    </w:p>
    <w:p w:rsidR="00783CDB" w:rsidRPr="00783CDB" w:rsidRDefault="00783CDB" w:rsidP="00783CDB">
      <w:pPr>
        <w:pStyle w:val="Odstavecseseznamem"/>
        <w:numPr>
          <w:ilvl w:val="0"/>
          <w:numId w:val="1"/>
        </w:numPr>
      </w:pPr>
      <w:r>
        <w:t>Možnost automatizovaného zpracování dávek a procesů vč. možnosti rozesílání e-mailů s přílohami</w:t>
      </w:r>
    </w:p>
    <w:p w:rsidR="002D64BD" w:rsidRPr="002D64BD" w:rsidRDefault="002D64BD" w:rsidP="002D64BD">
      <w:pPr>
        <w:pStyle w:val="Odstavecseseznamem"/>
        <w:spacing w:after="0" w:line="240" w:lineRule="auto"/>
        <w:ind w:left="709"/>
        <w:contextualSpacing w:val="0"/>
        <w:jc w:val="both"/>
        <w:rPr>
          <w:rFonts w:cs="Calibri"/>
          <w:sz w:val="22"/>
          <w:szCs w:val="22"/>
        </w:rPr>
      </w:pPr>
    </w:p>
    <w:p w:rsidR="00F21260" w:rsidRPr="002D64BD" w:rsidRDefault="0063378D" w:rsidP="003847C6">
      <w:pPr>
        <w:pStyle w:val="Nadpis2"/>
        <w:numPr>
          <w:ilvl w:val="1"/>
          <w:numId w:val="33"/>
        </w:numPr>
        <w:ind w:hanging="735"/>
        <w:rPr>
          <w:szCs w:val="24"/>
        </w:rPr>
      </w:pPr>
      <w:r>
        <w:rPr>
          <w:szCs w:val="24"/>
        </w:rPr>
        <w:t>Bezpečnostní požadavky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Individuální nastavení uživatelských práv na úroveň jednotlivých funkčností;</w:t>
      </w:r>
    </w:p>
    <w:p w:rsidR="004E0CD0" w:rsidRDefault="00F21260" w:rsidP="004E0CD0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Individuální nastavení uživatelských práv na úroveň jednotlivých záznamů;</w:t>
      </w:r>
    </w:p>
    <w:p w:rsidR="004E0CD0" w:rsidRPr="004E0CD0" w:rsidRDefault="004E0CD0" w:rsidP="004E0CD0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Vertikální a horizontální kategorizace přístupu uživatelů ve skupinách dle organizační struktury tak, aby byl zajištěn přístup pouze k datům, které má kompetenci daný uživatel vidět, resp. pracovat s nimi. Např. obchodní oddělení neuvidí doklady související se servisním oddělením, atp.</w:t>
      </w:r>
    </w:p>
    <w:p w:rsidR="004E0CD0" w:rsidRPr="004E0CD0" w:rsidRDefault="004E0CD0" w:rsidP="004E0CD0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82303B">
        <w:t xml:space="preserve">Podrobné logování </w:t>
      </w:r>
      <w:r>
        <w:t>činností jednotlivých uživatelů od úrovně prohlížení vybraných záznamů</w:t>
      </w:r>
    </w:p>
    <w:p w:rsidR="004E0CD0" w:rsidRPr="004E0CD0" w:rsidRDefault="004E0CD0" w:rsidP="004E0CD0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Z</w:t>
      </w:r>
      <w:r w:rsidRPr="0082303B">
        <w:t>abezpečen</w:t>
      </w:r>
      <w:r>
        <w:t>á</w:t>
      </w:r>
      <w:r w:rsidRPr="0082303B">
        <w:t xml:space="preserve"> (šifrovan</w:t>
      </w:r>
      <w:r>
        <w:t>á</w:t>
      </w:r>
      <w:r w:rsidRPr="0082303B">
        <w:t>) komunikace mezi s</w:t>
      </w:r>
      <w:r>
        <w:t>erverem a klientskými stanicemi</w:t>
      </w:r>
    </w:p>
    <w:p w:rsidR="004E0CD0" w:rsidRPr="004E0CD0" w:rsidRDefault="004E0CD0" w:rsidP="004E0CD0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Respektování přístupových práv uživatele přidělených z doménového prostředí Active Directory v souvislosti se vkládanými objekty a přílohami k jednotlivým agendám a záznamům v rámci IS</w:t>
      </w:r>
    </w:p>
    <w:p w:rsidR="004E0CD0" w:rsidRPr="004E0CD0" w:rsidRDefault="004E0CD0" w:rsidP="004E0CD0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82303B">
        <w:t>Šifrování uložených i přenášených dat. V případě přenášených dat bude použito zabezpečení pomocí certifikátů</w:t>
      </w:r>
    </w:p>
    <w:p w:rsidR="002D64BD" w:rsidRDefault="002D64BD" w:rsidP="00F21260">
      <w:pPr>
        <w:rPr>
          <w:sz w:val="24"/>
          <w:szCs w:val="24"/>
          <w:u w:val="single"/>
        </w:rPr>
      </w:pPr>
    </w:p>
    <w:p w:rsidR="00F21260" w:rsidRPr="002D64BD" w:rsidRDefault="0063378D" w:rsidP="002D64BD">
      <w:pPr>
        <w:pStyle w:val="Nadpis2"/>
        <w:numPr>
          <w:ilvl w:val="1"/>
          <w:numId w:val="16"/>
        </w:numPr>
        <w:ind w:hanging="735"/>
        <w:rPr>
          <w:szCs w:val="24"/>
        </w:rPr>
      </w:pPr>
      <w:r>
        <w:rPr>
          <w:szCs w:val="24"/>
        </w:rPr>
        <w:t>Odběratelské vztahy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Zobrazení stavu otevřených (aktivních) pohledávek;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Podpora více číselných řad faktur;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On-line přístup k veškerým datům s možností vyhledávání podle hlavních polí;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Podpora analýzy realizovaných zakázek (zisk, termíny, nekompletní plnění);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Evidence jednání se zákazníky o úhradách;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operativně zjistit datum uspokojení (vyřízení) potencionální objednávky;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Při zpoždění plnění zakázky umožnit jednoduchou identifikaci zdroje zpoždění;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doplnění faktury o přílohu s detailním popisem fakturovaných položek;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zadání ad-hoc položek s popisem a cenou;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Monitoring faktur zakázky a poskytování informací pro přípravu další faktury;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Podpora více číselných řad faktur;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Vícejazyčné označení názvu a popisu fakturovaných položek;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Saldo pohledávek dle zákazníka (do splatnosti, po splatnosti);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Přehled prodeje za období;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Prodej dle zákazníka za období;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lastRenderedPageBreak/>
        <w:t>Prodej dle skladové položky za období;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Přijaté zakázky za období;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Zakázky s nedodrženými termíny;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Přehled vydaných faktur;</w:t>
      </w:r>
    </w:p>
    <w:p w:rsidR="00F21260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Historie fakturace a plateb.</w:t>
      </w:r>
    </w:p>
    <w:p w:rsidR="0063378D" w:rsidRPr="002D64BD" w:rsidRDefault="0063378D" w:rsidP="0063378D">
      <w:pPr>
        <w:pStyle w:val="Odstavecseseznamem"/>
        <w:spacing w:after="0" w:line="240" w:lineRule="auto"/>
        <w:ind w:left="709"/>
        <w:contextualSpacing w:val="0"/>
        <w:jc w:val="both"/>
        <w:rPr>
          <w:rFonts w:cs="Calibri"/>
          <w:sz w:val="22"/>
          <w:szCs w:val="22"/>
        </w:rPr>
      </w:pPr>
    </w:p>
    <w:p w:rsidR="00F21260" w:rsidRPr="002D64BD" w:rsidRDefault="0063378D" w:rsidP="002D64BD">
      <w:pPr>
        <w:pStyle w:val="Nadpis2"/>
        <w:numPr>
          <w:ilvl w:val="1"/>
          <w:numId w:val="16"/>
        </w:numPr>
        <w:ind w:hanging="735"/>
        <w:rPr>
          <w:szCs w:val="24"/>
        </w:rPr>
      </w:pPr>
      <w:r>
        <w:rPr>
          <w:szCs w:val="24"/>
        </w:rPr>
        <w:t>Fakturace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vložit / evidovat v systému dodavatelskou fakturu bez zaúčtování;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Rozlišení evidovaných a schválených dodavatelských faktur;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rozložit fakturovanou částku na více účtů / nákladových středisek;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blokování sporné (nejasné) dodavatelské faktury;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vyhledání a výběr dodavatelské faktury podle různých polí;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třídění v seznamu nezaplacených faktur podle dodavatele a čísla faktury;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Systém schvalování faktur v elektronické podobě;</w:t>
      </w:r>
    </w:p>
    <w:p w:rsidR="005025F2" w:rsidRDefault="00F21260" w:rsidP="005025F2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Tisk balíkových štítků, podacích archů</w:t>
      </w:r>
      <w:r w:rsidR="005025F2">
        <w:rPr>
          <w:rFonts w:cs="Calibri"/>
          <w:sz w:val="22"/>
          <w:szCs w:val="22"/>
        </w:rPr>
        <w:t xml:space="preserve"> a export informací o zásilkách</w:t>
      </w:r>
    </w:p>
    <w:p w:rsidR="005025F2" w:rsidRPr="005025F2" w:rsidRDefault="005025F2" w:rsidP="005025F2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Šablony faktur – předdefinovaný typ faktur a možností vyplnění vybraných údajů a uložení jako šablony</w:t>
      </w:r>
    </w:p>
    <w:p w:rsidR="005025F2" w:rsidRPr="005025F2" w:rsidRDefault="005025F2" w:rsidP="005025F2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Automatizace fakturace – generování předdefinovaných faktur v zadaném pravidelně se opakujícím intervalu a doplněním dynamických proměnných (měsíc, rok, den, období, atp.</w:t>
      </w:r>
    </w:p>
    <w:p w:rsidR="005025F2" w:rsidRPr="005025F2" w:rsidRDefault="005025F2" w:rsidP="005025F2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Schvalovací work-flow na přijaté, příp. i vydané faktury – vybrané přijaté faktury mohou být automaticky schvalovány (např. pravidelné paušály, atp.)</w:t>
      </w:r>
    </w:p>
    <w:p w:rsidR="005025F2" w:rsidRPr="005025F2" w:rsidRDefault="005025F2" w:rsidP="005025F2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Párování přijatých faktur se skladovými příjemkami, resp. v případě vztahu 1:N nebo N:1 párování na úrovni položek a celkového krytí</w:t>
      </w:r>
    </w:p>
    <w:p w:rsidR="005025F2" w:rsidRPr="005025F2" w:rsidRDefault="005025F2" w:rsidP="005025F2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Vlastní text (přepsání např. položky zboží), který se zobrazuje/tiskne na faktuře</w:t>
      </w:r>
    </w:p>
    <w:p w:rsidR="005025F2" w:rsidRPr="005025F2" w:rsidRDefault="005025F2" w:rsidP="005025F2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Elektronická fakturace - podpora ISODOC, XML, EDI, elektronicky (certifikátem) podepsané PDF</w:t>
      </w:r>
    </w:p>
    <w:p w:rsidR="005025F2" w:rsidRPr="00F06886" w:rsidRDefault="005025F2" w:rsidP="005025F2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Fakturace v cizích měnách</w:t>
      </w:r>
    </w:p>
    <w:p w:rsidR="00F06886" w:rsidRDefault="00F06886" w:rsidP="00F06886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F06886" w:rsidRPr="00F06886" w:rsidRDefault="00F06886" w:rsidP="00F06886">
      <w:pPr>
        <w:pStyle w:val="Nadpis2"/>
        <w:numPr>
          <w:ilvl w:val="1"/>
          <w:numId w:val="16"/>
        </w:numPr>
        <w:ind w:hanging="735"/>
      </w:pPr>
      <w:r w:rsidRPr="00F06886">
        <w:t>Dodací listy</w:t>
      </w:r>
    </w:p>
    <w:p w:rsidR="00F06886" w:rsidRDefault="00F06886" w:rsidP="00F06886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Samostatné agenda dodacích listů, které slouží jako doklad zákazníkovi (příloha faktury), který v tiskové sestavě podepisuje / potvrzuje.</w:t>
      </w:r>
    </w:p>
    <w:p w:rsidR="00F06886" w:rsidRDefault="00F06886" w:rsidP="00F06886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Vlastní číselná řada dodacích listů</w:t>
      </w:r>
    </w:p>
    <w:p w:rsidR="00F06886" w:rsidRDefault="00F06886" w:rsidP="00F06886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Funkčně nevyskladňuje zboží, pouze se eviduje jako neúčetní doklad a v souhrnu stavu položek faktury / výdejky ukazuje informativní hodnotu, že bylo uvedeno v dodacím listě.</w:t>
      </w:r>
    </w:p>
    <w:p w:rsidR="00F06886" w:rsidRDefault="00F06886" w:rsidP="00F06886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Umožňuje ruční přepsání textu položky, vložení S/N a záruční doby</w:t>
      </w:r>
    </w:p>
    <w:p w:rsidR="00F06886" w:rsidRDefault="00F06886" w:rsidP="00F06886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Aktivní vkládání položek z ceníku / katalogu / skladu (ale stále platí, že neprovádí výdej)</w:t>
      </w:r>
    </w:p>
    <w:p w:rsidR="00F06886" w:rsidRDefault="00F06886" w:rsidP="00F06886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Na sestavě zobrazuje mimo jiné:</w:t>
      </w:r>
    </w:p>
    <w:p w:rsidR="00F06886" w:rsidRDefault="00F06886" w:rsidP="00F06886">
      <w:pPr>
        <w:pStyle w:val="Odstavecseseznamem"/>
        <w:numPr>
          <w:ilvl w:val="1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Číslo dodacího listu (bar code)</w:t>
      </w:r>
    </w:p>
    <w:p w:rsidR="00F06886" w:rsidRDefault="00F06886" w:rsidP="00F06886">
      <w:pPr>
        <w:pStyle w:val="Odstavecseseznamem"/>
        <w:numPr>
          <w:ilvl w:val="1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Číslo objednávky partnera</w:t>
      </w:r>
    </w:p>
    <w:p w:rsidR="00F06886" w:rsidRDefault="00F06886" w:rsidP="00F06886">
      <w:pPr>
        <w:pStyle w:val="Odstavecseseznamem"/>
        <w:numPr>
          <w:ilvl w:val="1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Číslo zakázky</w:t>
      </w:r>
    </w:p>
    <w:p w:rsidR="00F06886" w:rsidRDefault="00F06886" w:rsidP="00F06886">
      <w:pPr>
        <w:pStyle w:val="Odstavecseseznamem"/>
        <w:numPr>
          <w:ilvl w:val="1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Datum objednávky partnera</w:t>
      </w:r>
    </w:p>
    <w:p w:rsidR="00F06886" w:rsidRDefault="00F06886" w:rsidP="00F06886">
      <w:pPr>
        <w:pStyle w:val="Odstavecseseznamem"/>
        <w:numPr>
          <w:ilvl w:val="1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Položkový soupis s/bez P/N, zárukou, S/N</w:t>
      </w:r>
    </w:p>
    <w:p w:rsidR="00F06886" w:rsidRDefault="00F06886" w:rsidP="00F06886">
      <w:pPr>
        <w:pStyle w:val="Odstavecseseznamem"/>
        <w:numPr>
          <w:ilvl w:val="1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Dodací adresu jako primární, fakturační jako sekundární</w:t>
      </w:r>
    </w:p>
    <w:p w:rsidR="00F06886" w:rsidRPr="00F06886" w:rsidRDefault="00F06886" w:rsidP="00F06886">
      <w:pPr>
        <w:pStyle w:val="Odstavecseseznamem"/>
        <w:numPr>
          <w:ilvl w:val="1"/>
          <w:numId w:val="44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F06886">
        <w:rPr>
          <w:rFonts w:cs="Calibri"/>
          <w:sz w:val="22"/>
          <w:szCs w:val="22"/>
        </w:rPr>
        <w:t>Číslo faktury (pokud již existuje, volitelné)</w:t>
      </w:r>
    </w:p>
    <w:p w:rsidR="005025F2" w:rsidRPr="005025F2" w:rsidRDefault="005025F2" w:rsidP="005025F2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2D64BD" w:rsidRPr="002D64BD" w:rsidRDefault="002D64BD" w:rsidP="002D64BD">
      <w:pPr>
        <w:pStyle w:val="Odstavecseseznamem"/>
        <w:spacing w:after="0" w:line="240" w:lineRule="auto"/>
        <w:ind w:left="709"/>
        <w:contextualSpacing w:val="0"/>
        <w:jc w:val="both"/>
        <w:rPr>
          <w:rFonts w:cs="Calibri"/>
          <w:sz w:val="22"/>
          <w:szCs w:val="22"/>
        </w:rPr>
      </w:pPr>
    </w:p>
    <w:p w:rsidR="00F21260" w:rsidRPr="002D64BD" w:rsidRDefault="0063378D" w:rsidP="002D64BD">
      <w:pPr>
        <w:pStyle w:val="Nadpis2"/>
        <w:numPr>
          <w:ilvl w:val="1"/>
          <w:numId w:val="16"/>
        </w:numPr>
        <w:ind w:hanging="735"/>
        <w:rPr>
          <w:szCs w:val="24"/>
        </w:rPr>
      </w:pPr>
      <w:r>
        <w:rPr>
          <w:szCs w:val="24"/>
        </w:rPr>
        <w:t>Skladové hospodářství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evidovat vícero skladů;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lastRenderedPageBreak/>
        <w:t>Možnost vedení různých položkových dimenzí - barva, provedení, formát;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Evidence skladových zásob podle jednotlivých dimenzí a jejich kombinací – kategorizace sortimentu;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Poskytování informací k důkladnému mapování všech toků skladových položek;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Možnost vyvolat informace o transakcích, provedených s položkou ve stanoveném časovém období;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Sledování minimálního a maximálního množství;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Rezervace položek na objednávku;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Informace o skladových pohybech za stanovené období;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Podpora přecenění skladu;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Podpora provádění skladových inventur;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Informace o volně použitelném množství;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Informace o množství objednaném u dodavatelů;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Informaci o množství blokovaném pro přijatou objednávku;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Automatický dopočet množství pro objednání;</w:t>
      </w:r>
    </w:p>
    <w:p w:rsidR="00783CDB" w:rsidRDefault="00F21260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Přiřazení dodavat</w:t>
      </w:r>
      <w:r w:rsidR="00783CDB">
        <w:rPr>
          <w:rFonts w:cs="Calibri"/>
          <w:sz w:val="22"/>
          <w:szCs w:val="22"/>
        </w:rPr>
        <w:t>elů + doba dodávky od objednání</w:t>
      </w:r>
    </w:p>
    <w:p w:rsid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783CDB">
        <w:rPr>
          <w:rFonts w:cs="Calibri"/>
          <w:sz w:val="22"/>
          <w:szCs w:val="22"/>
        </w:rPr>
        <w:t>Samostatné agenda skladových dokladů (příjemka, výdejka, převodka)</w:t>
      </w:r>
    </w:p>
    <w:p w:rsid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783CDB">
        <w:rPr>
          <w:rFonts w:cs="Calibri"/>
          <w:sz w:val="22"/>
          <w:szCs w:val="22"/>
        </w:rPr>
        <w:t>Možnost tisků (aktuální stav, minulý stav) s možností uživatelsky definovaných dat pro tisk</w:t>
      </w:r>
    </w:p>
    <w:p w:rsid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783CDB">
        <w:rPr>
          <w:rFonts w:cs="Calibri"/>
          <w:sz w:val="22"/>
          <w:szCs w:val="22"/>
        </w:rPr>
        <w:t>Evidence výrobních čísel</w:t>
      </w:r>
    </w:p>
    <w:p w:rsid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783CDB">
        <w:rPr>
          <w:rFonts w:cs="Calibri"/>
          <w:sz w:val="22"/>
          <w:szCs w:val="22"/>
        </w:rPr>
        <w:t>Hromadná manipulace ve skladu</w:t>
      </w:r>
    </w:p>
    <w:p w:rsid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783CDB">
        <w:rPr>
          <w:rFonts w:cs="Calibri"/>
          <w:sz w:val="22"/>
          <w:szCs w:val="22"/>
        </w:rPr>
        <w:t>Možnost přístupů k určitým skladům pro vybrané uživatele</w:t>
      </w:r>
    </w:p>
    <w:p w:rsid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783CDB">
        <w:rPr>
          <w:rFonts w:cs="Calibri"/>
          <w:sz w:val="22"/>
          <w:szCs w:val="22"/>
        </w:rPr>
        <w:t>Inventury</w:t>
      </w:r>
    </w:p>
    <w:p w:rsid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783CDB">
        <w:rPr>
          <w:rFonts w:cs="Calibri"/>
          <w:sz w:val="22"/>
          <w:szCs w:val="22"/>
        </w:rPr>
        <w:t>Podpora fyzických a logických skladů</w:t>
      </w:r>
    </w:p>
    <w:p w:rsid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783CDB">
        <w:rPr>
          <w:rFonts w:cs="Calibri"/>
          <w:sz w:val="22"/>
          <w:szCs w:val="22"/>
        </w:rPr>
        <w:t>Možnost nastavení způsobu účtování skaldových zásob u jednotlivých skladů</w:t>
      </w:r>
    </w:p>
    <w:p w:rsid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783CDB">
        <w:rPr>
          <w:rFonts w:cs="Calibri"/>
          <w:sz w:val="22"/>
          <w:szCs w:val="22"/>
        </w:rPr>
        <w:t>Podpora FIFO</w:t>
      </w:r>
    </w:p>
    <w:p w:rsidR="00783CDB" w:rsidRPr="00783CDB" w:rsidRDefault="00783CDB" w:rsidP="00783CDB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783CDB">
        <w:rPr>
          <w:rFonts w:cs="Calibri"/>
          <w:sz w:val="22"/>
          <w:szCs w:val="22"/>
        </w:rPr>
        <w:t>Podpora zneplatňování vybraných skladů a povolení záporného stavu u jednotlivých skladů</w:t>
      </w:r>
    </w:p>
    <w:p w:rsidR="00783CDB" w:rsidRDefault="00783CDB" w:rsidP="00783CDB">
      <w:pPr>
        <w:pStyle w:val="Odstavecseseznamem"/>
        <w:spacing w:after="0" w:line="240" w:lineRule="auto"/>
        <w:ind w:left="709"/>
        <w:contextualSpacing w:val="0"/>
        <w:jc w:val="both"/>
        <w:rPr>
          <w:rFonts w:cs="Calibri"/>
          <w:sz w:val="22"/>
          <w:szCs w:val="22"/>
        </w:rPr>
      </w:pPr>
    </w:p>
    <w:p w:rsidR="00F06886" w:rsidRDefault="00F06886" w:rsidP="00F06886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F06886" w:rsidRDefault="00F06886" w:rsidP="00F06886">
      <w:pPr>
        <w:spacing w:after="0" w:line="240" w:lineRule="auto"/>
        <w:jc w:val="both"/>
        <w:rPr>
          <w:rFonts w:cs="Calibri"/>
          <w:b/>
          <w:sz w:val="22"/>
          <w:szCs w:val="22"/>
        </w:rPr>
      </w:pPr>
    </w:p>
    <w:p w:rsidR="00F06886" w:rsidRPr="00F06886" w:rsidRDefault="00F06886" w:rsidP="00F06886">
      <w:pPr>
        <w:pStyle w:val="Nadpis2"/>
        <w:numPr>
          <w:ilvl w:val="1"/>
          <w:numId w:val="16"/>
        </w:numPr>
        <w:ind w:hanging="735"/>
      </w:pPr>
      <w:r w:rsidRPr="00F06886">
        <w:t>Nabídky</w:t>
      </w:r>
    </w:p>
    <w:p w:rsidR="00F06886" w:rsidRDefault="00F06886" w:rsidP="00F06886">
      <w:pPr>
        <w:pStyle w:val="Odstavecseseznamem"/>
        <w:numPr>
          <w:ilvl w:val="0"/>
          <w:numId w:val="1"/>
        </w:numPr>
      </w:pPr>
      <w:r>
        <w:t>Automatizovaná tvorba nabídky – jednotlivě anebo z předchozího dokumentu (jednání, úkol, plán času)</w:t>
      </w:r>
    </w:p>
    <w:p w:rsidR="00F06886" w:rsidRDefault="00F06886" w:rsidP="00F06886">
      <w:pPr>
        <w:pStyle w:val="Odstavecseseznamem"/>
        <w:numPr>
          <w:ilvl w:val="0"/>
          <w:numId w:val="1"/>
        </w:numPr>
      </w:pPr>
      <w:r>
        <w:t>Více tiskových výstupů (jiné měny, jazykové mutace)</w:t>
      </w:r>
    </w:p>
    <w:p w:rsidR="00F06886" w:rsidRDefault="00F06886" w:rsidP="00F06886">
      <w:pPr>
        <w:pStyle w:val="Odstavecseseznamem"/>
        <w:numPr>
          <w:ilvl w:val="0"/>
          <w:numId w:val="1"/>
        </w:numPr>
      </w:pPr>
      <w:r>
        <w:t>Vyhodnocení úspěšnosti nabídek pro další rozhodování managementu</w:t>
      </w:r>
    </w:p>
    <w:p w:rsidR="00F06886" w:rsidRDefault="00F06886" w:rsidP="00F06886">
      <w:pPr>
        <w:pStyle w:val="Odstavecseseznamem"/>
        <w:numPr>
          <w:ilvl w:val="0"/>
          <w:numId w:val="1"/>
        </w:numPr>
      </w:pPr>
      <w:r>
        <w:t>Možnost rychlého odeslání nabídky emailem</w:t>
      </w:r>
    </w:p>
    <w:p w:rsidR="00F06886" w:rsidRDefault="00F06886" w:rsidP="00F06886">
      <w:pPr>
        <w:pStyle w:val="Odstavecseseznamem"/>
        <w:numPr>
          <w:ilvl w:val="0"/>
          <w:numId w:val="1"/>
        </w:numPr>
      </w:pPr>
      <w:r>
        <w:t>Podpora tzv. „nabídkového řízení“ – evidence změn, variant a úprav nabídky v čase s uvedením důvodů výsledků nabídky u každé z nich</w:t>
      </w:r>
    </w:p>
    <w:p w:rsidR="00F06886" w:rsidRPr="00F06886" w:rsidRDefault="00F06886" w:rsidP="00F06886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2D64BD" w:rsidRPr="002D64BD" w:rsidRDefault="002D64BD" w:rsidP="002D64BD">
      <w:pPr>
        <w:pStyle w:val="Odstavecseseznamem"/>
        <w:spacing w:after="0" w:line="240" w:lineRule="auto"/>
        <w:ind w:left="709"/>
        <w:contextualSpacing w:val="0"/>
        <w:jc w:val="both"/>
        <w:rPr>
          <w:rFonts w:cs="Calibri"/>
          <w:sz w:val="22"/>
          <w:szCs w:val="22"/>
        </w:rPr>
      </w:pPr>
    </w:p>
    <w:p w:rsidR="00F21260" w:rsidRPr="002D64BD" w:rsidRDefault="0063378D" w:rsidP="002D64BD">
      <w:pPr>
        <w:pStyle w:val="Nadpis2"/>
        <w:numPr>
          <w:ilvl w:val="1"/>
          <w:numId w:val="16"/>
        </w:numPr>
        <w:ind w:hanging="735"/>
        <w:rPr>
          <w:szCs w:val="24"/>
        </w:rPr>
      </w:pPr>
      <w:r>
        <w:rPr>
          <w:szCs w:val="24"/>
        </w:rPr>
        <w:t>Zakázky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Provázanost identifikace zakázky na všechny související agendy;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Seskupování objednávek a dalších dokladů pod zakázkou;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Víceúrovňové seskupování zakázek;</w:t>
      </w:r>
    </w:p>
    <w:p w:rsidR="008A5456" w:rsidRDefault="00F21260" w:rsidP="008A545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Sledování zakázek s volitelnou úrovní detailu (propadání).</w:t>
      </w:r>
    </w:p>
    <w:p w:rsidR="00762705" w:rsidRPr="008A5456" w:rsidRDefault="00762705" w:rsidP="008A545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t>Zakázka je stěžejní bod, na který odkazují veškeré související doklady, či doklady položek. Zakázka se uvádí ve všech dokladech:</w:t>
      </w:r>
    </w:p>
    <w:p w:rsidR="00762705" w:rsidRPr="00AF4455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Nabídka (vazba na zakázku se naváže, jakmile je z nabídky vytvořena objednávka)</w:t>
      </w:r>
    </w:p>
    <w:p w:rsidR="00762705" w:rsidRPr="00AF4455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lastRenderedPageBreak/>
        <w:t>Objednávka přijatá, vydaná (často vybrané řádky)</w:t>
      </w:r>
    </w:p>
    <w:p w:rsidR="00762705" w:rsidRPr="00AF4455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Faktura přijatá (většinou vybrané řádky), vydaná</w:t>
      </w:r>
    </w:p>
    <w:p w:rsidR="00762705" w:rsidRPr="00AF4455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Platba (pře vazbu na fakturu)</w:t>
      </w:r>
    </w:p>
    <w:p w:rsidR="00762705" w:rsidRPr="00AA0100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Dodací list, výdejky, příjemky</w:t>
      </w:r>
    </w:p>
    <w:p w:rsidR="00762705" w:rsidRPr="00AA0100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Poptávky přijaté</w:t>
      </w:r>
    </w:p>
    <w:p w:rsidR="00762705" w:rsidRPr="00AF4455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Obchodní příležitosti (viz samostatný bod)</w:t>
      </w:r>
    </w:p>
    <w:p w:rsidR="00762705" w:rsidRPr="00AF4455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Rozdělení výnosů / nákladů (viz samostatný bod)</w:t>
      </w:r>
      <w:r>
        <w:br/>
      </w:r>
    </w:p>
    <w:p w:rsidR="00762705" w:rsidRPr="001B149C" w:rsidRDefault="00762705" w:rsidP="00762705">
      <w:pPr>
        <w:pStyle w:val="Odstavecseseznamem"/>
        <w:numPr>
          <w:ilvl w:val="0"/>
          <w:numId w:val="1"/>
        </w:numPr>
        <w:jc w:val="both"/>
      </w:pPr>
      <w:r>
        <w:t>Zakázka musí poskytovat úplný a jednoduchý přehled bez nutnosti rozklikávat další agendy:</w:t>
      </w:r>
    </w:p>
    <w:p w:rsidR="00762705" w:rsidRPr="00AF4455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Finanční přehled:</w:t>
      </w:r>
    </w:p>
    <w:p w:rsidR="00762705" w:rsidRPr="00AF4455" w:rsidRDefault="00762705" w:rsidP="00762705">
      <w:pPr>
        <w:pStyle w:val="Odstavecseseznamem"/>
        <w:numPr>
          <w:ilvl w:val="2"/>
          <w:numId w:val="1"/>
        </w:numPr>
        <w:jc w:val="both"/>
        <w:rPr>
          <w:b/>
        </w:rPr>
      </w:pPr>
      <w:r>
        <w:t>Plánovaných výnosech (zadává se buďto ručně nebo vychází z nabídky / objednávky)</w:t>
      </w:r>
    </w:p>
    <w:p w:rsidR="00762705" w:rsidRPr="00AF4455" w:rsidRDefault="00762705" w:rsidP="00762705">
      <w:pPr>
        <w:pStyle w:val="Odstavecseseznamem"/>
        <w:numPr>
          <w:ilvl w:val="2"/>
          <w:numId w:val="1"/>
        </w:numPr>
        <w:jc w:val="both"/>
        <w:rPr>
          <w:b/>
        </w:rPr>
      </w:pPr>
      <w:r>
        <w:t>Plánovaných nákladech (ručně nebo z nákupních cen / vydaných objednávek)</w:t>
      </w:r>
    </w:p>
    <w:p w:rsidR="00762705" w:rsidRPr="00AF4455" w:rsidRDefault="00762705" w:rsidP="00762705">
      <w:pPr>
        <w:pStyle w:val="Odstavecseseznamem"/>
        <w:numPr>
          <w:ilvl w:val="2"/>
          <w:numId w:val="1"/>
        </w:numPr>
        <w:jc w:val="both"/>
        <w:rPr>
          <w:b/>
        </w:rPr>
      </w:pPr>
      <w:r>
        <w:t>Plánovaná bilance (předpokládaný zisk/ztráta – rozdíl výše uvedených)</w:t>
      </w:r>
    </w:p>
    <w:p w:rsidR="00762705" w:rsidRPr="00AF4455" w:rsidRDefault="00762705" w:rsidP="00762705">
      <w:pPr>
        <w:pStyle w:val="Odstavecseseznamem"/>
        <w:numPr>
          <w:ilvl w:val="2"/>
          <w:numId w:val="1"/>
        </w:numPr>
        <w:jc w:val="both"/>
        <w:rPr>
          <w:b/>
        </w:rPr>
      </w:pPr>
      <w:r>
        <w:t>Reálných výnosech (faktura vydaná)</w:t>
      </w:r>
    </w:p>
    <w:p w:rsidR="00762705" w:rsidRPr="00AF4455" w:rsidRDefault="00762705" w:rsidP="00762705">
      <w:pPr>
        <w:pStyle w:val="Odstavecseseznamem"/>
        <w:numPr>
          <w:ilvl w:val="2"/>
          <w:numId w:val="1"/>
        </w:numPr>
        <w:jc w:val="both"/>
        <w:rPr>
          <w:b/>
        </w:rPr>
      </w:pPr>
      <w:r>
        <w:t>Reálných nákladech (faktura přijatá / skladová výdejka)</w:t>
      </w:r>
    </w:p>
    <w:p w:rsidR="00762705" w:rsidRPr="00225B32" w:rsidRDefault="00762705" w:rsidP="00762705">
      <w:pPr>
        <w:pStyle w:val="Odstavecseseznamem"/>
        <w:numPr>
          <w:ilvl w:val="2"/>
          <w:numId w:val="1"/>
        </w:numPr>
        <w:jc w:val="both"/>
        <w:rPr>
          <w:b/>
        </w:rPr>
      </w:pPr>
      <w:r>
        <w:t>Reálná bilance (skutečný zisk/ztráta – rozdíl výše uvedených)</w:t>
      </w:r>
    </w:p>
    <w:p w:rsidR="00762705" w:rsidRPr="00AF4455" w:rsidRDefault="00762705" w:rsidP="00762705">
      <w:pPr>
        <w:pStyle w:val="Odstavecseseznamem"/>
        <w:numPr>
          <w:ilvl w:val="2"/>
          <w:numId w:val="1"/>
        </w:numPr>
        <w:rPr>
          <w:b/>
        </w:rPr>
      </w:pPr>
      <w:r>
        <w:t>Reální bilance zisku/ztráty v % - marže</w:t>
      </w:r>
    </w:p>
    <w:p w:rsidR="00762705" w:rsidRPr="00AA0100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Datum zahájení</w:t>
      </w:r>
    </w:p>
    <w:p w:rsidR="00762705" w:rsidRPr="00AA0100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Datum ukončení</w:t>
      </w:r>
    </w:p>
    <w:p w:rsidR="00762705" w:rsidRPr="00AA0100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Předpokládané datum ukončení</w:t>
      </w:r>
    </w:p>
    <w:p w:rsidR="00762705" w:rsidRPr="00AA0100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Zákazníka + kontaktní osobu (osoby)</w:t>
      </w:r>
    </w:p>
    <w:p w:rsidR="00762705" w:rsidRPr="00AA0100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Jednoznačné číslo z číselné řady zakázek</w:t>
      </w:r>
    </w:p>
    <w:p w:rsidR="00762705" w:rsidRPr="00AA0100" w:rsidRDefault="00762705" w:rsidP="00762705">
      <w:pPr>
        <w:pStyle w:val="Odstavecseseznamem"/>
        <w:numPr>
          <w:ilvl w:val="1"/>
          <w:numId w:val="1"/>
        </w:numPr>
        <w:rPr>
          <w:b/>
        </w:rPr>
      </w:pPr>
      <w:r>
        <w:t>typ zakázky – obchodní, servisní (každá samostatnou číselnou řadu)</w:t>
      </w:r>
    </w:p>
    <w:p w:rsidR="00762705" w:rsidRPr="00225B32" w:rsidRDefault="00762705" w:rsidP="00762705">
      <w:pPr>
        <w:pStyle w:val="Odstavecseseznamem"/>
        <w:numPr>
          <w:ilvl w:val="1"/>
          <w:numId w:val="1"/>
        </w:numPr>
      </w:pPr>
      <w:r w:rsidRPr="00225B32">
        <w:t>středisko</w:t>
      </w:r>
    </w:p>
    <w:p w:rsidR="00762705" w:rsidRPr="00225B32" w:rsidRDefault="00762705" w:rsidP="00762705">
      <w:pPr>
        <w:pStyle w:val="Odstavecseseznamem"/>
        <w:numPr>
          <w:ilvl w:val="1"/>
          <w:numId w:val="1"/>
        </w:numPr>
        <w:jc w:val="both"/>
      </w:pPr>
      <w:r w:rsidRPr="00225B32">
        <w:t>osoba (zaměstnanec), která vytvořila zakázku</w:t>
      </w:r>
    </w:p>
    <w:p w:rsidR="00762705" w:rsidRPr="00225B32" w:rsidRDefault="00762705" w:rsidP="00762705">
      <w:pPr>
        <w:pStyle w:val="Odstavecseseznamem"/>
        <w:numPr>
          <w:ilvl w:val="1"/>
          <w:numId w:val="1"/>
        </w:numPr>
        <w:jc w:val="both"/>
      </w:pPr>
      <w:r w:rsidRPr="00225B32">
        <w:t>osoba (zaměstnanec), který zodpovídá za zakázku</w:t>
      </w:r>
    </w:p>
    <w:p w:rsidR="00762705" w:rsidRPr="00225B32" w:rsidRDefault="00762705" w:rsidP="00762705">
      <w:pPr>
        <w:pStyle w:val="Odstavecseseznamem"/>
        <w:numPr>
          <w:ilvl w:val="1"/>
          <w:numId w:val="1"/>
        </w:numPr>
        <w:jc w:val="both"/>
      </w:pPr>
      <w:r w:rsidRPr="00225B32">
        <w:t>podřízená / nadřízená zakázka (jedna zakázka může mít „pod sebou“ více zakázek, finanční přehledy pak zobrazují podřízené zakázky a každá podřízená zakázka svoje</w:t>
      </w:r>
      <w:r>
        <w:t xml:space="preserve"> vlastní</w:t>
      </w:r>
      <w:r w:rsidRPr="00225B32">
        <w:t xml:space="preserve"> přehledy</w:t>
      </w:r>
    </w:p>
    <w:p w:rsidR="00762705" w:rsidRDefault="00762705" w:rsidP="00762705">
      <w:pPr>
        <w:pStyle w:val="Odstavecseseznamem"/>
        <w:numPr>
          <w:ilvl w:val="1"/>
          <w:numId w:val="1"/>
        </w:numPr>
      </w:pPr>
      <w:r w:rsidRPr="00225B32">
        <w:t>stav zakázky (číselník stavů</w:t>
      </w:r>
      <w:r>
        <w:t xml:space="preserve"> zakázky</w:t>
      </w:r>
      <w:r w:rsidRPr="00225B32">
        <w:t>)</w:t>
      </w:r>
    </w:p>
    <w:p w:rsidR="00762705" w:rsidRDefault="00762705" w:rsidP="00762705">
      <w:pPr>
        <w:pStyle w:val="Odstavecseseznamem"/>
        <w:ind w:left="2160"/>
      </w:pPr>
    </w:p>
    <w:p w:rsidR="00762705" w:rsidRDefault="00762705" w:rsidP="00762705">
      <w:pPr>
        <w:pStyle w:val="Odstavecseseznamem"/>
        <w:numPr>
          <w:ilvl w:val="0"/>
          <w:numId w:val="1"/>
        </w:numPr>
      </w:pPr>
      <w:r>
        <w:t>Analytika nad zakázkami:</w:t>
      </w:r>
    </w:p>
    <w:p w:rsidR="00762705" w:rsidRDefault="00762705" w:rsidP="00762705">
      <w:pPr>
        <w:pStyle w:val="Odstavecseseznamem"/>
        <w:numPr>
          <w:ilvl w:val="1"/>
          <w:numId w:val="1"/>
        </w:numPr>
        <w:jc w:val="both"/>
      </w:pPr>
      <w:r>
        <w:t xml:space="preserve">Vyhodnocování ziskovosti, nákladů a výnosů dle osob, středisek, firmy, zákazníků, atp. </w:t>
      </w:r>
    </w:p>
    <w:p w:rsidR="00762705" w:rsidRDefault="00762705" w:rsidP="00762705">
      <w:pPr>
        <w:pStyle w:val="Odstavecseseznamem"/>
        <w:numPr>
          <w:ilvl w:val="1"/>
          <w:numId w:val="1"/>
        </w:numPr>
      </w:pPr>
      <w:r>
        <w:t>Přehledná reportingová sestava (nejen tisk, např. i XLSX)</w:t>
      </w:r>
    </w:p>
    <w:p w:rsidR="00762705" w:rsidRDefault="00762705" w:rsidP="00762705">
      <w:pPr>
        <w:pStyle w:val="Odstavecseseznamem"/>
        <w:numPr>
          <w:ilvl w:val="1"/>
          <w:numId w:val="1"/>
        </w:numPr>
        <w:jc w:val="both"/>
      </w:pPr>
      <w:r>
        <w:t>Statistiky nad zakázkami jsou zásadním výstupem pro hodnocení zaměstnanců / středisek. Tyto údaje budou vstupovat do algoritmu, kde definujeme poměrnou část zisku do mzdy zaměstnanců – zatím se řeší manuálně.</w:t>
      </w:r>
      <w:r w:rsidRPr="00B40BE6">
        <w:rPr>
          <w:noProof/>
          <w:lang w:eastAsia="cs-CZ"/>
        </w:rPr>
        <w:t xml:space="preserve"> </w:t>
      </w:r>
    </w:p>
    <w:p w:rsidR="00762705" w:rsidRDefault="00762705" w:rsidP="00762705">
      <w:pPr>
        <w:jc w:val="both"/>
      </w:pPr>
    </w:p>
    <w:p w:rsidR="00762705" w:rsidRDefault="00762705" w:rsidP="00762705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4476750" cy="1924050"/>
            <wp:effectExtent l="0" t="0" r="0" b="0"/>
            <wp:docPr id="3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762705" w:rsidRDefault="00762705" w:rsidP="00762705">
      <w:pPr>
        <w:pStyle w:val="Odstavecseseznamem"/>
        <w:ind w:left="2160"/>
        <w:jc w:val="center"/>
      </w:pPr>
    </w:p>
    <w:p w:rsidR="00F06886" w:rsidRPr="00F06886" w:rsidRDefault="00F06886" w:rsidP="00F06886">
      <w:pPr>
        <w:pStyle w:val="Nadpis2"/>
        <w:numPr>
          <w:ilvl w:val="1"/>
          <w:numId w:val="16"/>
        </w:numPr>
        <w:ind w:hanging="735"/>
      </w:pPr>
      <w:r w:rsidRPr="00F06886">
        <w:t>Obchodní příležitosti:</w:t>
      </w:r>
    </w:p>
    <w:p w:rsidR="00F06886" w:rsidRDefault="00F06886" w:rsidP="00F06886">
      <w:pPr>
        <w:pStyle w:val="Odstavecseseznamem"/>
        <w:numPr>
          <w:ilvl w:val="0"/>
          <w:numId w:val="1"/>
        </w:numPr>
      </w:pPr>
      <w:r>
        <w:t>Agenda obchodních příležitostí (opportunity list) eviduje potenciální obchodní zakázky, které se mohou přímo stát reálnými zakázkami, a které evidují veškerou komunikaci se zákazníkem v daném potenciálním obchodu.</w:t>
      </w:r>
    </w:p>
    <w:p w:rsidR="00F06886" w:rsidRDefault="00F06886" w:rsidP="00F06886">
      <w:pPr>
        <w:pStyle w:val="Odstavecseseznamem"/>
        <w:numPr>
          <w:ilvl w:val="0"/>
          <w:numId w:val="1"/>
        </w:numPr>
      </w:pPr>
      <w:r>
        <w:t>Každý záznam eviduje a sleduje minimálně tyto hodnoty: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Obchodní partner a odpovědná osoba partnera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Název příležitosti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Popis příležitosti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Datum zahájení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Plánované datum exitu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Odpovědná osoba (uživatel / zaměstnanec)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Plánovaný náklad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Plánovaný výnos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Předpokládaný zisk/marže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Procentuální pravděpodobnost získání (přeměny v zakázku) =&gt; upravuje se jednotlivými zápisy komunikace (jednáními, telefonáty, atp.) k dané příležitosti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Vážený zisk – automatický výpočet předpokládaného váženého zisku vycházející z pravděpodobnosti úspěchu příležitosti a předpokládané výše zisku</w:t>
      </w:r>
    </w:p>
    <w:p w:rsidR="00F06886" w:rsidRDefault="00F06886" w:rsidP="00F06886">
      <w:pPr>
        <w:pStyle w:val="Odstavecseseznamem"/>
        <w:numPr>
          <w:ilvl w:val="0"/>
          <w:numId w:val="1"/>
        </w:numPr>
      </w:pPr>
      <w:r>
        <w:t>Zápisy kontaktů (akcí) k jednotlivým obchodním příležitostem: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Způsob kontaktu (např. telefonát, e-mail, osobní schůzka, telemarketing, atp.)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Kontaktní osoba partnera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Naše kontaktní osoba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Popis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Aktuální procentuální pravděpodobnost úspěchu (změní % v OP)</w:t>
      </w:r>
    </w:p>
    <w:p w:rsidR="00F06886" w:rsidRDefault="00F06886" w:rsidP="00F06886">
      <w:pPr>
        <w:pStyle w:val="Odstavecseseznamem"/>
        <w:numPr>
          <w:ilvl w:val="1"/>
          <w:numId w:val="1"/>
        </w:numPr>
      </w:pPr>
      <w:r>
        <w:t>Aktuální hodnota plánovaných nákladů/výnosů/zisku (pokud se změnilo – změní se i v celém OP)</w:t>
      </w:r>
    </w:p>
    <w:p w:rsidR="00F06886" w:rsidRDefault="00F06886" w:rsidP="00F06886">
      <w:pPr>
        <w:pStyle w:val="Odstavecseseznamem"/>
        <w:numPr>
          <w:ilvl w:val="0"/>
          <w:numId w:val="1"/>
        </w:numPr>
      </w:pPr>
      <w:r>
        <w:t>Export obchodních příležitostí dle vybraných parametrů (filtrů) do přehledného XLS(X) souboru a možnost jeho automatického rozesílání</w:t>
      </w:r>
    </w:p>
    <w:p w:rsidR="00762705" w:rsidRPr="00443E79" w:rsidRDefault="00762705" w:rsidP="00762705">
      <w:pPr>
        <w:rPr>
          <w:b/>
        </w:rPr>
      </w:pPr>
    </w:p>
    <w:p w:rsidR="00762705" w:rsidRDefault="00762705" w:rsidP="00762705">
      <w:pPr>
        <w:pStyle w:val="Odstavecseseznamem"/>
        <w:spacing w:after="0" w:line="240" w:lineRule="auto"/>
        <w:ind w:left="709"/>
        <w:contextualSpacing w:val="0"/>
        <w:jc w:val="both"/>
        <w:rPr>
          <w:rFonts w:cs="Calibri"/>
          <w:sz w:val="22"/>
          <w:szCs w:val="22"/>
        </w:rPr>
      </w:pPr>
    </w:p>
    <w:p w:rsidR="005025F2" w:rsidRDefault="005025F2" w:rsidP="005025F2">
      <w:pPr>
        <w:rPr>
          <w:rFonts w:cs="Calibri"/>
          <w:sz w:val="22"/>
          <w:szCs w:val="22"/>
        </w:rPr>
      </w:pPr>
    </w:p>
    <w:p w:rsidR="005025F2" w:rsidRDefault="005025F2" w:rsidP="005025F2">
      <w:pPr>
        <w:pStyle w:val="Nadpis2"/>
        <w:numPr>
          <w:ilvl w:val="1"/>
          <w:numId w:val="16"/>
        </w:numPr>
        <w:ind w:hanging="735"/>
      </w:pPr>
      <w:r>
        <w:lastRenderedPageBreak/>
        <w:t>Banka</w:t>
      </w:r>
    </w:p>
    <w:p w:rsidR="005025F2" w:rsidRPr="005025F2" w:rsidRDefault="005025F2" w:rsidP="005025F2">
      <w:pPr>
        <w:pStyle w:val="Odstavecseseznamem"/>
        <w:numPr>
          <w:ilvl w:val="0"/>
          <w:numId w:val="43"/>
        </w:numPr>
        <w:rPr>
          <w:b/>
        </w:rPr>
      </w:pPr>
      <w:r w:rsidRPr="00647A03">
        <w:t>Podpora „homebankingu“ na úrovní automatizované kontroly došlých plateb vč. párování k prvotním dokladům, přímého exportu odchozích plateb a automatizovanou evidencí přeplatků pro tyto bankovní instituce</w:t>
      </w:r>
      <w:r w:rsidRPr="005025F2">
        <w:rPr>
          <w:b/>
        </w:rPr>
        <w:t>:</w:t>
      </w:r>
    </w:p>
    <w:p w:rsidR="005025F2" w:rsidRPr="009C1975" w:rsidRDefault="005025F2" w:rsidP="005025F2">
      <w:pPr>
        <w:pStyle w:val="Odstavecseseznamem"/>
        <w:numPr>
          <w:ilvl w:val="1"/>
          <w:numId w:val="1"/>
        </w:numPr>
        <w:rPr>
          <w:b/>
        </w:rPr>
      </w:pPr>
      <w:r>
        <w:t>Komerční Banka</w:t>
      </w:r>
    </w:p>
    <w:p w:rsidR="005025F2" w:rsidRPr="009C1975" w:rsidRDefault="005025F2" w:rsidP="005025F2">
      <w:pPr>
        <w:pStyle w:val="Odstavecseseznamem"/>
        <w:numPr>
          <w:ilvl w:val="1"/>
          <w:numId w:val="1"/>
        </w:numPr>
        <w:rPr>
          <w:b/>
        </w:rPr>
      </w:pPr>
      <w:r>
        <w:t>Volksbank</w:t>
      </w:r>
    </w:p>
    <w:p w:rsidR="005025F2" w:rsidRPr="009C1975" w:rsidRDefault="005025F2" w:rsidP="005025F2">
      <w:pPr>
        <w:pStyle w:val="Odstavecseseznamem"/>
        <w:numPr>
          <w:ilvl w:val="1"/>
          <w:numId w:val="1"/>
        </w:numPr>
        <w:rPr>
          <w:b/>
        </w:rPr>
      </w:pPr>
      <w:r>
        <w:t>Raiffeisenbank</w:t>
      </w:r>
    </w:p>
    <w:p w:rsidR="005025F2" w:rsidRPr="009C1975" w:rsidRDefault="005025F2" w:rsidP="005025F2">
      <w:pPr>
        <w:pStyle w:val="Odstavecseseznamem"/>
        <w:numPr>
          <w:ilvl w:val="1"/>
          <w:numId w:val="1"/>
        </w:numPr>
        <w:rPr>
          <w:b/>
        </w:rPr>
      </w:pPr>
      <w:r>
        <w:t>Podpora standardních a úvěrových účtů a dle měnových a multi-měnových účtů</w:t>
      </w:r>
    </w:p>
    <w:p w:rsidR="005025F2" w:rsidRPr="009C1975" w:rsidRDefault="005025F2" w:rsidP="005025F2">
      <w:pPr>
        <w:pStyle w:val="Odstavecseseznamem"/>
        <w:ind w:left="2160"/>
        <w:rPr>
          <w:b/>
        </w:rPr>
      </w:pPr>
    </w:p>
    <w:p w:rsidR="005025F2" w:rsidRPr="00B53ACC" w:rsidRDefault="005025F2" w:rsidP="005025F2">
      <w:pPr>
        <w:pStyle w:val="Odstavecseseznamem"/>
        <w:numPr>
          <w:ilvl w:val="0"/>
          <w:numId w:val="1"/>
        </w:numPr>
        <w:rPr>
          <w:b/>
        </w:rPr>
      </w:pPr>
      <w:r w:rsidRPr="00B53ACC">
        <w:rPr>
          <w:b/>
        </w:rPr>
        <w:t>Kumulované platby</w:t>
      </w:r>
    </w:p>
    <w:p w:rsidR="005025F2" w:rsidRDefault="005025F2" w:rsidP="005025F2">
      <w:pPr>
        <w:pStyle w:val="Odstavecseseznamem"/>
        <w:numPr>
          <w:ilvl w:val="1"/>
          <w:numId w:val="1"/>
        </w:numPr>
      </w:pPr>
      <w:r>
        <w:t>Kreditní – jedna platba s nezávislým VS (nebo VS vybrané faktury) uhradí více vybraných faktur</w:t>
      </w:r>
    </w:p>
    <w:p w:rsidR="005025F2" w:rsidRDefault="005025F2" w:rsidP="005025F2">
      <w:pPr>
        <w:pStyle w:val="Odstavecseseznamem"/>
        <w:numPr>
          <w:ilvl w:val="1"/>
          <w:numId w:val="1"/>
        </w:numPr>
      </w:pPr>
      <w:r>
        <w:t>Debetní – jedna odeslaná platba s buďto nezávislým VS nebo s VS některé z přij. faktur daného dodavatele, uhradí více faktur.</w:t>
      </w:r>
    </w:p>
    <w:p w:rsidR="005025F2" w:rsidRDefault="005025F2" w:rsidP="005025F2">
      <w:pPr>
        <w:pStyle w:val="Odstavecseseznamem"/>
        <w:numPr>
          <w:ilvl w:val="1"/>
          <w:numId w:val="1"/>
        </w:numPr>
      </w:pPr>
      <w:r>
        <w:t>Ke kreditní i debetní tisková sestava, kterou zašlu dodavateli „Soupis kumulované platby“</w:t>
      </w:r>
    </w:p>
    <w:p w:rsidR="005025F2" w:rsidRDefault="005025F2" w:rsidP="005025F2">
      <w:pPr>
        <w:pStyle w:val="Odstavecseseznamem"/>
        <w:numPr>
          <w:ilvl w:val="1"/>
          <w:numId w:val="1"/>
        </w:numPr>
      </w:pPr>
      <w:r>
        <w:t>Kumulované platby i v cizích měnách</w:t>
      </w:r>
    </w:p>
    <w:p w:rsidR="005025F2" w:rsidRDefault="005025F2" w:rsidP="005025F2">
      <w:pPr>
        <w:pStyle w:val="Odstavecseseznamem"/>
        <w:ind w:left="2160"/>
      </w:pPr>
    </w:p>
    <w:p w:rsidR="005025F2" w:rsidRDefault="005025F2" w:rsidP="005025F2">
      <w:pPr>
        <w:pStyle w:val="Odstavecseseznamem"/>
        <w:numPr>
          <w:ilvl w:val="0"/>
          <w:numId w:val="1"/>
        </w:numPr>
        <w:rPr>
          <w:b/>
        </w:rPr>
      </w:pPr>
      <w:r w:rsidRPr="005618C7">
        <w:rPr>
          <w:b/>
        </w:rPr>
        <w:t>Vzájemný zápočet závazků a pohledávek</w:t>
      </w:r>
    </w:p>
    <w:p w:rsidR="005025F2" w:rsidRPr="005618C7" w:rsidRDefault="005025F2" w:rsidP="005025F2">
      <w:pPr>
        <w:pStyle w:val="Odstavecseseznamem"/>
        <w:numPr>
          <w:ilvl w:val="1"/>
          <w:numId w:val="1"/>
        </w:numPr>
        <w:rPr>
          <w:b/>
        </w:rPr>
      </w:pPr>
      <w:r>
        <w:t>Jednoduchým způsobem vybrat závazky a pohledávky se stejným obch. Partnerem, vidět bilanci (jak se částky kryjí)</w:t>
      </w:r>
    </w:p>
    <w:p w:rsidR="005025F2" w:rsidRPr="00465482" w:rsidRDefault="005025F2" w:rsidP="005025F2">
      <w:pPr>
        <w:pStyle w:val="Odstavecseseznamem"/>
        <w:numPr>
          <w:ilvl w:val="1"/>
          <w:numId w:val="1"/>
        </w:numPr>
        <w:rPr>
          <w:b/>
        </w:rPr>
      </w:pPr>
      <w:r>
        <w:t>Odpovídající přehledná tisková sestava „Návrh vzájemného zápočtu závazků a pohledávek“ nebo „Oznámení o provedení zápočtu“</w:t>
      </w:r>
    </w:p>
    <w:p w:rsidR="005025F2" w:rsidRPr="001977F5" w:rsidRDefault="005025F2" w:rsidP="005025F2">
      <w:pPr>
        <w:pStyle w:val="Odstavecseseznamem"/>
        <w:numPr>
          <w:ilvl w:val="1"/>
          <w:numId w:val="1"/>
        </w:numPr>
        <w:rPr>
          <w:b/>
        </w:rPr>
      </w:pPr>
      <w:r>
        <w:t>Možnost „trojzápočtu“ závazků a pohledávek</w:t>
      </w:r>
    </w:p>
    <w:p w:rsidR="005025F2" w:rsidRPr="005025F2" w:rsidRDefault="005025F2" w:rsidP="005025F2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5025F2" w:rsidRDefault="005025F2" w:rsidP="005025F2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5025F2" w:rsidRPr="005025F2" w:rsidRDefault="005025F2" w:rsidP="005025F2">
      <w:pPr>
        <w:pStyle w:val="Nadpis2"/>
        <w:numPr>
          <w:ilvl w:val="1"/>
          <w:numId w:val="16"/>
        </w:numPr>
        <w:ind w:hanging="735"/>
      </w:pPr>
      <w:r w:rsidRPr="005025F2">
        <w:t>Adresář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Podpora dlouhých názvů firem jako primárního názvu firmy (některé IS neumožňují mít primární název firmy delší než 40 znaků =&gt; nemožnost uložení např. některých ministerstev či dalších státních institucí s dlouhými názvy)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Zobrazení veškerých aktivit a dokladů s vybraným obchodním partnerem v jednom přehledném okně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Přiřazení obchodního partnera definovaným uživatelům systému (Account manager) – ideálně až 3 osoby v pořadí dle priority; a ke středisku.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definice povinných atributů obchodního partnera – např. název, IČ (firma), account manager, středisko, primární tel. Kontakt, primární e-mailový kontakt, min. jedna kontaktní osoba, výše kreditu.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kredit controlling – funkce, kdy definuji odběratelský a dodavatelský kredit danému obchodnímu partnerovi. Dodavatelský je pouze informativní (dodavatel stanovuje nám), odběratelský je pak striktní pro prodej. Do kredit controlingu vstupuje jednak maximální výše rozfakturace zákazníkovi (součet faktur s platbou převodem se splatností), tak i neuhrazené faktury po splatnosti. Standardně se partnerovi nastaví výchozí kredit, když bude potřeba zvýšení, uživatel zažádá a skrze workflow nadřízený nebo odpovědná osoba schválí.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Integrace ARES – automatické stahování informací z ARES či OR při zakládání nové firmy, příp. hromadná aktualizace v zadaném čase. Vyhledávání a doplňování dle IČ, příp. i názvu zákazníka (společnosti).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 xml:space="preserve">Integrace nástroje pro kontrolu solventnosti firem (např. „creditcheck“, atp.), ověření v insolvenčním rejstříku (ISIR) a spolehlivého plátce DPH (vč. bankovních účtů) – zobrazení v </w:t>
      </w:r>
      <w:r w:rsidRPr="005025F2">
        <w:rPr>
          <w:rFonts w:cs="Calibri"/>
          <w:sz w:val="22"/>
          <w:szCs w:val="22"/>
        </w:rPr>
        <w:lastRenderedPageBreak/>
        <w:t xml:space="preserve">seznamu semafory, po rozkliknutí více informací k obchodnímu partnerovi (specifická analýza dle vybraného/vybraných poskytovatelů). 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Současně by měl být nastavený automat, který bude kontrolovat všechny obchodní partnery a v případě zásadních změn jejich bonity (hodnocení) upozornit a/nebo rovnou zablokovat pro objednávky a fakturaci (např. při zápisu do insolvenčního rejstříku, úpadku, atp.)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Slučování obchodních partnerů – funkce, která zajistí při duplicitním vytvoření firem (především po importu) sloučení firem s výběrem jedné, která bude zachována a všechny související doklady a aktivity budou sloučeny (přeneseny pod zachovanou firmu).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Kontrola unikátnosti obchodního partnera – znemožnit zakládání duplicitních partnerů, na základě IČ a názvu společnosti, příp. dle DIČ.</w:t>
      </w:r>
    </w:p>
    <w:p w:rsid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Řazení obchodní partnerů do skupin – vlastní seznamy firem, např. dle OKEČ, velikos</w:t>
      </w:r>
      <w:r>
        <w:rPr>
          <w:rFonts w:cs="Calibri"/>
          <w:sz w:val="22"/>
          <w:szCs w:val="22"/>
        </w:rPr>
        <w:t xml:space="preserve">ti zákazníka, oblasti, obratu </w:t>
      </w:r>
      <w:r w:rsidRPr="005025F2">
        <w:rPr>
          <w:rFonts w:cs="Calibri"/>
          <w:sz w:val="22"/>
          <w:szCs w:val="22"/>
        </w:rPr>
        <w:t>– především pro účely Business Inteligence a marketingové aktivity.</w:t>
      </w:r>
    </w:p>
    <w:p w:rsidR="005025F2" w:rsidRPr="005025F2" w:rsidRDefault="005025F2" w:rsidP="005025F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Oddělení aktivních obchodních partnerů a seznamů potenciálních OP (např. seznamy firem z databází, atp.). Přesun do aktivních v případě úspěšného kontaktu</w:t>
      </w:r>
    </w:p>
    <w:p w:rsidR="002D64BD" w:rsidRPr="002D64BD" w:rsidRDefault="002D64BD" w:rsidP="002D64BD">
      <w:pPr>
        <w:pStyle w:val="Odstavecseseznamem"/>
        <w:spacing w:after="0" w:line="240" w:lineRule="auto"/>
        <w:ind w:left="709"/>
        <w:contextualSpacing w:val="0"/>
        <w:jc w:val="both"/>
        <w:rPr>
          <w:rFonts w:cs="Calibri"/>
          <w:sz w:val="22"/>
          <w:szCs w:val="22"/>
        </w:rPr>
      </w:pPr>
    </w:p>
    <w:p w:rsidR="00F21260" w:rsidRPr="002D64BD" w:rsidRDefault="005025F2" w:rsidP="002D64BD">
      <w:pPr>
        <w:pStyle w:val="Nadpis2"/>
        <w:numPr>
          <w:ilvl w:val="1"/>
          <w:numId w:val="16"/>
        </w:numPr>
        <w:ind w:hanging="735"/>
        <w:rPr>
          <w:szCs w:val="24"/>
        </w:rPr>
      </w:pPr>
      <w:r>
        <w:rPr>
          <w:szCs w:val="24"/>
        </w:rPr>
        <w:t>Řízení vztahů se zák</w:t>
      </w:r>
      <w:r w:rsidR="0063378D">
        <w:rPr>
          <w:szCs w:val="24"/>
        </w:rPr>
        <w:t>azníky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Integrita s návaznými agendami IS - odběratelé, objednávky, fakturace - eliminace duplicit;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Podpora sledování příležitostí z hlediska subjektů a příležitosti;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Podpora sledování výkonnosti obchodníků;</w:t>
      </w:r>
    </w:p>
    <w:p w:rsidR="00F21260" w:rsidRPr="002D64BD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Evidence komunikace se zákazníky i dodavateli s vazbou na příležitost, obchodní případ a zakázku;</w:t>
      </w:r>
    </w:p>
    <w:p w:rsidR="00F21260" w:rsidRDefault="00F21260" w:rsidP="002D64BD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2D64BD">
        <w:rPr>
          <w:rFonts w:cs="Calibri"/>
          <w:sz w:val="22"/>
          <w:szCs w:val="22"/>
        </w:rPr>
        <w:t>Komunikace s MS Outlook v úrovni kalendář, úkoly, korespondence.</w:t>
      </w:r>
    </w:p>
    <w:p w:rsidR="002D64BD" w:rsidRDefault="002D64BD" w:rsidP="002D64BD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5025F2" w:rsidRPr="005025F2" w:rsidRDefault="005025F2" w:rsidP="005025F2">
      <w:pPr>
        <w:pStyle w:val="Nadpis2"/>
        <w:numPr>
          <w:ilvl w:val="1"/>
          <w:numId w:val="16"/>
        </w:numPr>
        <w:ind w:hanging="735"/>
      </w:pPr>
      <w:r>
        <w:t>Servis</w:t>
      </w:r>
    </w:p>
    <w:p w:rsidR="005025F2" w:rsidRPr="005025F2" w:rsidRDefault="005025F2" w:rsidP="005025F2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Evidence a správa záručních a pozáručních servisních zakázek, help-desk prostředí pro zadávání servisních, systémových a dalších požadavků ze strany zákazníků, obchodních partnerů i interních uživatelů</w:t>
      </w:r>
    </w:p>
    <w:p w:rsidR="007B383C" w:rsidRDefault="005025F2" w:rsidP="007B383C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 w:rsidRPr="005025F2">
        <w:rPr>
          <w:rFonts w:cs="Calibri"/>
          <w:sz w:val="22"/>
          <w:szCs w:val="22"/>
        </w:rPr>
        <w:t>Modul Servisu bude propojen s hlavními provozními, ekonomickými a analytickými agendami (daty), s mobilním přístupovým bodem a agendou pro správu servisních zakázek a help-desk požadavků</w:t>
      </w:r>
    </w:p>
    <w:p w:rsidR="005A78F5" w:rsidRPr="007B383C" w:rsidRDefault="005A78F5" w:rsidP="007B383C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Požadován je také soulad atributů servisních zakázek s požadavky výrobců, kterým poskytujeme autorizovaný záruční servis, tj. Hewlett-Packard, DELL, Kyocera. Toto je nutné respektovat také na tiskových sestavách, které jsou v souvislosti s plněním servisních zakázek potřeba.</w:t>
      </w:r>
    </w:p>
    <w:p w:rsidR="006F79A2" w:rsidRDefault="006F79A2" w:rsidP="005025F2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Hlavními atributy </w:t>
      </w:r>
      <w:r w:rsidRPr="007B383C">
        <w:rPr>
          <w:rFonts w:cs="Calibri"/>
          <w:sz w:val="22"/>
          <w:szCs w:val="22"/>
          <w:u w:val="single"/>
        </w:rPr>
        <w:t>záruční</w:t>
      </w:r>
      <w:r>
        <w:rPr>
          <w:rFonts w:cs="Calibri"/>
          <w:sz w:val="22"/>
          <w:szCs w:val="22"/>
        </w:rPr>
        <w:t xml:space="preserve"> servisní zakázky jsou: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Číslo zakázky (dle specifické číselné řady)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Jméno zákazníka</w:t>
      </w:r>
    </w:p>
    <w:p w:rsidR="007B383C" w:rsidRDefault="007B383C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Kontaktní osoba zákazníka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Výrobce zařízení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Specifikace zařízení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Contract ID, příp. číslo servisní smlouvy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Datum a čas nahlášení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Datum a čas reakce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Datum a čas výjezdu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Datum a čas zahájení opravy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Datum a čas dokončení opravy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Datum a čas vyúčtování / výkazu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Ohlášeno pobočce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Předáno pobočce / řeší pobočka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lastRenderedPageBreak/>
        <w:t>Uživatel, který zakázku přijal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Uživatel, který zakázku realizuje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Uživatel, kterému se připisují kompenzace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Předpokládaná výše kompenzace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Skutečná výše kompenzace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Stav zakázky (administrátorský vyplněný číselník)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Datum ukončení zakázky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Běžící / uzavřená zakázka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Storno zakázky ANO/NE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GPS lokalita opravy s mapovým vyobrazením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Mapové vyobrazení trasy, kterou servisní technik cestoval k řešení zakázky (snímáno propojeným mobilním zařízením s mobilní části IS)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Typ servisního zásahu (číselník)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Fotografie pořízené v místě opravy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Fotografie snímaného čárového kódu</w:t>
      </w:r>
    </w:p>
    <w:p w:rsidR="006F79A2" w:rsidRDefault="006F79A2" w:rsidP="006F79A2">
      <w:pPr>
        <w:pStyle w:val="Odstavecseseznamem"/>
        <w:numPr>
          <w:ilvl w:val="1"/>
          <w:numId w:val="42"/>
        </w:numPr>
        <w:spacing w:after="0" w:line="240" w:lineRule="auto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Snímaná hodnota čárového kódu (EAN, QR, atp.) zařízení – part number</w:t>
      </w:r>
    </w:p>
    <w:p w:rsidR="006F79A2" w:rsidRDefault="006F79A2" w:rsidP="006F79A2">
      <w:pPr>
        <w:pStyle w:val="Odstavecseseznamem"/>
        <w:numPr>
          <w:ilvl w:val="1"/>
          <w:numId w:val="42"/>
        </w:numPr>
        <w:rPr>
          <w:rFonts w:cs="Calibri"/>
          <w:sz w:val="22"/>
          <w:szCs w:val="22"/>
        </w:rPr>
      </w:pPr>
      <w:r w:rsidRPr="006F79A2">
        <w:rPr>
          <w:rFonts w:cs="Calibri"/>
          <w:sz w:val="22"/>
          <w:szCs w:val="22"/>
        </w:rPr>
        <w:t xml:space="preserve">Snímaná hodnota čárového kódu (EAN, QR, atp.) zařízení – </w:t>
      </w:r>
      <w:r>
        <w:rPr>
          <w:rFonts w:cs="Calibri"/>
          <w:sz w:val="22"/>
          <w:szCs w:val="22"/>
        </w:rPr>
        <w:t>serial number</w:t>
      </w:r>
    </w:p>
    <w:p w:rsidR="006F79A2" w:rsidRDefault="00F42F18" w:rsidP="006F79A2">
      <w:pPr>
        <w:pStyle w:val="Odstavecseseznamem"/>
        <w:numPr>
          <w:ilvl w:val="1"/>
          <w:numId w:val="42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Poznámka technika</w:t>
      </w:r>
    </w:p>
    <w:p w:rsidR="00F42F18" w:rsidRDefault="00F42F18" w:rsidP="006F79A2">
      <w:pPr>
        <w:pStyle w:val="Odstavecseseznamem"/>
        <w:numPr>
          <w:ilvl w:val="1"/>
          <w:numId w:val="42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Poznámka / vyjádření zákazníka</w:t>
      </w:r>
    </w:p>
    <w:p w:rsidR="00F42F18" w:rsidRDefault="00F42F18" w:rsidP="006F79A2">
      <w:pPr>
        <w:pStyle w:val="Odstavecseseznamem"/>
        <w:numPr>
          <w:ilvl w:val="1"/>
          <w:numId w:val="42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Vazba na předchozí servisní zakázku stejného zařízení</w:t>
      </w:r>
    </w:p>
    <w:p w:rsidR="00F42F18" w:rsidRDefault="00F42F18" w:rsidP="006F79A2">
      <w:pPr>
        <w:pStyle w:val="Odstavecseseznamem"/>
        <w:numPr>
          <w:ilvl w:val="1"/>
          <w:numId w:val="42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Servisní protokol (automaticky generovaná tisková sestava v PDF)</w:t>
      </w:r>
    </w:p>
    <w:p w:rsidR="00F42F18" w:rsidRDefault="00F42F18" w:rsidP="006F79A2">
      <w:pPr>
        <w:pStyle w:val="Odstavecseseznamem"/>
        <w:numPr>
          <w:ilvl w:val="1"/>
          <w:numId w:val="42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Tisková sestava přijetí zařízení do opravy (PDF)</w:t>
      </w:r>
    </w:p>
    <w:p w:rsidR="00F42F18" w:rsidRDefault="00F42F18" w:rsidP="00F42F18">
      <w:pPr>
        <w:pStyle w:val="Odstavecseseznamem"/>
        <w:ind w:left="1440"/>
        <w:rPr>
          <w:rFonts w:cs="Calibri"/>
          <w:sz w:val="22"/>
          <w:szCs w:val="22"/>
        </w:rPr>
      </w:pPr>
    </w:p>
    <w:p w:rsidR="00F42F18" w:rsidRDefault="00F42F18" w:rsidP="00F42F18">
      <w:pPr>
        <w:pStyle w:val="Odstavecseseznamem"/>
        <w:numPr>
          <w:ilvl w:val="0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Hlavními atributy </w:t>
      </w:r>
      <w:r w:rsidRPr="007B383C">
        <w:rPr>
          <w:rFonts w:cs="Calibri"/>
          <w:sz w:val="22"/>
          <w:szCs w:val="22"/>
          <w:u w:val="single"/>
        </w:rPr>
        <w:t>pozáruční</w:t>
      </w:r>
      <w:r>
        <w:rPr>
          <w:rFonts w:cs="Calibri"/>
          <w:sz w:val="22"/>
          <w:szCs w:val="22"/>
        </w:rPr>
        <w:t xml:space="preserve"> servisní zakázky oproti záruční servisní zakázce jsou:</w:t>
      </w:r>
    </w:p>
    <w:p w:rsidR="00F42F18" w:rsidRDefault="00F42F18" w:rsidP="00F42F18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Předpokládané vstupní náklady zakázky</w:t>
      </w:r>
    </w:p>
    <w:p w:rsidR="00F42F18" w:rsidRDefault="00F42F18" w:rsidP="00F42F18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Předpokládaná prodejní cena opravy</w:t>
      </w:r>
    </w:p>
    <w:p w:rsidR="00F42F18" w:rsidRDefault="00F42F18" w:rsidP="00F42F18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Předpokládaná vstupní cena náhradních dílů</w:t>
      </w:r>
    </w:p>
    <w:p w:rsidR="00F42F18" w:rsidRDefault="00F42F18" w:rsidP="00F42F18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Předpokládaná prodejní cena náhradních dílů</w:t>
      </w:r>
    </w:p>
    <w:p w:rsidR="00F42F18" w:rsidRDefault="00F42F18" w:rsidP="00F42F18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Předpokládaná celková prodejní cena bez DPH</w:t>
      </w:r>
    </w:p>
    <w:p w:rsidR="00F42F18" w:rsidRDefault="00F42F18" w:rsidP="00F42F18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Předpokládaná celková prodejná cena s DPH</w:t>
      </w:r>
    </w:p>
    <w:p w:rsidR="00F42F18" w:rsidRDefault="00F42F18" w:rsidP="00F42F18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Skutečná celková prodejní cena bez DPH</w:t>
      </w:r>
    </w:p>
    <w:p w:rsidR="00F42F18" w:rsidRDefault="00F42F18" w:rsidP="00F42F18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Skutečná celková prodejní cena s DPH</w:t>
      </w:r>
    </w:p>
    <w:p w:rsidR="00F42F18" w:rsidRDefault="00F42F18" w:rsidP="00F42F18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Způsob úhrady</w:t>
      </w:r>
    </w:p>
    <w:p w:rsidR="00F42F18" w:rsidRDefault="00F42F18" w:rsidP="00F42F18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Odkaz na dodací list a fakturu, příp. prodejku za hotové</w:t>
      </w:r>
    </w:p>
    <w:p w:rsidR="005A78F5" w:rsidRDefault="005A78F5" w:rsidP="005A78F5">
      <w:pPr>
        <w:pStyle w:val="Odstavecseseznamem"/>
        <w:ind w:left="1440"/>
        <w:rPr>
          <w:rFonts w:cs="Calibri"/>
          <w:sz w:val="22"/>
          <w:szCs w:val="22"/>
        </w:rPr>
      </w:pPr>
    </w:p>
    <w:p w:rsidR="00F42F18" w:rsidRDefault="00F94146" w:rsidP="00F94146">
      <w:pPr>
        <w:pStyle w:val="Odstavecseseznamem"/>
        <w:numPr>
          <w:ilvl w:val="0"/>
          <w:numId w:val="46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Správa a řešení help-desk ticketů (incidentů – hlášených závad)</w:t>
      </w:r>
    </w:p>
    <w:p w:rsidR="00F94146" w:rsidRDefault="00F94146" w:rsidP="00F94146">
      <w:pPr>
        <w:pStyle w:val="Odstavecseseznamem"/>
        <w:numPr>
          <w:ilvl w:val="1"/>
          <w:numId w:val="46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Každý oprávněný zákazník obdrží po zavedení jeho firmy a kontaktní osoby do adresáře přístupové do webového (on-line) help-desk prostředí, ve kterém bude moci zakládat nové požadavky s rozdělením typu na servisní, systémový, obchodní.</w:t>
      </w:r>
    </w:p>
    <w:p w:rsidR="00F94146" w:rsidRDefault="00F94146" w:rsidP="00F94146">
      <w:pPr>
        <w:pStyle w:val="Odstavecseseznamem"/>
        <w:ind w:left="144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Ke každému bude moci zapsat popis závady, specifikace zařízení, S/N a P/N zařízení, vybrat požadovaný způsob opravy, přidat poznámku a přiložit přílohy upřesňující závadu, příp. nahrát doklady prokazující nárok na záruční opravu.</w:t>
      </w:r>
    </w:p>
    <w:p w:rsidR="00F94146" w:rsidRDefault="00F94146" w:rsidP="00F94146">
      <w:pPr>
        <w:pStyle w:val="Odstavecseseznamem"/>
        <w:ind w:left="144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Po zavedení ticketu bude moci s pracovníkem, který ticket příjme, komunikovat prostřednictvím integrovaného komunikačního rozhraní (chat), měnit stav ticketu (předčasné ukončení), přikládat další přílohy.</w:t>
      </w:r>
    </w:p>
    <w:p w:rsidR="00F94146" w:rsidRDefault="00F94146" w:rsidP="00F94146">
      <w:pPr>
        <w:pStyle w:val="Odstavecseseznamem"/>
        <w:ind w:left="144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V okamžiku, kdy </w:t>
      </w:r>
      <w:r w:rsidR="00C83760">
        <w:rPr>
          <w:rFonts w:cs="Calibri"/>
          <w:sz w:val="22"/>
          <w:szCs w:val="22"/>
        </w:rPr>
        <w:t xml:space="preserve">se jedná o servisní typ ticketu a </w:t>
      </w:r>
      <w:r>
        <w:rPr>
          <w:rFonts w:cs="Calibri"/>
          <w:sz w:val="22"/>
          <w:szCs w:val="22"/>
        </w:rPr>
        <w:t xml:space="preserve">servisní technik shledá, že se jedná o záruční opravu nebo po dohodě se zákazníkem doporučí přijetí k pozáruční opravě, </w:t>
      </w:r>
      <w:r w:rsidR="00C83760">
        <w:rPr>
          <w:rFonts w:cs="Calibri"/>
          <w:sz w:val="22"/>
          <w:szCs w:val="22"/>
        </w:rPr>
        <w:t xml:space="preserve">vytvoří pracovník servisu nebo dispečinku servisní zakázku a to tak, že bude mít </w:t>
      </w:r>
      <w:r w:rsidR="00C83760">
        <w:rPr>
          <w:rFonts w:cs="Calibri"/>
          <w:sz w:val="22"/>
          <w:szCs w:val="22"/>
        </w:rPr>
        <w:lastRenderedPageBreak/>
        <w:t>rychlou volbu, která přenese z ticketu do nové zakázky všechny podstatné informace požadované pro zakázku vč. vazby na původní číslo help-desk ticketu.</w:t>
      </w:r>
    </w:p>
    <w:p w:rsidR="00551F20" w:rsidRPr="00F94146" w:rsidRDefault="00551F20" w:rsidP="00551F20">
      <w:pPr>
        <w:pStyle w:val="Odstavecseseznamem"/>
        <w:numPr>
          <w:ilvl w:val="1"/>
          <w:numId w:val="45"/>
        </w:num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Uživatel help-desku bude moci obnovit heslo prostřednictvím webové (on-line) aplikace z libovolného zařízení. Heslo bude uživateli zasláno e-mailem.</w:t>
      </w:r>
    </w:p>
    <w:p w:rsidR="006F79A2" w:rsidRPr="006F79A2" w:rsidRDefault="006F79A2" w:rsidP="006F79A2">
      <w:pPr>
        <w:pStyle w:val="Odstavecseseznamem"/>
        <w:spacing w:after="0" w:line="240" w:lineRule="auto"/>
        <w:ind w:left="1440"/>
        <w:jc w:val="both"/>
        <w:rPr>
          <w:rFonts w:cs="Calibri"/>
          <w:sz w:val="22"/>
          <w:szCs w:val="22"/>
        </w:rPr>
      </w:pPr>
    </w:p>
    <w:p w:rsidR="006F79A2" w:rsidRPr="006F79A2" w:rsidRDefault="006F79A2" w:rsidP="006F79A2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2D64BD" w:rsidRDefault="002D64BD" w:rsidP="002D64BD">
      <w:pPr>
        <w:spacing w:after="0" w:line="240" w:lineRule="auto"/>
        <w:jc w:val="both"/>
        <w:rPr>
          <w:rFonts w:cs="Calibri"/>
          <w:sz w:val="22"/>
          <w:szCs w:val="22"/>
        </w:rPr>
      </w:pPr>
    </w:p>
    <w:p w:rsidR="00F21260" w:rsidRPr="002D64BD" w:rsidRDefault="005025F2" w:rsidP="002D64BD">
      <w:pPr>
        <w:pStyle w:val="Nadpis2"/>
        <w:numPr>
          <w:ilvl w:val="1"/>
          <w:numId w:val="16"/>
        </w:numPr>
        <w:ind w:hanging="735"/>
        <w:rPr>
          <w:szCs w:val="24"/>
        </w:rPr>
      </w:pPr>
      <w:r>
        <w:rPr>
          <w:szCs w:val="24"/>
        </w:rPr>
        <w:t>Externí komunikace a propojení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podpora propojení s MS Outlook (2010, 2013):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rozesílání e-mailů, evidence a import pošty k danému objektu (záznamu), resp. obch. Příležitostí, zakázce, smlouvě, zákazníkovi, atp. Import pošty musí podporovat ukládání příloh do definovaného fyzického adresáře.) pro ukládání příloh, nikoliv do databáze.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synchronizace kalendářů s rozlišením soukromých a nesoukromých událostí, nastavení počtů dní synchronizace záznamů zpětně a do budoucna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synchronizace úkolů s oddělením priorit a přiřazení do daných skupin v rámci IS dle uživatele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synchronizace kontaktů v návaznosti na firmy a kontaktní osoby v agendě adresáře s filtrací platných a neplatných firem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podpora automatické přímé synchronizace s MS Exchange serverem 2010 a novější v případě absence aplikace MS Outlook na straně uživatele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 xml:space="preserve">Propojení s virtuální VoIP ústřednou společnosti </w:t>
      </w:r>
      <w:r w:rsidR="00F94146">
        <w:t>Spino</w:t>
      </w:r>
      <w:r w:rsidR="005A78F5">
        <w:t>c</w:t>
      </w:r>
      <w:r w:rsidR="00F94146">
        <w:t>o</w:t>
      </w:r>
      <w:r>
        <w:t xml:space="preserve"> (Unient) do úrovně aktivního otevírání záznamů kontaktní karty dle identifikace volaného/volajícího čísla v databázi kontaktů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Propojení s internetovým obchodem na platformě PHP/My SQL: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Synchronizace zboží a ceníků dle cenových hladin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Import objednávek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Automatické rozesílání faktur při objednávce přes internetový obchod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Synchronizace firem a kontaktních osob, které se mohou přihlásit do internetového obchodu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>Automatické rozesílání informací o změnách stavů objednávek, jejich expedici a odkazem sledování balíku u dopravce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 xml:space="preserve">Automatický import dodavatelských ceníků, </w:t>
      </w:r>
      <w:r w:rsidR="00783CDB">
        <w:t xml:space="preserve">kompletních </w:t>
      </w:r>
      <w:r>
        <w:t xml:space="preserve">faktur, </w:t>
      </w:r>
      <w:r w:rsidR="00783CDB">
        <w:t xml:space="preserve">kompletních </w:t>
      </w:r>
      <w:r>
        <w:t>ob</w:t>
      </w:r>
      <w:r w:rsidR="008A5456">
        <w:t xml:space="preserve">jednávek a skladové dostupnosti </w:t>
      </w:r>
      <w:r>
        <w:t>položek minimálně pro tyto dis</w:t>
      </w:r>
      <w:r w:rsidR="008A5456">
        <w:t>tribuční společnosti</w:t>
      </w:r>
      <w:r>
        <w:t>: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AT Computers (www.atcomp.cz)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eD System Czech (www.edcz.cz)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Tech Data Distribution (www.techdata.cz)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SWS (</w:t>
      </w:r>
      <w:hyperlink r:id="rId18" w:history="1">
        <w:r w:rsidR="00783CDB" w:rsidRPr="008A3265">
          <w:rPr>
            <w:rStyle w:val="Hypertextovodkaz"/>
          </w:rPr>
          <w:t>www.sws.cz</w:t>
        </w:r>
      </w:hyperlink>
      <w:r>
        <w:t>)</w:t>
      </w:r>
    </w:p>
    <w:p w:rsidR="008A5456" w:rsidRDefault="00783CDB" w:rsidP="008A5456">
      <w:pPr>
        <w:ind w:left="1080"/>
      </w:pPr>
      <w:r>
        <w:t>Pojem „kompletní“ znamená v tomto případě hlavičku faktury se všemi informacemi (datumy, identifikátory, symboly</w:t>
      </w:r>
      <w:r w:rsidR="00A67F25">
        <w:t>, atp.</w:t>
      </w:r>
      <w:r>
        <w:t>)</w:t>
      </w:r>
      <w:r w:rsidR="00A67F25">
        <w:t>, položky dokladu (kód zboží, název, množství, MJ, cena bez DPH, sazba DPH, vyčíslení DPH, částka celkem, částka celkem s DPH, výrobní čísla, náklady na ekologickou likvidaci, autorské poplatky, atp.), rekapitulace částek a poznámky.</w:t>
      </w:r>
    </w:p>
    <w:p w:rsidR="00D94BB3" w:rsidRDefault="00D94BB3" w:rsidP="00D94BB3">
      <w:pPr>
        <w:pStyle w:val="Odstavecseseznamem"/>
        <w:numPr>
          <w:ilvl w:val="0"/>
          <w:numId w:val="39"/>
        </w:numPr>
      </w:pPr>
      <w:r>
        <w:t xml:space="preserve">Mobilní klientská aplikace </w:t>
      </w:r>
      <w:r w:rsidR="005A78F5">
        <w:t xml:space="preserve">pro všechny licencované uživatele </w:t>
      </w:r>
      <w:r>
        <w:t>plně kompatibilní s platformou Windows Phone 7.x a 8.x obsahující min.: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správu adresáře (kontaktů)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 xml:space="preserve">evidenci obchodních aktivit vč. zakázek, přijatých a vydaných faktur, objednávek a pohledávek/závazků 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správu, editaci a vytváření servisních incidentů vč. jejich následného aplikování při on-site zásahu servisního technika na místě u zákazníka. Mezi evidované informace v rámci servisního incidentu/zásahu patří: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popis problému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lastRenderedPageBreak/>
        <w:t xml:space="preserve">výrobce, model a výrobní číslo zařízení, 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fotografie z místa opravy pořízena integrovaným fotoaparátem mobilního zařízení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načtení čárového kódu integrovaným fotoaparátem mobilního zařízení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GPS souřadnice místa opravy načtené integrovaným GPS modulem mobilního zařízení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Stav vyřešení opravy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Informace o servisním technikovi pracujícím na řešení incidentu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Sledování pohybu mobilního zařízení pomocí GPS při zpracovávání servisního incidentu pro následné zobrazení v on-line prostředí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„Push“ synchronizace s IS a okamžitá notifikace nového nebo modifikovaného servisního incidentu v mobilním zařízení bez nutnosti vazby na e-mailové či SMS služby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Práci off-line v případě nedostupnosti datového připojení s tím, že provedené úkony budou dočasně uloženy v paměti do doby, než dojde k obnovení připojení a následné synchronizaci se serverem.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Šifrování uložených i přenášených dat. V případě přenášených dat bude použito zabezpečení pomocí certifikátů a bezpečnostních prvků v rámci vývojového prostředí platformy Windows Phone.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Asociaci konkrétního přístroje dle IMEI a SIM k uživateli pomocí IS on-line (webové) aplikace s tím, že každému uživateli bude vygenerován i unikátní PIN kód. Neasociované mobilní zařízení se nebude moci žádným uživatelem přihlásit.</w:t>
      </w:r>
    </w:p>
    <w:p w:rsidR="00D94BB3" w:rsidRDefault="00D94BB3" w:rsidP="00783CDB">
      <w:pPr>
        <w:pStyle w:val="Odstavecseseznamem"/>
        <w:numPr>
          <w:ilvl w:val="1"/>
          <w:numId w:val="39"/>
        </w:numPr>
      </w:pPr>
      <w:r>
        <w:t>Bezpečností opatření automatického odhlášení po specifikované době neaktivity a při standardním zamknutí přístroje</w:t>
      </w:r>
    </w:p>
    <w:p w:rsidR="00F21260" w:rsidRDefault="00F21260" w:rsidP="00783CDB">
      <w:pPr>
        <w:pStyle w:val="Odstavecseseznamem"/>
      </w:pPr>
    </w:p>
    <w:p w:rsidR="00C35CF8" w:rsidRDefault="00C35CF8" w:rsidP="002D64BD"/>
    <w:p w:rsidR="003847C6" w:rsidRDefault="0063378D" w:rsidP="003847C6">
      <w:pPr>
        <w:pStyle w:val="Nadpis1"/>
        <w:ind w:left="567" w:hanging="567"/>
        <w:rPr>
          <w:sz w:val="24"/>
          <w:szCs w:val="24"/>
          <w:u w:val="single"/>
        </w:rPr>
      </w:pPr>
      <w:r>
        <w:t>Požadavky</w:t>
      </w:r>
      <w:r w:rsidR="003847C6" w:rsidRPr="00C35CF8">
        <w:t xml:space="preserve"> </w:t>
      </w:r>
      <w:r>
        <w:t>na</w:t>
      </w:r>
      <w:r w:rsidR="003847C6" w:rsidRPr="00C35CF8">
        <w:t xml:space="preserve"> </w:t>
      </w:r>
      <w:r w:rsidR="003847C6">
        <w:t>Hardware</w:t>
      </w:r>
      <w:r w:rsidR="003847C6" w:rsidRPr="00C35CF8">
        <w:br/>
      </w:r>
    </w:p>
    <w:p w:rsidR="003847C6" w:rsidRPr="002D64BD" w:rsidRDefault="00D94BB3" w:rsidP="003847C6">
      <w:pPr>
        <w:pStyle w:val="Nadpis2"/>
        <w:numPr>
          <w:ilvl w:val="1"/>
          <w:numId w:val="28"/>
        </w:numPr>
        <w:ind w:hanging="735"/>
        <w:rPr>
          <w:szCs w:val="24"/>
        </w:rPr>
      </w:pPr>
      <w:r>
        <w:rPr>
          <w:szCs w:val="24"/>
        </w:rPr>
        <w:t>Požadavky na servery</w:t>
      </w:r>
    </w:p>
    <w:p w:rsidR="003847C6" w:rsidRPr="00C35CF8" w:rsidRDefault="00D94BB3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2x </w:t>
      </w:r>
      <w:r w:rsidR="003847C6" w:rsidRPr="00C35CF8">
        <w:rPr>
          <w:rFonts w:cs="Calibri"/>
          <w:sz w:val="22"/>
          <w:szCs w:val="22"/>
        </w:rPr>
        <w:t>2U tenký server umístitelný do racku;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Minimálně 24 GB RAM typu DDR3 Registered, o rychlosti min. 1333 MHz;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Integrovaný diskový řadič s podporou rozhraní SAS i SATA, min. 512 MB vyrovnávací paměti řadiče zálohované baterií, podporou min. RAID 0/1/1+0/5/5+0;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Interní DVD mechanika připojena rozhraním SATA;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 xml:space="preserve">Minimálně 2 (dva) 4-jádrové procesory, každý o frekvenci minimálně 2.5 GHz a 12 MB cache 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Integrovaná podpora vzdálené správy s možností přenosu reálného obrazu i bez nutnosti běhu operačního systému a možností vzdáleného připojení obrazu disku (image);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Minimálně 3 (tři) 2.5“ (SFF) disky o kapacitě 146 GB s rychlostí min. 10 tisíc otáček/s připojené rozhraním SAS 6G s podporou Hot-Plug a možností rozšíření na celkový počet min. 8 disků bez nutnosti pořízení dodatečného příslušenství;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Minimálně 2 (dva) napájecí zdroje o výkonu minimálně 460W s podporou Hot-Plug a možností rozšíření o druhý napájecí zdroj pro vyšší dostupnost;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Redundantní chlazení zajištěné minimálně 4 (čtyřmi) hlavními redundantními větráky;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Minimálně 2 integrované síťové karty (NIC) s podporou funkce „teaming“ a gigabit ethernetu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Vč. čtyř (4) FC (Fibre Channel) kompatibilních HBA (Host Bus Adapter) karet s šířkou pásma 8 Gb/s;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Kompatibilita s operačním systémem Microsoft Windows Server 2008 R2 64-bit;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Záruka minimálně 3 roky.</w:t>
      </w:r>
    </w:p>
    <w:p w:rsidR="003847C6" w:rsidRDefault="003847C6" w:rsidP="003847C6">
      <w:pPr>
        <w:jc w:val="both"/>
      </w:pPr>
    </w:p>
    <w:p w:rsidR="003847C6" w:rsidRPr="0063378D" w:rsidRDefault="003847C6" w:rsidP="003847C6">
      <w:pPr>
        <w:jc w:val="both"/>
        <w:rPr>
          <w:sz w:val="22"/>
          <w:szCs w:val="22"/>
        </w:rPr>
      </w:pPr>
      <w:r w:rsidRPr="0063378D">
        <w:rPr>
          <w:sz w:val="22"/>
          <w:szCs w:val="22"/>
        </w:rPr>
        <w:lastRenderedPageBreak/>
        <w:t xml:space="preserve">Pozn.: </w:t>
      </w:r>
      <w:r w:rsidRPr="0063378D">
        <w:rPr>
          <w:sz w:val="22"/>
          <w:szCs w:val="22"/>
        </w:rPr>
        <w:tab/>
        <w:t>Samotný operační systém (SW) bude dodán v rámci partnerství se společností Microsoft a není součástí projektu.</w:t>
      </w:r>
    </w:p>
    <w:p w:rsidR="003847C6" w:rsidRDefault="003847C6" w:rsidP="003847C6">
      <w:pPr>
        <w:jc w:val="both"/>
      </w:pPr>
    </w:p>
    <w:p w:rsidR="003847C6" w:rsidRPr="00C35CF8" w:rsidRDefault="00D94BB3" w:rsidP="003847C6">
      <w:pPr>
        <w:pStyle w:val="Nadpis2"/>
        <w:numPr>
          <w:ilvl w:val="1"/>
          <w:numId w:val="28"/>
        </w:numPr>
        <w:ind w:hanging="735"/>
        <w:rPr>
          <w:szCs w:val="24"/>
        </w:rPr>
      </w:pPr>
      <w:r w:rsidRPr="00C35CF8">
        <w:rPr>
          <w:szCs w:val="24"/>
        </w:rPr>
        <w:t>Požadavky na diskové pole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2U velikost, provedení do racku;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Kapacita na minimálně 12 (dvanáct) disků o velikosti 3,5“ typu SAS/SATA;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Možnost rozšíření diskového pole;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Duální diskový řadič SAS/SATA s podporou RAID 0/1/1+0/5/5+0;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Podpora rozhraní FC/iSCSI připojení - FC 8Gb, GbE SCSI;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Možnost min. 512 LUN;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Podpora asynchronní replikace snímků;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Podpora klonování disků na bázi řadiče diskového pole;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Záruka min. 3 roky;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Vč. kabelů k propojení s HBA serverů;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Vč. kolejnic pro umístění do racku.</w:t>
      </w:r>
    </w:p>
    <w:p w:rsidR="003847C6" w:rsidRPr="00C35CF8" w:rsidRDefault="003847C6" w:rsidP="003847C6">
      <w:pPr>
        <w:pStyle w:val="Odstavecseseznamem"/>
        <w:rPr>
          <w:b/>
        </w:rPr>
      </w:pPr>
    </w:p>
    <w:p w:rsidR="003847C6" w:rsidRPr="00C35CF8" w:rsidRDefault="00D94BB3" w:rsidP="003847C6">
      <w:pPr>
        <w:pStyle w:val="Nadpis2"/>
        <w:numPr>
          <w:ilvl w:val="1"/>
          <w:numId w:val="28"/>
        </w:numPr>
        <w:ind w:hanging="735"/>
        <w:rPr>
          <w:szCs w:val="24"/>
        </w:rPr>
      </w:pPr>
      <w:r w:rsidRPr="00C35CF8">
        <w:rPr>
          <w:szCs w:val="24"/>
        </w:rPr>
        <w:t>Požadavky na datové switche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2x datový přepínač 10/100/1000 Base-T Ethernet;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2x Gigabit Ethernet uplink porty;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Základní podpora Layer 3;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Provedení do racku, výška 1U;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Schopnost plného management (spravování) 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Podpora VLAN 802.1q;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Lokální a vzdálené zrcadlení portu;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Prioritizace provozu;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podpora 802.3ad agregace v rámci stohu;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podpora velkých (Jumbo) paketů;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HW podpora filtrování paketů (ACL);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HW stohovací modul s kabelem;</w:t>
      </w:r>
    </w:p>
    <w:p w:rsidR="003847C6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Doživotní záruka.</w:t>
      </w:r>
    </w:p>
    <w:p w:rsidR="003847C6" w:rsidRPr="00C35CF8" w:rsidRDefault="003847C6" w:rsidP="003847C6">
      <w:pPr>
        <w:pStyle w:val="Odstavecseseznamem"/>
        <w:spacing w:after="0" w:line="240" w:lineRule="auto"/>
        <w:ind w:left="709"/>
        <w:contextualSpacing w:val="0"/>
        <w:jc w:val="both"/>
        <w:rPr>
          <w:rFonts w:cs="Calibri"/>
          <w:sz w:val="22"/>
          <w:szCs w:val="22"/>
        </w:rPr>
      </w:pPr>
    </w:p>
    <w:p w:rsidR="003847C6" w:rsidRPr="00C35CF8" w:rsidRDefault="00D94BB3" w:rsidP="003847C6">
      <w:pPr>
        <w:pStyle w:val="Nadpis2"/>
        <w:numPr>
          <w:ilvl w:val="1"/>
          <w:numId w:val="28"/>
        </w:numPr>
        <w:ind w:hanging="735"/>
        <w:rPr>
          <w:szCs w:val="24"/>
        </w:rPr>
      </w:pPr>
      <w:r w:rsidRPr="00C35CF8">
        <w:rPr>
          <w:szCs w:val="24"/>
        </w:rPr>
        <w:t>Požadavky na záložní zdroje (ups)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Výstupní výkon min. 1800W/2000VA;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Jmenovité napětí 230V;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Průběh výstupního napětí - sinus, zkreslení &lt; 5%;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Účinnost při plném zatížení min. 95%;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Doba běhu při zátěží 1kW min. 20 minut;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Provedení do racku, max. 5U;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Možnost prodloužení doby běhu externí baterií.</w:t>
      </w:r>
    </w:p>
    <w:p w:rsidR="003847C6" w:rsidRDefault="003847C6" w:rsidP="003847C6">
      <w:pPr>
        <w:pStyle w:val="Odstavecseseznamem"/>
        <w:ind w:left="0"/>
      </w:pPr>
    </w:p>
    <w:p w:rsidR="003847C6" w:rsidRPr="00C35CF8" w:rsidRDefault="00D94BB3" w:rsidP="003847C6">
      <w:pPr>
        <w:pStyle w:val="Nadpis2"/>
        <w:numPr>
          <w:ilvl w:val="1"/>
          <w:numId w:val="28"/>
        </w:numPr>
        <w:ind w:hanging="735"/>
        <w:rPr>
          <w:szCs w:val="24"/>
        </w:rPr>
      </w:pPr>
      <w:r w:rsidRPr="00C35CF8">
        <w:rPr>
          <w:szCs w:val="24"/>
        </w:rPr>
        <w:t>Požadavky na klientské mobilní stanice</w:t>
      </w:r>
    </w:p>
    <w:p w:rsidR="003847C6" w:rsidRPr="00C35CF8" w:rsidRDefault="003847C6" w:rsidP="003847C6">
      <w:pPr>
        <w:pStyle w:val="Odstavecseseznamem"/>
        <w:spacing w:line="240" w:lineRule="auto"/>
        <w:ind w:left="0"/>
        <w:contextualSpacing w:val="0"/>
        <w:jc w:val="both"/>
        <w:rPr>
          <w:sz w:val="22"/>
          <w:szCs w:val="22"/>
        </w:rPr>
      </w:pPr>
      <w:r w:rsidRPr="00C35CF8">
        <w:rPr>
          <w:sz w:val="22"/>
          <w:szCs w:val="22"/>
        </w:rPr>
        <w:t>Přenosný počítač s možností dokování (replikování portů) vč. dokovací stanice, LCD displeje a setem klávesnice s myší, splňující níže uvedené parametry: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Uhlopříčka LCD 14“ – 15.6“ s LED podsvícením a matným povrchem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lastRenderedPageBreak/>
        <w:t>Procesor s min. dvěma (2) jádry a čtyřmi (4) logickými procesory (vlákny), frekvencí min. 2.4 GHz, min. 3 MB L3 vyrovnávací paměti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Min. Integrovaný grafický adaptér s podporou min. DirectX 10.1 a OpenGL 3.0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Rozlišení displeje min. 1366x768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Min. 4 GB operační paměti RAM typu DDR3 (min. 1333 MHz) s možností rozšíření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Velikost pevného disku (HDD) min. 320 GB s rychlostí 7200 ot./min. a rozhraním SATA, příp. alternativní SSD.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 xml:space="preserve">Integrované adaptéry a rozhraní: Wi-Fi (min 802.11b/g/n), Bluetooth, gigabit ethernet RJ-45, min. 3x USB 2.0/3.0, dokovací konektor, audio vstup/výstup, DisplayPort nebo HDMI rozhraní a VGA, 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Integrovaná optická mechanika min. DVD+/-RW SuperMulti DL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Výdrž na baterie min. 4 hod.</w:t>
      </w:r>
    </w:p>
    <w:p w:rsidR="00C60FB7" w:rsidRDefault="003847C6" w:rsidP="0015213C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60FB7">
        <w:rPr>
          <w:rFonts w:cs="Calibri"/>
          <w:sz w:val="22"/>
          <w:szCs w:val="22"/>
        </w:rPr>
        <w:t xml:space="preserve">Záruka min. 3 roky </w:t>
      </w:r>
    </w:p>
    <w:p w:rsidR="003847C6" w:rsidRPr="00C60FB7" w:rsidRDefault="003847C6" w:rsidP="0015213C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60FB7">
        <w:rPr>
          <w:rFonts w:cs="Calibri"/>
          <w:sz w:val="22"/>
          <w:szCs w:val="22"/>
        </w:rPr>
        <w:t>Předinstalovaný operačn</w:t>
      </w:r>
      <w:r w:rsidR="007B383C">
        <w:rPr>
          <w:rFonts w:cs="Calibri"/>
          <w:sz w:val="22"/>
          <w:szCs w:val="22"/>
        </w:rPr>
        <w:t xml:space="preserve">í systém Windows 7 Professional nebo Windows 8.x Pro </w:t>
      </w:r>
      <w:r w:rsidRPr="00C60FB7">
        <w:rPr>
          <w:rFonts w:cs="Calibri"/>
          <w:sz w:val="22"/>
          <w:szCs w:val="22"/>
        </w:rPr>
        <w:t>v české jazykové mutaci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Brašna na přenášení notebooku v tmavém provedení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Dokovací stanice s vlastním adaptérem a s možností replikací min. těchto portů: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4x USB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Audio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DisplayPort (příp. HDMI), DVI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VGA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Ethernet (RJ-45)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Napájení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PS/2 pro klávesnici a myš</w:t>
      </w:r>
    </w:p>
    <w:p w:rsidR="003847C6" w:rsidRPr="00C35CF8" w:rsidRDefault="003847C6" w:rsidP="003847C6">
      <w:pPr>
        <w:pStyle w:val="Odstavecseseznamem"/>
        <w:numPr>
          <w:ilvl w:val="0"/>
          <w:numId w:val="8"/>
        </w:numPr>
        <w:spacing w:after="0" w:line="240" w:lineRule="auto"/>
        <w:ind w:left="709" w:hanging="357"/>
        <w:contextualSpacing w:val="0"/>
        <w:jc w:val="both"/>
        <w:rPr>
          <w:rFonts w:cs="Calibri"/>
          <w:sz w:val="22"/>
          <w:szCs w:val="22"/>
        </w:rPr>
      </w:pPr>
      <w:r w:rsidRPr="00C35CF8">
        <w:rPr>
          <w:rFonts w:cs="Calibri"/>
          <w:sz w:val="22"/>
          <w:szCs w:val="22"/>
        </w:rPr>
        <w:t>LCD displej s těmito parametry: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Min. 22“ s rozlišením min. 1920x1080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Jas min. 250 cd/m2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LED podsvícení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Kontrast min. 1000:1</w:t>
      </w:r>
    </w:p>
    <w:p w:rsidR="003847C6" w:rsidRDefault="003847C6" w:rsidP="003847C6">
      <w:pPr>
        <w:pStyle w:val="Odstavecseseznamem"/>
        <w:numPr>
          <w:ilvl w:val="2"/>
          <w:numId w:val="9"/>
        </w:numPr>
        <w:spacing w:after="200" w:line="276" w:lineRule="auto"/>
        <w:ind w:left="1276" w:hanging="283"/>
        <w:jc w:val="both"/>
      </w:pPr>
      <w:r>
        <w:t>Rozhraní VGA a DVI nebo DisplayPort</w:t>
      </w:r>
    </w:p>
    <w:p w:rsidR="00F23B93" w:rsidRDefault="005A78F5" w:rsidP="005A78F5">
      <w:pPr>
        <w:pStyle w:val="Nadpis1"/>
      </w:pPr>
      <w:r>
        <w:t>Požadované minimální záruční podmínky</w:t>
      </w:r>
    </w:p>
    <w:p w:rsidR="005A78F5" w:rsidRDefault="005A78F5" w:rsidP="005A78F5">
      <w:r>
        <w:t>Dle níže uvedené tabulky definujeme požadované minimální záruční pod</w:t>
      </w:r>
      <w:r w:rsidR="005D777F">
        <w:t>mínky pro jednotlivé části díla. Záruční podmínky nabídnuté nad rámec těchto minimálních požadavků budou uchazečem nabídnuty v rámci samostatné přílohy č. 7 a budou hodnoceny dle Zadávací dokumentace.</w:t>
      </w:r>
    </w:p>
    <w:tbl>
      <w:tblPr>
        <w:tblStyle w:val="GridTable4Accent1"/>
        <w:tblW w:w="0" w:type="auto"/>
        <w:tblLook w:val="04A0"/>
      </w:tblPr>
      <w:tblGrid>
        <w:gridCol w:w="4531"/>
        <w:gridCol w:w="4531"/>
      </w:tblGrid>
      <w:tr w:rsidR="00260602" w:rsidTr="00260602">
        <w:trPr>
          <w:cnfStyle w:val="100000000000"/>
        </w:trPr>
        <w:tc>
          <w:tcPr>
            <w:cnfStyle w:val="001000000000"/>
            <w:tcW w:w="4531" w:type="dxa"/>
          </w:tcPr>
          <w:p w:rsidR="00260602" w:rsidRDefault="00260602" w:rsidP="00260602">
            <w:pPr>
              <w:jc w:val="center"/>
            </w:pPr>
            <w:r>
              <w:t>Popis</w:t>
            </w:r>
          </w:p>
        </w:tc>
        <w:tc>
          <w:tcPr>
            <w:tcW w:w="4531" w:type="dxa"/>
          </w:tcPr>
          <w:p w:rsidR="00260602" w:rsidRDefault="00260602" w:rsidP="00260602">
            <w:pPr>
              <w:jc w:val="center"/>
              <w:cnfStyle w:val="100000000000"/>
            </w:pPr>
            <w:r>
              <w:t>Min. požadovaná záruka</w:t>
            </w:r>
          </w:p>
        </w:tc>
      </w:tr>
      <w:tr w:rsidR="00260602" w:rsidTr="00260602">
        <w:trPr>
          <w:cnfStyle w:val="000000100000"/>
        </w:trPr>
        <w:tc>
          <w:tcPr>
            <w:cnfStyle w:val="001000000000"/>
            <w:tcW w:w="4531" w:type="dxa"/>
          </w:tcPr>
          <w:p w:rsidR="00260602" w:rsidRDefault="00260602" w:rsidP="005A78F5">
            <w:r>
              <w:t>Software</w:t>
            </w:r>
          </w:p>
        </w:tc>
        <w:tc>
          <w:tcPr>
            <w:tcW w:w="4531" w:type="dxa"/>
          </w:tcPr>
          <w:p w:rsidR="00260602" w:rsidRDefault="00260602" w:rsidP="005A78F5">
            <w:pPr>
              <w:cnfStyle w:val="000000100000"/>
            </w:pPr>
            <w:r>
              <w:t>36 měsíců</w:t>
            </w:r>
          </w:p>
        </w:tc>
      </w:tr>
      <w:tr w:rsidR="00260602" w:rsidTr="00260602">
        <w:tc>
          <w:tcPr>
            <w:cnfStyle w:val="001000000000"/>
            <w:tcW w:w="4531" w:type="dxa"/>
          </w:tcPr>
          <w:p w:rsidR="00260602" w:rsidRDefault="00260602" w:rsidP="005A78F5">
            <w:r>
              <w:t>Hardware:</w:t>
            </w:r>
          </w:p>
        </w:tc>
        <w:tc>
          <w:tcPr>
            <w:tcW w:w="4531" w:type="dxa"/>
          </w:tcPr>
          <w:p w:rsidR="00260602" w:rsidRDefault="00260602" w:rsidP="005A78F5">
            <w:pPr>
              <w:cnfStyle w:val="000000000000"/>
            </w:pPr>
          </w:p>
        </w:tc>
      </w:tr>
      <w:tr w:rsidR="00260602" w:rsidTr="00260602">
        <w:trPr>
          <w:cnfStyle w:val="000000100000"/>
        </w:trPr>
        <w:tc>
          <w:tcPr>
            <w:cnfStyle w:val="001000000000"/>
            <w:tcW w:w="4531" w:type="dxa"/>
          </w:tcPr>
          <w:p w:rsidR="00260602" w:rsidRPr="00260602" w:rsidRDefault="00260602" w:rsidP="00260602">
            <w:pPr>
              <w:pStyle w:val="Odstavecseseznamem"/>
              <w:numPr>
                <w:ilvl w:val="2"/>
                <w:numId w:val="45"/>
              </w:numPr>
              <w:ind w:left="738" w:hanging="284"/>
            </w:pPr>
            <w:r>
              <w:t>Server</w:t>
            </w:r>
          </w:p>
        </w:tc>
        <w:tc>
          <w:tcPr>
            <w:tcW w:w="4531" w:type="dxa"/>
          </w:tcPr>
          <w:p w:rsidR="00260602" w:rsidRDefault="00260602" w:rsidP="005A78F5">
            <w:pPr>
              <w:cnfStyle w:val="000000100000"/>
            </w:pPr>
            <w:r>
              <w:t>36 měsíců</w:t>
            </w:r>
          </w:p>
        </w:tc>
      </w:tr>
      <w:tr w:rsidR="00260602" w:rsidTr="00260602">
        <w:tc>
          <w:tcPr>
            <w:cnfStyle w:val="001000000000"/>
            <w:tcW w:w="4531" w:type="dxa"/>
          </w:tcPr>
          <w:p w:rsidR="00260602" w:rsidRDefault="00260602" w:rsidP="00260602">
            <w:pPr>
              <w:pStyle w:val="Odstavecseseznamem"/>
              <w:numPr>
                <w:ilvl w:val="2"/>
                <w:numId w:val="45"/>
              </w:numPr>
              <w:ind w:left="738" w:hanging="284"/>
            </w:pPr>
            <w:r>
              <w:t>Diskové pole</w:t>
            </w:r>
          </w:p>
        </w:tc>
        <w:tc>
          <w:tcPr>
            <w:tcW w:w="4531" w:type="dxa"/>
          </w:tcPr>
          <w:p w:rsidR="00260602" w:rsidRDefault="00260602" w:rsidP="005A78F5">
            <w:pPr>
              <w:cnfStyle w:val="000000000000"/>
            </w:pPr>
            <w:r>
              <w:t>36 měsíců</w:t>
            </w:r>
          </w:p>
        </w:tc>
      </w:tr>
      <w:tr w:rsidR="00260602" w:rsidTr="00260602">
        <w:trPr>
          <w:cnfStyle w:val="000000100000"/>
        </w:trPr>
        <w:tc>
          <w:tcPr>
            <w:cnfStyle w:val="001000000000"/>
            <w:tcW w:w="4531" w:type="dxa"/>
          </w:tcPr>
          <w:p w:rsidR="00260602" w:rsidRDefault="00260602" w:rsidP="00260602">
            <w:pPr>
              <w:pStyle w:val="Odstavecseseznamem"/>
              <w:numPr>
                <w:ilvl w:val="2"/>
                <w:numId w:val="45"/>
              </w:numPr>
              <w:ind w:left="738" w:hanging="284"/>
            </w:pPr>
            <w:r>
              <w:t>Datový switch</w:t>
            </w:r>
          </w:p>
        </w:tc>
        <w:tc>
          <w:tcPr>
            <w:tcW w:w="4531" w:type="dxa"/>
          </w:tcPr>
          <w:p w:rsidR="00260602" w:rsidRDefault="00260602" w:rsidP="005A78F5">
            <w:pPr>
              <w:cnfStyle w:val="000000100000"/>
            </w:pPr>
            <w:r>
              <w:t>36 měsíců</w:t>
            </w:r>
          </w:p>
        </w:tc>
      </w:tr>
      <w:tr w:rsidR="00260602" w:rsidTr="00260602">
        <w:tc>
          <w:tcPr>
            <w:cnfStyle w:val="001000000000"/>
            <w:tcW w:w="4531" w:type="dxa"/>
          </w:tcPr>
          <w:p w:rsidR="00260602" w:rsidRDefault="00260602" w:rsidP="00260602">
            <w:pPr>
              <w:pStyle w:val="Odstavecseseznamem"/>
              <w:numPr>
                <w:ilvl w:val="2"/>
                <w:numId w:val="45"/>
              </w:numPr>
              <w:ind w:left="738" w:hanging="284"/>
            </w:pPr>
            <w:r>
              <w:t>Záložní zdroj</w:t>
            </w:r>
          </w:p>
        </w:tc>
        <w:tc>
          <w:tcPr>
            <w:tcW w:w="4531" w:type="dxa"/>
          </w:tcPr>
          <w:p w:rsidR="00260602" w:rsidRDefault="00260602" w:rsidP="005A78F5">
            <w:pPr>
              <w:cnfStyle w:val="000000000000"/>
            </w:pPr>
            <w:r>
              <w:t>36 měsíců</w:t>
            </w:r>
          </w:p>
        </w:tc>
      </w:tr>
      <w:tr w:rsidR="00260602" w:rsidTr="00260602">
        <w:trPr>
          <w:cnfStyle w:val="000000100000"/>
        </w:trPr>
        <w:tc>
          <w:tcPr>
            <w:cnfStyle w:val="001000000000"/>
            <w:tcW w:w="4531" w:type="dxa"/>
          </w:tcPr>
          <w:p w:rsidR="00260602" w:rsidRDefault="00260602" w:rsidP="00260602">
            <w:pPr>
              <w:pStyle w:val="Odstavecseseznamem"/>
              <w:numPr>
                <w:ilvl w:val="2"/>
                <w:numId w:val="45"/>
              </w:numPr>
              <w:ind w:left="738" w:hanging="284"/>
            </w:pPr>
            <w:r>
              <w:t>Klientské mobilní stanice</w:t>
            </w:r>
          </w:p>
        </w:tc>
        <w:tc>
          <w:tcPr>
            <w:tcW w:w="4531" w:type="dxa"/>
          </w:tcPr>
          <w:p w:rsidR="00260602" w:rsidRDefault="00260602" w:rsidP="005A78F5">
            <w:pPr>
              <w:cnfStyle w:val="000000100000"/>
            </w:pPr>
            <w:r>
              <w:t>36 měsíců</w:t>
            </w:r>
          </w:p>
        </w:tc>
      </w:tr>
    </w:tbl>
    <w:p w:rsidR="005D777F" w:rsidRDefault="005D777F" w:rsidP="005A78F5"/>
    <w:p w:rsidR="009534C4" w:rsidRDefault="009534C4" w:rsidP="009534C4">
      <w:pPr>
        <w:pStyle w:val="Nadpis1"/>
        <w:numPr>
          <w:ilvl w:val="0"/>
          <w:numId w:val="28"/>
        </w:numPr>
      </w:pPr>
      <w:r>
        <w:lastRenderedPageBreak/>
        <w:t>Údržba a aktualizace IS</w:t>
      </w:r>
    </w:p>
    <w:p w:rsidR="009534C4" w:rsidRPr="009534C4" w:rsidRDefault="009534C4" w:rsidP="009534C4"/>
    <w:p w:rsidR="005A78F5" w:rsidRDefault="009534C4" w:rsidP="005A78F5">
      <w:r>
        <w:t xml:space="preserve">V rámci </w:t>
      </w:r>
      <w:r w:rsidR="006554B7">
        <w:t xml:space="preserve">ročních </w:t>
      </w:r>
      <w:r>
        <w:t xml:space="preserve">nákladů na údržbu a aktualizaci IS </w:t>
      </w:r>
      <w:r w:rsidR="006554B7">
        <w:t xml:space="preserve">po 3. roce (tj. od ve 4. a každém dalším roce) </w:t>
      </w:r>
      <w:r>
        <w:t>budou zahrnuty tyto činnosti a služby:</w:t>
      </w:r>
    </w:p>
    <w:p w:rsidR="009534C4" w:rsidRDefault="009534C4" w:rsidP="00F72140">
      <w:pPr>
        <w:pStyle w:val="Odstavecseseznamem"/>
        <w:numPr>
          <w:ilvl w:val="2"/>
          <w:numId w:val="45"/>
        </w:numPr>
        <w:ind w:left="709" w:hanging="425"/>
        <w:jc w:val="both"/>
      </w:pPr>
      <w:r>
        <w:t xml:space="preserve">Pravidelná aktualizace IS zahrnující rutinní opravy, aktualizace funkčnosti IS v souvislosti se změnami legislativy, programové úpravy IS reagující na aktualizace operačních systémů, aby </w:t>
      </w:r>
      <w:bookmarkStart w:id="0" w:name="_GoBack"/>
      <w:bookmarkEnd w:id="0"/>
      <w:r>
        <w:t xml:space="preserve">nebyla omezena funkčnost </w:t>
      </w:r>
      <w:r w:rsidR="006554B7">
        <w:t xml:space="preserve">IS </w:t>
      </w:r>
      <w:r>
        <w:t>vlivem nových aktualizací</w:t>
      </w:r>
      <w:r w:rsidR="006554B7">
        <w:t>, atp.</w:t>
      </w:r>
    </w:p>
    <w:p w:rsidR="006554B7" w:rsidRDefault="006554B7" w:rsidP="009534C4">
      <w:pPr>
        <w:pStyle w:val="Odstavecseseznamem"/>
        <w:numPr>
          <w:ilvl w:val="2"/>
          <w:numId w:val="45"/>
        </w:numPr>
        <w:ind w:left="709" w:hanging="425"/>
      </w:pPr>
      <w:r>
        <w:t>Min. 30 hodin školení</w:t>
      </w:r>
      <w:r w:rsidR="00EF01BD">
        <w:t xml:space="preserve"> s i bez souvislosti s aktualizacemi IS</w:t>
      </w:r>
      <w:r w:rsidR="00F72140">
        <w:t>.</w:t>
      </w:r>
    </w:p>
    <w:p w:rsidR="006554B7" w:rsidRDefault="006554B7" w:rsidP="00F72140">
      <w:pPr>
        <w:pStyle w:val="Odstavecseseznamem"/>
        <w:numPr>
          <w:ilvl w:val="2"/>
          <w:numId w:val="45"/>
        </w:numPr>
        <w:ind w:left="709" w:hanging="425"/>
        <w:jc w:val="both"/>
      </w:pPr>
      <w:r>
        <w:t>Technická a uživatelská podpora</w:t>
      </w:r>
      <w:r w:rsidR="00EF01BD">
        <w:t xml:space="preserve"> formou e-mailové, telefonn</w:t>
      </w:r>
      <w:r>
        <w:t>í či osobní konzultace bez omezení množství těchto požadavků na podporu</w:t>
      </w:r>
      <w:r w:rsidR="00F72140">
        <w:t>.</w:t>
      </w:r>
    </w:p>
    <w:p w:rsidR="006554B7" w:rsidRDefault="00EF01BD" w:rsidP="009534C4">
      <w:pPr>
        <w:pStyle w:val="Odstavecseseznamem"/>
        <w:numPr>
          <w:ilvl w:val="2"/>
          <w:numId w:val="45"/>
        </w:numPr>
        <w:ind w:left="709" w:hanging="425"/>
      </w:pPr>
      <w:r>
        <w:t>Ú</w:t>
      </w:r>
      <w:r w:rsidR="006554B7">
        <w:t>pravy tiskových sestav dle požadavků Zadavatele</w:t>
      </w:r>
      <w:r w:rsidR="00F72140">
        <w:t>.</w:t>
      </w:r>
    </w:p>
    <w:p w:rsidR="00EF01BD" w:rsidRDefault="00EF01BD" w:rsidP="00EF01BD">
      <w:r>
        <w:t xml:space="preserve">První tři (3) roky nákladů </w:t>
      </w:r>
      <w:r w:rsidR="001B4061">
        <w:t>na údržbu</w:t>
      </w:r>
      <w:r>
        <w:t xml:space="preserve"> a aktualizace </w:t>
      </w:r>
      <w:r w:rsidR="001B4061">
        <w:t xml:space="preserve">IS </w:t>
      </w:r>
      <w:r>
        <w:t>musí být zahrnuty v </w:t>
      </w:r>
      <w:r w:rsidR="001B4061">
        <w:t>c</w:t>
      </w:r>
      <w:r>
        <w:t>elkové nabídkově ceně</w:t>
      </w:r>
      <w:r w:rsidR="001B4061">
        <w:t>.</w:t>
      </w:r>
    </w:p>
    <w:p w:rsidR="006554B7" w:rsidRPr="005A78F5" w:rsidRDefault="006554B7" w:rsidP="00EF01BD"/>
    <w:sectPr w:rsidR="006554B7" w:rsidRPr="005A78F5" w:rsidSect="00BB1D31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8F45B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6D3" w:rsidRDefault="001146D3" w:rsidP="00BB1D31">
      <w:pPr>
        <w:spacing w:after="0" w:line="240" w:lineRule="auto"/>
      </w:pPr>
      <w:r>
        <w:separator/>
      </w:r>
    </w:p>
  </w:endnote>
  <w:endnote w:type="continuationSeparator" w:id="0">
    <w:p w:rsidR="001146D3" w:rsidRDefault="001146D3" w:rsidP="00BB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Inserat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076933"/>
      <w:docPartObj>
        <w:docPartGallery w:val="Page Numbers (Bottom of Page)"/>
        <w:docPartUnique/>
      </w:docPartObj>
    </w:sdtPr>
    <w:sdtContent>
      <w:p w:rsidR="009534C4" w:rsidRDefault="00393536">
        <w:pPr>
          <w:pStyle w:val="Zpat"/>
          <w:jc w:val="right"/>
        </w:pPr>
        <w:r>
          <w:fldChar w:fldCharType="begin"/>
        </w:r>
        <w:r w:rsidR="009534C4">
          <w:instrText xml:space="preserve"> PAGE   \* MERGEFORMAT </w:instrText>
        </w:r>
        <w:r>
          <w:fldChar w:fldCharType="separate"/>
        </w:r>
        <w:r w:rsidR="00F72140">
          <w:rPr>
            <w:noProof/>
          </w:rPr>
          <w:t>18</w:t>
        </w:r>
        <w:r>
          <w:rPr>
            <w:noProof/>
          </w:rPr>
          <w:fldChar w:fldCharType="end"/>
        </w:r>
        <w:r w:rsidR="009534C4">
          <w:t xml:space="preserve"> z </w:t>
        </w:r>
        <w:fldSimple w:instr=" NUMPAGES   \* MERGEFORMAT ">
          <w:r w:rsidR="00F72140">
            <w:rPr>
              <w:noProof/>
            </w:rPr>
            <w:t>18</w:t>
          </w:r>
        </w:fldSimple>
      </w:p>
    </w:sdtContent>
  </w:sdt>
  <w:p w:rsidR="009534C4" w:rsidRDefault="009534C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C4" w:rsidRPr="00BB1D31" w:rsidRDefault="00393536" w:rsidP="00BB1D31">
    <w:pPr>
      <w:pStyle w:val="Zpat"/>
      <w:jc w:val="right"/>
      <w:rPr>
        <w:rFonts w:cs="Calibri"/>
        <w:sz w:val="20"/>
        <w:szCs w:val="20"/>
      </w:rPr>
    </w:pPr>
    <w:r w:rsidRPr="009543EE">
      <w:rPr>
        <w:rFonts w:cs="Calibri"/>
        <w:sz w:val="20"/>
        <w:szCs w:val="20"/>
      </w:rPr>
      <w:fldChar w:fldCharType="begin"/>
    </w:r>
    <w:r w:rsidR="009534C4" w:rsidRPr="009543EE">
      <w:rPr>
        <w:rFonts w:cs="Calibri"/>
        <w:sz w:val="20"/>
        <w:szCs w:val="20"/>
      </w:rPr>
      <w:instrText xml:space="preserve"> PAGE   \* MERGEFORMAT </w:instrText>
    </w:r>
    <w:r w:rsidRPr="009543EE">
      <w:rPr>
        <w:rFonts w:cs="Calibri"/>
        <w:sz w:val="20"/>
        <w:szCs w:val="20"/>
      </w:rPr>
      <w:fldChar w:fldCharType="separate"/>
    </w:r>
    <w:r w:rsidR="00F72140">
      <w:rPr>
        <w:rFonts w:cs="Calibri"/>
        <w:noProof/>
        <w:sz w:val="20"/>
        <w:szCs w:val="20"/>
      </w:rPr>
      <w:t>1</w:t>
    </w:r>
    <w:r w:rsidRPr="009543EE">
      <w:rPr>
        <w:rFonts w:cs="Calibri"/>
        <w:sz w:val="20"/>
        <w:szCs w:val="20"/>
      </w:rPr>
      <w:fldChar w:fldCharType="end"/>
    </w:r>
    <w:r w:rsidR="009534C4">
      <w:rPr>
        <w:rFonts w:cs="Calibri"/>
        <w:sz w:val="20"/>
        <w:szCs w:val="20"/>
      </w:rPr>
      <w:t xml:space="preserve"> z </w:t>
    </w:r>
    <w:fldSimple w:instr=" NUMPAGES   \* MERGEFORMAT ">
      <w:r w:rsidR="00F72140" w:rsidRPr="00F72140">
        <w:rPr>
          <w:rFonts w:cs="Calibri"/>
          <w:noProof/>
          <w:sz w:val="20"/>
          <w:szCs w:val="20"/>
        </w:rPr>
        <w:t>18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6D3" w:rsidRDefault="001146D3" w:rsidP="00BB1D31">
      <w:pPr>
        <w:spacing w:after="0" w:line="240" w:lineRule="auto"/>
      </w:pPr>
      <w:r>
        <w:separator/>
      </w:r>
    </w:p>
  </w:footnote>
  <w:footnote w:type="continuationSeparator" w:id="0">
    <w:p w:rsidR="001146D3" w:rsidRDefault="001146D3" w:rsidP="00BB1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C4" w:rsidRDefault="009534C4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i/>
        <w:sz w:val="20"/>
        <w:szCs w:val="20"/>
      </w:rPr>
    </w:pPr>
    <w:r w:rsidRPr="000F7138">
      <w:rPr>
        <w:rFonts w:cs="Calibri"/>
        <w:i/>
        <w:sz w:val="20"/>
        <w:szCs w:val="20"/>
      </w:rPr>
      <w:t xml:space="preserve">Zadávací dokumentace </w:t>
    </w:r>
  </w:p>
  <w:p w:rsidR="009534C4" w:rsidRPr="00BB1D31" w:rsidRDefault="009534C4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b/>
        <w:i/>
        <w:sz w:val="18"/>
        <w:szCs w:val="18"/>
      </w:rPr>
    </w:pPr>
    <w:r w:rsidRPr="00BB1D31">
      <w:rPr>
        <w:rFonts w:cs="Calibri"/>
        <w:b/>
        <w:i/>
        <w:sz w:val="18"/>
        <w:szCs w:val="18"/>
      </w:rPr>
      <w:t>Inovace informačních systémů pro komplexní řízení společnosti</w:t>
    </w:r>
  </w:p>
  <w:p w:rsidR="009534C4" w:rsidRPr="00BB1D31" w:rsidRDefault="009534C4" w:rsidP="00BB1D31">
    <w:pPr>
      <w:pStyle w:val="Zhlav"/>
      <w:rPr>
        <w:b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C4" w:rsidRDefault="009534C4">
    <w:pPr>
      <w:pStyle w:val="Zhlav"/>
    </w:pPr>
    <w:r>
      <w:rPr>
        <w:rFonts w:ascii="Palatino Linotype" w:hAnsi="Palatino Linotype"/>
        <w:noProof/>
        <w:lang w:eastAsia="cs-CZ"/>
      </w:rPr>
      <w:drawing>
        <wp:inline distT="0" distB="0" distL="0" distR="0">
          <wp:extent cx="2133600" cy="476250"/>
          <wp:effectExtent l="19050" t="0" r="0" b="0"/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Palatino Linotype" w:hAnsi="Palatino Linotype"/>
        <w:noProof/>
        <w:lang w:eastAsia="cs-CZ"/>
      </w:rPr>
      <w:drawing>
        <wp:inline distT="0" distB="0" distL="0" distR="0">
          <wp:extent cx="2124075" cy="419100"/>
          <wp:effectExtent l="19050" t="0" r="9525" b="0"/>
          <wp:docPr id="12" name="obrázek 7" descr="EU_a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EU_a_tex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>
          <wp:extent cx="1314450" cy="476250"/>
          <wp:effectExtent l="19050" t="0" r="0" b="0"/>
          <wp:docPr id="15" name="obrázek 15" descr="C:\Users\Toshiba\AppData\Local\Microsoft\Windows\Temporary Internet Files\Content.Word\no_pr_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Toshiba\AppData\Local\Microsoft\Windows\Temporary Internet Files\Content.Word\no_pr_imag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34C4" w:rsidRDefault="009534C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6D42"/>
    <w:multiLevelType w:val="hybridMultilevel"/>
    <w:tmpl w:val="78AA8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E78EF"/>
    <w:multiLevelType w:val="hybridMultilevel"/>
    <w:tmpl w:val="92BA8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20A19"/>
    <w:multiLevelType w:val="multilevel"/>
    <w:tmpl w:val="CB0C14F4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ascii="Calibri" w:hAnsi="Calibri" w:hint="default"/>
        <w:b/>
        <w:i w:val="0"/>
        <w:sz w:val="32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25642B80"/>
    <w:multiLevelType w:val="hybridMultilevel"/>
    <w:tmpl w:val="470E4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827DC"/>
    <w:multiLevelType w:val="hybridMultilevel"/>
    <w:tmpl w:val="D3389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840D1"/>
    <w:multiLevelType w:val="hybridMultilevel"/>
    <w:tmpl w:val="9B267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02FBD"/>
    <w:multiLevelType w:val="hybridMultilevel"/>
    <w:tmpl w:val="2F1CA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D80053"/>
    <w:multiLevelType w:val="hybridMultilevel"/>
    <w:tmpl w:val="010EB322"/>
    <w:lvl w:ilvl="0" w:tplc="F560EB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E3C55"/>
    <w:multiLevelType w:val="hybridMultilevel"/>
    <w:tmpl w:val="990E45B2"/>
    <w:lvl w:ilvl="0" w:tplc="024A15C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E368B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2"/>
        <w:szCs w:val="32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9C2D5F"/>
    <w:multiLevelType w:val="hybridMultilevel"/>
    <w:tmpl w:val="920C619C"/>
    <w:lvl w:ilvl="0" w:tplc="5816CCA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838D7"/>
    <w:multiLevelType w:val="hybridMultilevel"/>
    <w:tmpl w:val="B60EB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023F2"/>
    <w:multiLevelType w:val="hybridMultilevel"/>
    <w:tmpl w:val="57722D1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5418A7"/>
    <w:multiLevelType w:val="singleLevel"/>
    <w:tmpl w:val="BC3A831E"/>
    <w:lvl w:ilvl="0">
      <w:start w:val="1"/>
      <w:numFmt w:val="bullet"/>
      <w:pStyle w:val="Sumar2"/>
      <w:lvlText w:val="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13">
    <w:nsid w:val="5B324658"/>
    <w:multiLevelType w:val="hybridMultilevel"/>
    <w:tmpl w:val="D10C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35D6B"/>
    <w:multiLevelType w:val="hybridMultilevel"/>
    <w:tmpl w:val="E4620E22"/>
    <w:lvl w:ilvl="0" w:tplc="5BAE87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0844DD"/>
    <w:multiLevelType w:val="hybridMultilevel"/>
    <w:tmpl w:val="4AE0F346"/>
    <w:lvl w:ilvl="0" w:tplc="41863CB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E368B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2"/>
        <w:szCs w:val="32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1A46E3"/>
    <w:multiLevelType w:val="hybridMultilevel"/>
    <w:tmpl w:val="F27AB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B41A7"/>
    <w:multiLevelType w:val="hybridMultilevel"/>
    <w:tmpl w:val="70944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481527"/>
    <w:multiLevelType w:val="hybridMultilevel"/>
    <w:tmpl w:val="76F048B0"/>
    <w:lvl w:ilvl="0" w:tplc="72C20F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6F2742"/>
    <w:multiLevelType w:val="hybridMultilevel"/>
    <w:tmpl w:val="6C78C7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F505F"/>
    <w:multiLevelType w:val="hybridMultilevel"/>
    <w:tmpl w:val="26AE350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940F87"/>
    <w:multiLevelType w:val="multilevel"/>
    <w:tmpl w:val="BADC0B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D4783F"/>
    <w:multiLevelType w:val="hybridMultilevel"/>
    <w:tmpl w:val="527A6532"/>
    <w:lvl w:ilvl="0" w:tplc="9998C3D8">
      <w:start w:val="1"/>
      <w:numFmt w:val="decimal"/>
      <w:pStyle w:val="Nadpis2"/>
      <w:lvlText w:val="%1.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7"/>
  </w:num>
  <w:num w:numId="4">
    <w:abstractNumId w:val="8"/>
  </w:num>
  <w:num w:numId="5">
    <w:abstractNumId w:val="14"/>
  </w:num>
  <w:num w:numId="6">
    <w:abstractNumId w:val="7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15"/>
  </w:num>
  <w:num w:numId="12">
    <w:abstractNumId w:val="2"/>
  </w:num>
  <w:num w:numId="13">
    <w:abstractNumId w:val="2"/>
  </w:num>
  <w:num w:numId="14">
    <w:abstractNumId w:val="22"/>
  </w:num>
  <w:num w:numId="15">
    <w:abstractNumId w:val="22"/>
  </w:num>
  <w:num w:numId="16">
    <w:abstractNumId w:val="2"/>
    <w:lvlOverride w:ilvl="0">
      <w:startOverride w:val="2"/>
    </w:lvlOverride>
    <w:lvlOverride w:ilvl="1">
      <w:startOverride w:val="1"/>
    </w:lvlOverride>
  </w:num>
  <w:num w:numId="17">
    <w:abstractNumId w:val="22"/>
  </w:num>
  <w:num w:numId="18">
    <w:abstractNumId w:val="22"/>
  </w:num>
  <w:num w:numId="19">
    <w:abstractNumId w:val="22"/>
  </w:num>
  <w:num w:numId="20">
    <w:abstractNumId w:val="22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"/>
  </w:num>
  <w:num w:numId="27">
    <w:abstractNumId w:val="2"/>
  </w:num>
  <w:num w:numId="28">
    <w:abstractNumId w:val="2"/>
    <w:lvlOverride w:ilvl="0">
      <w:startOverride w:val="4"/>
    </w:lvlOverride>
    <w:lvlOverride w:ilvl="1">
      <w:startOverride w:val="1"/>
    </w:lvlOverride>
  </w:num>
  <w:num w:numId="29">
    <w:abstractNumId w:val="22"/>
  </w:num>
  <w:num w:numId="30">
    <w:abstractNumId w:val="22"/>
  </w:num>
  <w:num w:numId="31">
    <w:abstractNumId w:val="22"/>
  </w:num>
  <w:num w:numId="32">
    <w:abstractNumId w:val="22"/>
  </w:num>
  <w:num w:numId="33">
    <w:abstractNumId w:val="2"/>
    <w:lvlOverride w:ilvl="0">
      <w:startOverride w:val="3"/>
    </w:lvlOverride>
    <w:lvlOverride w:ilvl="1">
      <w:startOverride w:val="1"/>
    </w:lvlOverride>
  </w:num>
  <w:num w:numId="34">
    <w:abstractNumId w:val="22"/>
  </w:num>
  <w:num w:numId="35">
    <w:abstractNumId w:val="2"/>
    <w:lvlOverride w:ilvl="0">
      <w:startOverride w:val="4"/>
    </w:lvlOverride>
    <w:lvlOverride w:ilvl="1">
      <w:startOverride w:val="1"/>
    </w:lvlOverride>
  </w:num>
  <w:num w:numId="36">
    <w:abstractNumId w:val="22"/>
  </w:num>
  <w:num w:numId="37">
    <w:abstractNumId w:val="22"/>
  </w:num>
  <w:num w:numId="38">
    <w:abstractNumId w:val="18"/>
  </w:num>
  <w:num w:numId="39">
    <w:abstractNumId w:val="1"/>
  </w:num>
  <w:num w:numId="40">
    <w:abstractNumId w:val="13"/>
  </w:num>
  <w:num w:numId="41">
    <w:abstractNumId w:val="21"/>
  </w:num>
  <w:num w:numId="42">
    <w:abstractNumId w:val="3"/>
  </w:num>
  <w:num w:numId="43">
    <w:abstractNumId w:val="4"/>
  </w:num>
  <w:num w:numId="44">
    <w:abstractNumId w:val="10"/>
  </w:num>
  <w:num w:numId="45">
    <w:abstractNumId w:val="0"/>
  </w:num>
  <w:num w:numId="46">
    <w:abstractNumId w:val="5"/>
  </w:num>
  <w:num w:numId="47">
    <w:abstractNumId w:val="2"/>
    <w:lvlOverride w:ilvl="0">
      <w:startOverride w:val="2"/>
    </w:lvlOverride>
    <w:lvlOverride w:ilvl="1">
      <w:startOverride w:val="1"/>
    </w:lvlOverride>
  </w:num>
  <w:num w:numId="48">
    <w:abstractNumId w:val="9"/>
  </w:num>
  <w:num w:numId="49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am Koudela">
    <w15:presenceInfo w15:providerId="AD" w15:userId="S-1-5-21-1343024091-1770027372-1417001333-312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5196C"/>
    <w:rsid w:val="000854E9"/>
    <w:rsid w:val="000F44A9"/>
    <w:rsid w:val="00107B53"/>
    <w:rsid w:val="001146D3"/>
    <w:rsid w:val="0015213C"/>
    <w:rsid w:val="001B149C"/>
    <w:rsid w:val="001B4061"/>
    <w:rsid w:val="002215CD"/>
    <w:rsid w:val="00260602"/>
    <w:rsid w:val="00282E1B"/>
    <w:rsid w:val="002D64BD"/>
    <w:rsid w:val="00371D63"/>
    <w:rsid w:val="003847C6"/>
    <w:rsid w:val="00393536"/>
    <w:rsid w:val="003A3ECF"/>
    <w:rsid w:val="003F37F9"/>
    <w:rsid w:val="004E0CD0"/>
    <w:rsid w:val="005025F2"/>
    <w:rsid w:val="00551029"/>
    <w:rsid w:val="00551F20"/>
    <w:rsid w:val="005A78F5"/>
    <w:rsid w:val="005B3303"/>
    <w:rsid w:val="005D777F"/>
    <w:rsid w:val="00622296"/>
    <w:rsid w:val="0063378D"/>
    <w:rsid w:val="006554B7"/>
    <w:rsid w:val="006E6ECE"/>
    <w:rsid w:val="006F79A2"/>
    <w:rsid w:val="00725CA5"/>
    <w:rsid w:val="00752267"/>
    <w:rsid w:val="00762705"/>
    <w:rsid w:val="00782C85"/>
    <w:rsid w:val="00783CDB"/>
    <w:rsid w:val="007B383C"/>
    <w:rsid w:val="00841E87"/>
    <w:rsid w:val="008938EE"/>
    <w:rsid w:val="008A5456"/>
    <w:rsid w:val="0094317F"/>
    <w:rsid w:val="009534C4"/>
    <w:rsid w:val="00994EA8"/>
    <w:rsid w:val="009C6C66"/>
    <w:rsid w:val="00A4551F"/>
    <w:rsid w:val="00A67F25"/>
    <w:rsid w:val="00AD2818"/>
    <w:rsid w:val="00B2536C"/>
    <w:rsid w:val="00B25B77"/>
    <w:rsid w:val="00BB1D31"/>
    <w:rsid w:val="00C35CF8"/>
    <w:rsid w:val="00C60FB7"/>
    <w:rsid w:val="00C83760"/>
    <w:rsid w:val="00D20BA8"/>
    <w:rsid w:val="00D94BB3"/>
    <w:rsid w:val="00E50A3A"/>
    <w:rsid w:val="00E5196C"/>
    <w:rsid w:val="00E53A6F"/>
    <w:rsid w:val="00EF01BD"/>
    <w:rsid w:val="00F06886"/>
    <w:rsid w:val="00F21260"/>
    <w:rsid w:val="00F23B93"/>
    <w:rsid w:val="00F42F18"/>
    <w:rsid w:val="00F72140"/>
    <w:rsid w:val="00F94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1029"/>
    <w:pPr>
      <w:spacing w:after="120" w:line="264" w:lineRule="auto"/>
    </w:pPr>
    <w:rPr>
      <w:rFonts w:eastAsia="Times New Roman"/>
      <w:sz w:val="21"/>
      <w:szCs w:val="21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D64BD"/>
    <w:pPr>
      <w:keepNext/>
      <w:keepLines/>
      <w:numPr>
        <w:numId w:val="12"/>
      </w:numPr>
      <w:spacing w:before="120" w:line="240" w:lineRule="auto"/>
      <w:outlineLvl w:val="0"/>
    </w:pPr>
    <w:rPr>
      <w:b/>
      <w:smallCaps/>
      <w:sz w:val="28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64BD"/>
    <w:pPr>
      <w:keepNext/>
      <w:keepLines/>
      <w:numPr>
        <w:numId w:val="14"/>
      </w:numPr>
      <w:spacing w:before="120" w:line="240" w:lineRule="auto"/>
      <w:outlineLvl w:val="1"/>
    </w:pPr>
    <w:rPr>
      <w:b/>
      <w:bCs/>
      <w:smallCap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841E87"/>
    <w:pPr>
      <w:keepNext/>
      <w:widowControl w:val="0"/>
      <w:spacing w:before="240" w:after="60" w:line="240" w:lineRule="auto"/>
      <w:ind w:left="1701"/>
      <w:jc w:val="both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D64BD"/>
    <w:rPr>
      <w:rFonts w:eastAsia="Times New Roman"/>
      <w:b/>
      <w:smallCaps/>
      <w:sz w:val="28"/>
      <w:szCs w:val="3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551029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5510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10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51029"/>
    <w:rPr>
      <w:rFonts w:eastAsia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1029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link w:val="Nadpis3"/>
    <w:rsid w:val="00841E87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Normal6pt">
    <w:name w:val="Normal+6pt"/>
    <w:basedOn w:val="Normln"/>
    <w:rsid w:val="00841E87"/>
    <w:pPr>
      <w:widowControl w:val="0"/>
      <w:spacing w:before="120" w:after="0" w:line="240" w:lineRule="auto"/>
      <w:ind w:left="1701"/>
      <w:jc w:val="both"/>
    </w:pPr>
    <w:rPr>
      <w:rFonts w:ascii="Arial" w:hAnsi="Arial"/>
      <w:sz w:val="20"/>
      <w:szCs w:val="20"/>
      <w:lang w:eastAsia="cs-CZ"/>
    </w:rPr>
  </w:style>
  <w:style w:type="paragraph" w:customStyle="1" w:styleId="Sumar2">
    <w:name w:val="Sumar 2"/>
    <w:basedOn w:val="Normln"/>
    <w:rsid w:val="00841E87"/>
    <w:pPr>
      <w:widowControl w:val="0"/>
      <w:numPr>
        <w:numId w:val="2"/>
      </w:numPr>
      <w:spacing w:after="0" w:line="240" w:lineRule="auto"/>
      <w:jc w:val="both"/>
    </w:pPr>
    <w:rPr>
      <w:rFonts w:ascii="Arial" w:hAnsi="Arial"/>
      <w:sz w:val="20"/>
      <w:szCs w:val="20"/>
      <w:lang w:eastAsia="cs-CZ"/>
    </w:rPr>
  </w:style>
  <w:style w:type="paragraph" w:customStyle="1" w:styleId="Sumar33">
    <w:name w:val="Sumar 33"/>
    <w:basedOn w:val="Sumar2"/>
    <w:rsid w:val="00841E87"/>
    <w:pPr>
      <w:ind w:left="1701"/>
      <w:jc w:val="left"/>
    </w:pPr>
  </w:style>
  <w:style w:type="character" w:customStyle="1" w:styleId="Nadpis2Char">
    <w:name w:val="Nadpis 2 Char"/>
    <w:link w:val="Nadpis2"/>
    <w:uiPriority w:val="9"/>
    <w:rsid w:val="002D64BD"/>
    <w:rPr>
      <w:rFonts w:eastAsia="Times New Roman"/>
      <w:b/>
      <w:bCs/>
      <w:smallCaps/>
      <w:sz w:val="24"/>
      <w:szCs w:val="26"/>
      <w:lang w:eastAsia="en-US"/>
    </w:rPr>
  </w:style>
  <w:style w:type="paragraph" w:customStyle="1" w:styleId="Subhead">
    <w:name w:val="Subhead"/>
    <w:basedOn w:val="Normln"/>
    <w:next w:val="Normln"/>
    <w:link w:val="SubheadChar"/>
    <w:rsid w:val="00622296"/>
    <w:pPr>
      <w:keepNext/>
      <w:keepLines/>
      <w:tabs>
        <w:tab w:val="left" w:pos="3828"/>
      </w:tabs>
      <w:spacing w:before="180" w:after="40" w:line="240" w:lineRule="auto"/>
    </w:pPr>
    <w:rPr>
      <w:rFonts w:ascii="Arial" w:hAnsi="Arial"/>
      <w:b/>
      <w:sz w:val="20"/>
      <w:szCs w:val="20"/>
    </w:rPr>
  </w:style>
  <w:style w:type="character" w:styleId="Hypertextovodkaz">
    <w:name w:val="Hyperlink"/>
    <w:rsid w:val="00622296"/>
    <w:rPr>
      <w:color w:val="0000FF"/>
      <w:u w:val="single"/>
    </w:rPr>
  </w:style>
  <w:style w:type="character" w:customStyle="1" w:styleId="SubheadChar">
    <w:name w:val="Subhead Char"/>
    <w:link w:val="Subhead"/>
    <w:rsid w:val="00622296"/>
    <w:rPr>
      <w:rFonts w:ascii="Arial" w:eastAsia="Times New Roman" w:hAnsi="Arial" w:cs="Times New Roman"/>
      <w:b/>
      <w:sz w:val="20"/>
      <w:szCs w:val="20"/>
    </w:rPr>
  </w:style>
  <w:style w:type="paragraph" w:customStyle="1" w:styleId="Head1">
    <w:name w:val="Head1"/>
    <w:basedOn w:val="Normal6pt"/>
    <w:next w:val="Normal6pt"/>
    <w:rsid w:val="00F23B93"/>
    <w:pPr>
      <w:keepNext/>
      <w:keepLines/>
      <w:widowControl/>
      <w:spacing w:before="600" w:after="180"/>
      <w:jc w:val="left"/>
    </w:pPr>
    <w:rPr>
      <w:rFonts w:ascii="SwitzerlandInserat" w:hAnsi="SwitzerlandInserat"/>
      <w:caps/>
      <w:spacing w:val="20"/>
      <w:sz w:val="28"/>
    </w:rPr>
  </w:style>
  <w:style w:type="paragraph" w:customStyle="1" w:styleId="StyleBoldOrange">
    <w:name w:val="Style Bold Orange"/>
    <w:basedOn w:val="Normln"/>
    <w:rsid w:val="00F23B93"/>
    <w:pPr>
      <w:widowControl w:val="0"/>
      <w:spacing w:before="240" w:after="0" w:line="240" w:lineRule="auto"/>
      <w:ind w:left="1701"/>
      <w:jc w:val="both"/>
    </w:pPr>
    <w:rPr>
      <w:rFonts w:ascii="Arial" w:hAnsi="Arial"/>
      <w:b/>
      <w:bCs/>
      <w:color w:val="FF6600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21260"/>
    <w:rPr>
      <w:rFonts w:eastAsia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B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1D31"/>
    <w:rPr>
      <w:rFonts w:eastAsia="Times New Roman"/>
      <w:sz w:val="21"/>
      <w:szCs w:val="21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1D31"/>
    <w:rPr>
      <w:rFonts w:eastAsia="Times New Roman"/>
      <w:sz w:val="21"/>
      <w:szCs w:val="21"/>
      <w:lang w:eastAsia="en-US"/>
    </w:rPr>
  </w:style>
  <w:style w:type="table" w:styleId="Mkatabulky">
    <w:name w:val="Table Grid"/>
    <w:basedOn w:val="Normlntabulka"/>
    <w:uiPriority w:val="59"/>
    <w:rsid w:val="00260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Normlntabulka"/>
    <w:uiPriority w:val="49"/>
    <w:rsid w:val="0026060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40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4061"/>
    <w:rPr>
      <w:rFonts w:eastAsia="Times New Roman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yperlink" Target="http://www.sws.cz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footer" Target="footer2.xml"/><Relationship Id="rId27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Documents\PIONS\CS%20DATA\Po&#382;adavky%20na%20IS_%20zad&#225;n&#237;%20pro%20v&#253;b&#283;rov&#233;%20&#345;&#237;zen&#237;_podklady%20PIONS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8BEDC1-5E44-4C17-8D71-0919356B8E61}" type="doc">
      <dgm:prSet loTypeId="urn:microsoft.com/office/officeart/2005/8/layout/lProcess3" loCatId="process" qsTypeId="urn:microsoft.com/office/officeart/2005/8/quickstyle/simple5" qsCatId="simple" csTypeId="urn:microsoft.com/office/officeart/2005/8/colors/colorful4" csCatId="colorful" phldr="1"/>
      <dgm:spPr/>
      <dgm:t>
        <a:bodyPr/>
        <a:lstStyle/>
        <a:p>
          <a:endParaRPr lang="cs-CZ"/>
        </a:p>
      </dgm:t>
    </dgm:pt>
    <dgm:pt modelId="{51BB3CF6-8449-497B-B56B-8F898C4A5D75}">
      <dgm:prSet phldrT="[Text]"/>
      <dgm:spPr>
        <a:xfrm>
          <a:off x="586" y="224478"/>
          <a:ext cx="1204168" cy="481667"/>
        </a:xfrm>
        <a:gradFill rotWithShape="0">
          <a:gsLst>
            <a:gs pos="0">
              <a:srgbClr val="8064A2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8064A2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8064A2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gm:spPr>
      <dgm:t>
        <a:bodyPr/>
        <a:lstStyle/>
        <a:p>
          <a:r>
            <a:rPr lang="cs-CZ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1. varianta</a:t>
          </a:r>
        </a:p>
      </dgm:t>
    </dgm:pt>
    <dgm:pt modelId="{459F78AA-98A5-47E1-94E4-A12140F9EEC7}" type="parTrans" cxnId="{A1D47129-CD2E-4AC5-B3BB-A4E48F6AA8CE}">
      <dgm:prSet/>
      <dgm:spPr/>
      <dgm:t>
        <a:bodyPr/>
        <a:lstStyle/>
        <a:p>
          <a:endParaRPr lang="cs-CZ"/>
        </a:p>
      </dgm:t>
    </dgm:pt>
    <dgm:pt modelId="{CF972202-EC1B-4575-AB65-01CB79B27AC3}" type="sibTrans" cxnId="{A1D47129-CD2E-4AC5-B3BB-A4E48F6AA8CE}">
      <dgm:prSet/>
      <dgm:spPr/>
      <dgm:t>
        <a:bodyPr/>
        <a:lstStyle/>
        <a:p>
          <a:endParaRPr lang="cs-CZ"/>
        </a:p>
      </dgm:t>
    </dgm:pt>
    <dgm:pt modelId="{5887AD70-326E-4C5F-93A9-5BB5BF99B842}">
      <dgm:prSet phldrT="[Text]"/>
      <dgm:spPr>
        <a:xfrm>
          <a:off x="1048212" y="265419"/>
          <a:ext cx="999459" cy="399783"/>
        </a:xfrm>
        <a:solidFill>
          <a:srgbClr val="8064A2">
            <a:tint val="40000"/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Nabídka</a:t>
          </a:r>
        </a:p>
      </dgm:t>
    </dgm:pt>
    <dgm:pt modelId="{091C54B7-FB7F-48A8-A3DE-C6553951A056}" type="parTrans" cxnId="{B999F410-0380-4FE9-B4A8-51B7B131E0D2}">
      <dgm:prSet/>
      <dgm:spPr/>
      <dgm:t>
        <a:bodyPr/>
        <a:lstStyle/>
        <a:p>
          <a:endParaRPr lang="cs-CZ"/>
        </a:p>
      </dgm:t>
    </dgm:pt>
    <dgm:pt modelId="{83D3F56B-3D80-4AA1-B4EB-0AE22666F6E4}" type="sibTrans" cxnId="{B999F410-0380-4FE9-B4A8-51B7B131E0D2}">
      <dgm:prSet/>
      <dgm:spPr/>
      <dgm:t>
        <a:bodyPr/>
        <a:lstStyle/>
        <a:p>
          <a:endParaRPr lang="cs-CZ"/>
        </a:p>
      </dgm:t>
    </dgm:pt>
    <dgm:pt modelId="{F4D97DE0-1DE7-42DB-9C76-74202FBCD34D}">
      <dgm:prSet phldrT="[Text]"/>
      <dgm:spPr>
        <a:xfrm>
          <a:off x="1907747" y="265419"/>
          <a:ext cx="999459" cy="399783"/>
        </a:xfrm>
        <a:solidFill>
          <a:srgbClr val="8064A2">
            <a:tint val="40000"/>
            <a:alpha val="90000"/>
            <a:hueOff val="-358701"/>
            <a:satOff val="2014"/>
            <a:lumOff val="128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358701"/>
              <a:satOff val="2014"/>
              <a:lumOff val="128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Objednávka přij.</a:t>
          </a:r>
        </a:p>
      </dgm:t>
    </dgm:pt>
    <dgm:pt modelId="{B8929845-0B2C-45E3-A88B-5F508EC7678D}" type="parTrans" cxnId="{E9C27BB2-8E29-44DA-85CF-7B42A0FDC9C5}">
      <dgm:prSet/>
      <dgm:spPr/>
      <dgm:t>
        <a:bodyPr/>
        <a:lstStyle/>
        <a:p>
          <a:endParaRPr lang="cs-CZ"/>
        </a:p>
      </dgm:t>
    </dgm:pt>
    <dgm:pt modelId="{98B7FAF6-856B-41AF-9140-6953B6997851}" type="sibTrans" cxnId="{E9C27BB2-8E29-44DA-85CF-7B42A0FDC9C5}">
      <dgm:prSet/>
      <dgm:spPr/>
      <dgm:t>
        <a:bodyPr/>
        <a:lstStyle/>
        <a:p>
          <a:endParaRPr lang="cs-CZ"/>
        </a:p>
      </dgm:t>
    </dgm:pt>
    <dgm:pt modelId="{E113222D-3AAC-4CD0-92FE-4CA772A8048A}">
      <dgm:prSet phldrT="[Text]"/>
      <dgm:spPr>
        <a:xfrm>
          <a:off x="586" y="773578"/>
          <a:ext cx="1204168" cy="481667"/>
        </a:xfrm>
        <a:gradFill rotWithShape="0">
          <a:gsLst>
            <a:gs pos="0">
              <a:srgbClr val="8064A2">
                <a:hueOff val="-2232385"/>
                <a:satOff val="13449"/>
                <a:lumOff val="1078"/>
                <a:alphaOff val="0"/>
                <a:shade val="51000"/>
                <a:satMod val="130000"/>
              </a:srgbClr>
            </a:gs>
            <a:gs pos="80000">
              <a:srgbClr val="8064A2">
                <a:hueOff val="-2232385"/>
                <a:satOff val="13449"/>
                <a:lumOff val="1078"/>
                <a:alphaOff val="0"/>
                <a:shade val="93000"/>
                <a:satMod val="130000"/>
              </a:srgbClr>
            </a:gs>
            <a:gs pos="100000">
              <a:srgbClr val="8064A2">
                <a:hueOff val="-2232385"/>
                <a:satOff val="13449"/>
                <a:lumOff val="1078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gm:spPr>
      <dgm:t>
        <a:bodyPr/>
        <a:lstStyle/>
        <a:p>
          <a:r>
            <a:rPr lang="cs-CZ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2. varianta</a:t>
          </a:r>
        </a:p>
      </dgm:t>
    </dgm:pt>
    <dgm:pt modelId="{81775ADF-CBB6-464F-BD63-B47B797399EA}" type="parTrans" cxnId="{CD93F9BD-6A36-4A90-9257-A513556FFC4F}">
      <dgm:prSet/>
      <dgm:spPr/>
      <dgm:t>
        <a:bodyPr/>
        <a:lstStyle/>
        <a:p>
          <a:endParaRPr lang="cs-CZ"/>
        </a:p>
      </dgm:t>
    </dgm:pt>
    <dgm:pt modelId="{8EB231E4-B114-4C23-BC7C-F77EB9BBA71F}" type="sibTrans" cxnId="{CD93F9BD-6A36-4A90-9257-A513556FFC4F}">
      <dgm:prSet/>
      <dgm:spPr/>
      <dgm:t>
        <a:bodyPr/>
        <a:lstStyle/>
        <a:p>
          <a:endParaRPr lang="cs-CZ"/>
        </a:p>
      </dgm:t>
    </dgm:pt>
    <dgm:pt modelId="{BEF12E49-AC6D-477C-8A34-3D2BA5A049CD}">
      <dgm:prSet phldrT="[Text]"/>
      <dgm:spPr>
        <a:xfrm>
          <a:off x="1048212" y="814520"/>
          <a:ext cx="999459" cy="399783"/>
        </a:xfrm>
        <a:solidFill>
          <a:srgbClr val="8064A2">
            <a:tint val="40000"/>
            <a:alpha val="90000"/>
            <a:hueOff val="-1434802"/>
            <a:satOff val="8057"/>
            <a:lumOff val="512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1434802"/>
              <a:satOff val="8057"/>
              <a:lumOff val="512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Objednávka přij.</a:t>
          </a:r>
        </a:p>
      </dgm:t>
    </dgm:pt>
    <dgm:pt modelId="{F990918B-3E07-4105-B748-E795F417BDC2}" type="parTrans" cxnId="{55DAFDF0-2A19-43BA-B269-E8A7EED62CCC}">
      <dgm:prSet/>
      <dgm:spPr/>
      <dgm:t>
        <a:bodyPr/>
        <a:lstStyle/>
        <a:p>
          <a:endParaRPr lang="cs-CZ"/>
        </a:p>
      </dgm:t>
    </dgm:pt>
    <dgm:pt modelId="{297A5918-BBFF-43F7-98B7-6018DF6F276F}" type="sibTrans" cxnId="{55DAFDF0-2A19-43BA-B269-E8A7EED62CCC}">
      <dgm:prSet/>
      <dgm:spPr/>
      <dgm:t>
        <a:bodyPr/>
        <a:lstStyle/>
        <a:p>
          <a:endParaRPr lang="cs-CZ"/>
        </a:p>
      </dgm:t>
    </dgm:pt>
    <dgm:pt modelId="{36AD4F72-8E3D-40AC-9D86-03E2A25A39C6}">
      <dgm:prSet phldrT="[Text]"/>
      <dgm:spPr>
        <a:xfrm>
          <a:off x="1907747" y="814520"/>
          <a:ext cx="999459" cy="399783"/>
        </a:xfrm>
        <a:solidFill>
          <a:srgbClr val="8064A2">
            <a:tint val="40000"/>
            <a:alpha val="90000"/>
            <a:hueOff val="-1793503"/>
            <a:satOff val="10071"/>
            <a:lumOff val="640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1793503"/>
              <a:satOff val="10071"/>
              <a:lumOff val="64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Faktura vyd.</a:t>
          </a:r>
        </a:p>
      </dgm:t>
    </dgm:pt>
    <dgm:pt modelId="{3B6DE650-397E-4A33-9397-A583EEC3497B}" type="parTrans" cxnId="{1F300D97-F18A-40B4-A0F6-107A4AEDFC20}">
      <dgm:prSet/>
      <dgm:spPr/>
      <dgm:t>
        <a:bodyPr/>
        <a:lstStyle/>
        <a:p>
          <a:endParaRPr lang="cs-CZ"/>
        </a:p>
      </dgm:t>
    </dgm:pt>
    <dgm:pt modelId="{F7577A7C-4B36-454D-95F3-9BD804EA91DD}" type="sibTrans" cxnId="{1F300D97-F18A-40B4-A0F6-107A4AEDFC20}">
      <dgm:prSet/>
      <dgm:spPr/>
      <dgm:t>
        <a:bodyPr/>
        <a:lstStyle/>
        <a:p>
          <a:endParaRPr lang="cs-CZ"/>
        </a:p>
      </dgm:t>
    </dgm:pt>
    <dgm:pt modelId="{D5FCBAA8-DB58-456E-AFFF-7EA82B6958E0}">
      <dgm:prSet phldrT="[Text]"/>
      <dgm:spPr>
        <a:xfrm>
          <a:off x="586" y="1322679"/>
          <a:ext cx="1204168" cy="481667"/>
        </a:xfrm>
        <a:gradFill rotWithShape="0">
          <a:gsLst>
            <a:gs pos="0">
              <a:srgbClr val="8064A2">
                <a:hueOff val="-4464770"/>
                <a:satOff val="26899"/>
                <a:lumOff val="2156"/>
                <a:alphaOff val="0"/>
                <a:shade val="51000"/>
                <a:satMod val="130000"/>
              </a:srgbClr>
            </a:gs>
            <a:gs pos="80000">
              <a:srgbClr val="8064A2">
                <a:hueOff val="-4464770"/>
                <a:satOff val="26899"/>
                <a:lumOff val="2156"/>
                <a:alphaOff val="0"/>
                <a:shade val="93000"/>
                <a:satMod val="130000"/>
              </a:srgbClr>
            </a:gs>
            <a:gs pos="100000">
              <a:srgbClr val="8064A2">
                <a:hueOff val="-4464770"/>
                <a:satOff val="26899"/>
                <a:lumOff val="2156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gm:spPr>
      <dgm:t>
        <a:bodyPr/>
        <a:lstStyle/>
        <a:p>
          <a:r>
            <a:rPr lang="cs-CZ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3. varianta</a:t>
          </a:r>
        </a:p>
      </dgm:t>
    </dgm:pt>
    <dgm:pt modelId="{BC5FF9D5-CD47-4B32-8F09-D53112F86D22}" type="parTrans" cxnId="{57B7046C-CC93-408F-88E0-3F70F4FB2E84}">
      <dgm:prSet/>
      <dgm:spPr/>
      <dgm:t>
        <a:bodyPr/>
        <a:lstStyle/>
        <a:p>
          <a:endParaRPr lang="cs-CZ"/>
        </a:p>
      </dgm:t>
    </dgm:pt>
    <dgm:pt modelId="{F0F756AB-0324-441E-B94A-DC8CB7B03A59}" type="sibTrans" cxnId="{57B7046C-CC93-408F-88E0-3F70F4FB2E84}">
      <dgm:prSet/>
      <dgm:spPr/>
      <dgm:t>
        <a:bodyPr/>
        <a:lstStyle/>
        <a:p>
          <a:endParaRPr lang="cs-CZ"/>
        </a:p>
      </dgm:t>
    </dgm:pt>
    <dgm:pt modelId="{AC824BCD-EDC8-4A63-A04C-96B4D3718CB4}">
      <dgm:prSet phldrT="[Text]"/>
      <dgm:spPr>
        <a:xfrm>
          <a:off x="1048212" y="1363621"/>
          <a:ext cx="999459" cy="399783"/>
        </a:xfrm>
        <a:solidFill>
          <a:srgbClr val="8064A2">
            <a:tint val="40000"/>
            <a:alpha val="90000"/>
            <a:hueOff val="-2510904"/>
            <a:satOff val="14100"/>
            <a:lumOff val="896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2510904"/>
              <a:satOff val="14100"/>
              <a:lumOff val="896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Poptávka</a:t>
          </a:r>
        </a:p>
      </dgm:t>
    </dgm:pt>
    <dgm:pt modelId="{A1251B39-03D5-40D7-A2BA-61F9F2B5E9C6}" type="parTrans" cxnId="{DE44396D-CC1C-4C96-8445-5712746BB301}">
      <dgm:prSet/>
      <dgm:spPr/>
      <dgm:t>
        <a:bodyPr/>
        <a:lstStyle/>
        <a:p>
          <a:endParaRPr lang="cs-CZ"/>
        </a:p>
      </dgm:t>
    </dgm:pt>
    <dgm:pt modelId="{1F5A11D1-DC3B-45D6-9EEB-6313313DDCCE}" type="sibTrans" cxnId="{DE44396D-CC1C-4C96-8445-5712746BB301}">
      <dgm:prSet/>
      <dgm:spPr/>
      <dgm:t>
        <a:bodyPr/>
        <a:lstStyle/>
        <a:p>
          <a:endParaRPr lang="cs-CZ"/>
        </a:p>
      </dgm:t>
    </dgm:pt>
    <dgm:pt modelId="{A847C764-8CCE-4801-9B42-30D33389B6AE}">
      <dgm:prSet phldrT="[Text]"/>
      <dgm:spPr>
        <a:xfrm>
          <a:off x="1907747" y="1363621"/>
          <a:ext cx="999459" cy="399783"/>
        </a:xfrm>
        <a:solidFill>
          <a:srgbClr val="8064A2">
            <a:tint val="40000"/>
            <a:alpha val="90000"/>
            <a:hueOff val="-2869604"/>
            <a:satOff val="16114"/>
            <a:lumOff val="1024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2869604"/>
              <a:satOff val="16114"/>
              <a:lumOff val="1024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Nabídka</a:t>
          </a:r>
        </a:p>
      </dgm:t>
    </dgm:pt>
    <dgm:pt modelId="{7E5C02F0-781E-47C5-A9F6-C5BB3838C407}" type="parTrans" cxnId="{5151AA59-EB5A-4C8B-9C2A-0E55DE7FC266}">
      <dgm:prSet/>
      <dgm:spPr/>
      <dgm:t>
        <a:bodyPr/>
        <a:lstStyle/>
        <a:p>
          <a:endParaRPr lang="cs-CZ"/>
        </a:p>
      </dgm:t>
    </dgm:pt>
    <dgm:pt modelId="{DE49C79C-BA1E-4B87-AC0B-3A1A9DE3BBF7}" type="sibTrans" cxnId="{5151AA59-EB5A-4C8B-9C2A-0E55DE7FC266}">
      <dgm:prSet/>
      <dgm:spPr/>
      <dgm:t>
        <a:bodyPr/>
        <a:lstStyle/>
        <a:p>
          <a:endParaRPr lang="cs-CZ"/>
        </a:p>
      </dgm:t>
    </dgm:pt>
    <dgm:pt modelId="{470A3990-EC5F-4556-B20E-70266DF437EB}">
      <dgm:prSet/>
      <dgm:spPr>
        <a:xfrm>
          <a:off x="3626818" y="265419"/>
          <a:ext cx="999459" cy="399783"/>
        </a:xfrm>
        <a:solidFill>
          <a:srgbClr val="8064A2">
            <a:tint val="40000"/>
            <a:alpha val="90000"/>
            <a:hueOff val="-1076102"/>
            <a:satOff val="6043"/>
            <a:lumOff val="384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1076102"/>
              <a:satOff val="6043"/>
              <a:lumOff val="384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Platba přij.</a:t>
          </a:r>
        </a:p>
      </dgm:t>
    </dgm:pt>
    <dgm:pt modelId="{10CC8704-71B1-48BE-ADEF-EB0D27DAFAF8}" type="parTrans" cxnId="{DC4E7DCE-8664-4296-AD69-548DF85D97A8}">
      <dgm:prSet/>
      <dgm:spPr/>
      <dgm:t>
        <a:bodyPr/>
        <a:lstStyle/>
        <a:p>
          <a:endParaRPr lang="cs-CZ"/>
        </a:p>
      </dgm:t>
    </dgm:pt>
    <dgm:pt modelId="{0B400044-9A1D-42FC-B655-25B99831AAF2}" type="sibTrans" cxnId="{DC4E7DCE-8664-4296-AD69-548DF85D97A8}">
      <dgm:prSet/>
      <dgm:spPr/>
      <dgm:t>
        <a:bodyPr/>
        <a:lstStyle/>
        <a:p>
          <a:endParaRPr lang="cs-CZ"/>
        </a:p>
      </dgm:t>
    </dgm:pt>
    <dgm:pt modelId="{DAEA603B-8E88-4621-828F-9545B0FFEFE7}">
      <dgm:prSet/>
      <dgm:spPr>
        <a:xfrm>
          <a:off x="2767283" y="814520"/>
          <a:ext cx="999459" cy="399783"/>
        </a:xfrm>
        <a:solidFill>
          <a:srgbClr val="8064A2">
            <a:tint val="40000"/>
            <a:alpha val="90000"/>
            <a:hueOff val="-2152203"/>
            <a:satOff val="12086"/>
            <a:lumOff val="768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2152203"/>
              <a:satOff val="12086"/>
              <a:lumOff val="768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Platba přij,</a:t>
          </a:r>
        </a:p>
      </dgm:t>
    </dgm:pt>
    <dgm:pt modelId="{5041ED17-2F31-455C-AB2E-E98E49087863}" type="parTrans" cxnId="{ABAD9D7C-61DD-4064-BF09-B04763D7EBFB}">
      <dgm:prSet/>
      <dgm:spPr/>
      <dgm:t>
        <a:bodyPr/>
        <a:lstStyle/>
        <a:p>
          <a:endParaRPr lang="cs-CZ"/>
        </a:p>
      </dgm:t>
    </dgm:pt>
    <dgm:pt modelId="{728067D7-204E-4202-88EB-B8E23A662965}" type="sibTrans" cxnId="{ABAD9D7C-61DD-4064-BF09-B04763D7EBFB}">
      <dgm:prSet/>
      <dgm:spPr/>
      <dgm:t>
        <a:bodyPr/>
        <a:lstStyle/>
        <a:p>
          <a:endParaRPr lang="cs-CZ"/>
        </a:p>
      </dgm:t>
    </dgm:pt>
    <dgm:pt modelId="{72EB7124-6649-49E0-BA80-A7C86C616869}">
      <dgm:prSet/>
      <dgm:spPr>
        <a:xfrm>
          <a:off x="2767283" y="265419"/>
          <a:ext cx="999459" cy="399783"/>
        </a:xfrm>
        <a:solidFill>
          <a:srgbClr val="8064A2">
            <a:tint val="40000"/>
            <a:alpha val="90000"/>
            <a:hueOff val="-717401"/>
            <a:satOff val="4029"/>
            <a:lumOff val="256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717401"/>
              <a:satOff val="4029"/>
              <a:lumOff val="256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Faktura vyd.</a:t>
          </a:r>
        </a:p>
      </dgm:t>
    </dgm:pt>
    <dgm:pt modelId="{D239BF66-F471-4FBE-9D1A-E969C1B2A259}" type="sibTrans" cxnId="{40A53E1A-2196-4512-ADEC-3789BB45D064}">
      <dgm:prSet/>
      <dgm:spPr/>
      <dgm:t>
        <a:bodyPr/>
        <a:lstStyle/>
        <a:p>
          <a:endParaRPr lang="cs-CZ"/>
        </a:p>
      </dgm:t>
    </dgm:pt>
    <dgm:pt modelId="{0CD5DBD2-C8B5-48D8-9403-1483C75159BD}" type="parTrans" cxnId="{40A53E1A-2196-4512-ADEC-3789BB45D064}">
      <dgm:prSet/>
      <dgm:spPr/>
      <dgm:t>
        <a:bodyPr/>
        <a:lstStyle/>
        <a:p>
          <a:endParaRPr lang="cs-CZ"/>
        </a:p>
      </dgm:t>
    </dgm:pt>
    <dgm:pt modelId="{539C9687-4DFD-4A16-88E4-096BE9C6EE63}">
      <dgm:prSet/>
      <dgm:spPr>
        <a:xfrm>
          <a:off x="2767283" y="1363621"/>
          <a:ext cx="999459" cy="399783"/>
        </a:xfrm>
        <a:solidFill>
          <a:srgbClr val="8064A2">
            <a:tint val="40000"/>
            <a:alpha val="90000"/>
            <a:hueOff val="-3228305"/>
            <a:satOff val="18128"/>
            <a:lumOff val="1152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3228305"/>
              <a:satOff val="18128"/>
              <a:lumOff val="1152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Objednávka přij.</a:t>
          </a:r>
        </a:p>
      </dgm:t>
    </dgm:pt>
    <dgm:pt modelId="{6AA7CA1E-5A32-410F-A164-49D18E2B6ABB}" type="parTrans" cxnId="{B9282E4F-B287-4962-98B0-58719E51558D}">
      <dgm:prSet/>
      <dgm:spPr/>
      <dgm:t>
        <a:bodyPr/>
        <a:lstStyle/>
        <a:p>
          <a:endParaRPr lang="cs-CZ"/>
        </a:p>
      </dgm:t>
    </dgm:pt>
    <dgm:pt modelId="{8FA21F4E-5F4A-4EF5-BA6E-CEC89256CB90}" type="sibTrans" cxnId="{B9282E4F-B287-4962-98B0-58719E51558D}">
      <dgm:prSet/>
      <dgm:spPr/>
      <dgm:t>
        <a:bodyPr/>
        <a:lstStyle/>
        <a:p>
          <a:endParaRPr lang="cs-CZ"/>
        </a:p>
      </dgm:t>
    </dgm:pt>
    <dgm:pt modelId="{FACC08BD-8AA8-4B26-AA72-42A9177B00D0}">
      <dgm:prSet/>
      <dgm:spPr>
        <a:xfrm>
          <a:off x="3626818" y="1363621"/>
          <a:ext cx="999459" cy="399783"/>
        </a:xfrm>
        <a:solidFill>
          <a:srgbClr val="8064A2">
            <a:tint val="40000"/>
            <a:alpha val="90000"/>
            <a:hueOff val="-3587005"/>
            <a:satOff val="20143"/>
            <a:lumOff val="1280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3587005"/>
              <a:satOff val="20143"/>
              <a:lumOff val="128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Faktura vyd.</a:t>
          </a:r>
        </a:p>
      </dgm:t>
    </dgm:pt>
    <dgm:pt modelId="{F2C8B80D-3A34-4A83-952C-DB00E0567616}" type="parTrans" cxnId="{DE3879A1-9850-4E7B-8751-FC6927053B2C}">
      <dgm:prSet/>
      <dgm:spPr/>
      <dgm:t>
        <a:bodyPr/>
        <a:lstStyle/>
        <a:p>
          <a:endParaRPr lang="cs-CZ"/>
        </a:p>
      </dgm:t>
    </dgm:pt>
    <dgm:pt modelId="{3EFB354A-160F-49DC-A496-5B77B10BFE87}" type="sibTrans" cxnId="{DE3879A1-9850-4E7B-8751-FC6927053B2C}">
      <dgm:prSet/>
      <dgm:spPr/>
      <dgm:t>
        <a:bodyPr/>
        <a:lstStyle/>
        <a:p>
          <a:endParaRPr lang="cs-CZ"/>
        </a:p>
      </dgm:t>
    </dgm:pt>
    <dgm:pt modelId="{41DB8317-2193-41CF-A09F-71C85ED51EF1}">
      <dgm:prSet/>
      <dgm:spPr>
        <a:xfrm>
          <a:off x="4486354" y="1363621"/>
          <a:ext cx="999459" cy="399783"/>
        </a:xfrm>
        <a:solidFill>
          <a:srgbClr val="8064A2">
            <a:tint val="40000"/>
            <a:alpha val="90000"/>
            <a:hueOff val="-3945706"/>
            <a:satOff val="22157"/>
            <a:lumOff val="1408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3945706"/>
              <a:satOff val="22157"/>
              <a:lumOff val="1408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Platba přij.</a:t>
          </a:r>
        </a:p>
      </dgm:t>
    </dgm:pt>
    <dgm:pt modelId="{6467FE7B-54DE-4C0B-80E0-C5D05CAE83DF}" type="parTrans" cxnId="{4E85E8D8-E3BF-49EA-9955-F2FD814EF24F}">
      <dgm:prSet/>
      <dgm:spPr/>
      <dgm:t>
        <a:bodyPr/>
        <a:lstStyle/>
        <a:p>
          <a:endParaRPr lang="cs-CZ"/>
        </a:p>
      </dgm:t>
    </dgm:pt>
    <dgm:pt modelId="{D09EACA7-55FE-46DA-93A9-155E719474DA}" type="sibTrans" cxnId="{4E85E8D8-E3BF-49EA-9955-F2FD814EF24F}">
      <dgm:prSet/>
      <dgm:spPr/>
      <dgm:t>
        <a:bodyPr/>
        <a:lstStyle/>
        <a:p>
          <a:endParaRPr lang="cs-CZ"/>
        </a:p>
      </dgm:t>
    </dgm:pt>
    <dgm:pt modelId="{C7CD9779-6C27-4308-A57B-0BC7C611A1D2}" type="pres">
      <dgm:prSet presAssocID="{088BEDC1-5E44-4C17-8D71-0919356B8E61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cs-CZ"/>
        </a:p>
      </dgm:t>
    </dgm:pt>
    <dgm:pt modelId="{1C40BF73-46F5-4F90-A122-B1C36BAE0FAA}" type="pres">
      <dgm:prSet presAssocID="{51BB3CF6-8449-497B-B56B-8F898C4A5D75}" presName="horFlow" presStyleCnt="0"/>
      <dgm:spPr/>
    </dgm:pt>
    <dgm:pt modelId="{8403C5E6-A808-44C9-BAB7-897BAC554E58}" type="pres">
      <dgm:prSet presAssocID="{51BB3CF6-8449-497B-B56B-8F898C4A5D75}" presName="bigChev" presStyleLbl="node1" presStyleIdx="0" presStyleCnt="3"/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A918EFF5-3173-4DB0-ADB1-8BEE3EBB2F6B}" type="pres">
      <dgm:prSet presAssocID="{091C54B7-FB7F-48A8-A3DE-C6553951A056}" presName="parTrans" presStyleCnt="0"/>
      <dgm:spPr/>
    </dgm:pt>
    <dgm:pt modelId="{8F3CFFF1-C9A2-444A-A473-42C42E5573DB}" type="pres">
      <dgm:prSet presAssocID="{5887AD70-326E-4C5F-93A9-5BB5BF99B842}" presName="node" presStyleLbl="alignAccFollowNode1" presStyleIdx="0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28F52992-0270-4350-9E93-F4723E1D14BC}" type="pres">
      <dgm:prSet presAssocID="{83D3F56B-3D80-4AA1-B4EB-0AE22666F6E4}" presName="sibTrans" presStyleCnt="0"/>
      <dgm:spPr/>
    </dgm:pt>
    <dgm:pt modelId="{EF443094-2780-4B3F-90BA-2FD2DC174602}" type="pres">
      <dgm:prSet presAssocID="{F4D97DE0-1DE7-42DB-9C76-74202FBCD34D}" presName="node" presStyleLbl="alignAccFollowNode1" presStyleIdx="1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DE698F7B-F063-4203-9D8D-A11C757AC133}" type="pres">
      <dgm:prSet presAssocID="{98B7FAF6-856B-41AF-9140-6953B6997851}" presName="sibTrans" presStyleCnt="0"/>
      <dgm:spPr/>
    </dgm:pt>
    <dgm:pt modelId="{F7971AEC-30E4-4E3D-B319-69E9D6C147D9}" type="pres">
      <dgm:prSet presAssocID="{72EB7124-6649-49E0-BA80-A7C86C616869}" presName="node" presStyleLbl="alignAccFollowNode1" presStyleIdx="2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5D81BFED-D469-4057-BE59-044882B78005}" type="pres">
      <dgm:prSet presAssocID="{D239BF66-F471-4FBE-9D1A-E969C1B2A259}" presName="sibTrans" presStyleCnt="0"/>
      <dgm:spPr/>
    </dgm:pt>
    <dgm:pt modelId="{99CB58D9-AAA1-487F-BC9E-7E16FDDB34C6}" type="pres">
      <dgm:prSet presAssocID="{470A3990-EC5F-4556-B20E-70266DF437EB}" presName="node" presStyleLbl="alignAccFollowNode1" presStyleIdx="3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909B42DA-7D5B-45EE-8B86-2FDBBACDE8DE}" type="pres">
      <dgm:prSet presAssocID="{51BB3CF6-8449-497B-B56B-8F898C4A5D75}" presName="vSp" presStyleCnt="0"/>
      <dgm:spPr/>
    </dgm:pt>
    <dgm:pt modelId="{315AA67B-E41B-4032-8CEC-EBEAC52F8CCE}" type="pres">
      <dgm:prSet presAssocID="{E113222D-3AAC-4CD0-92FE-4CA772A8048A}" presName="horFlow" presStyleCnt="0"/>
      <dgm:spPr/>
    </dgm:pt>
    <dgm:pt modelId="{89D8E274-82AD-414D-B801-4B70271FF6B5}" type="pres">
      <dgm:prSet presAssocID="{E113222D-3AAC-4CD0-92FE-4CA772A8048A}" presName="bigChev" presStyleLbl="node1" presStyleIdx="1" presStyleCnt="3"/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DD794B8D-53EF-4855-86F0-FC2B51C2E52B}" type="pres">
      <dgm:prSet presAssocID="{F990918B-3E07-4105-B748-E795F417BDC2}" presName="parTrans" presStyleCnt="0"/>
      <dgm:spPr/>
    </dgm:pt>
    <dgm:pt modelId="{0B80ACBA-CE22-4B9E-B104-C608BF2C3399}" type="pres">
      <dgm:prSet presAssocID="{BEF12E49-AC6D-477C-8A34-3D2BA5A049CD}" presName="node" presStyleLbl="alignAccFollowNode1" presStyleIdx="4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DDE4A69E-55BB-4857-B5EC-78D6DF30342C}" type="pres">
      <dgm:prSet presAssocID="{297A5918-BBFF-43F7-98B7-6018DF6F276F}" presName="sibTrans" presStyleCnt="0"/>
      <dgm:spPr/>
    </dgm:pt>
    <dgm:pt modelId="{67E8E60E-4466-469F-BC74-DDBB6AD3788D}" type="pres">
      <dgm:prSet presAssocID="{36AD4F72-8E3D-40AC-9D86-03E2A25A39C6}" presName="node" presStyleLbl="alignAccFollowNode1" presStyleIdx="5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C53200B8-13C8-474D-8E1C-4B59133BFE2B}" type="pres">
      <dgm:prSet presAssocID="{F7577A7C-4B36-454D-95F3-9BD804EA91DD}" presName="sibTrans" presStyleCnt="0"/>
      <dgm:spPr/>
    </dgm:pt>
    <dgm:pt modelId="{C516AC32-4265-4AE5-AE80-B9D9DAC0831A}" type="pres">
      <dgm:prSet presAssocID="{DAEA603B-8E88-4621-828F-9545B0FFEFE7}" presName="node" presStyleLbl="alignAccFollowNode1" presStyleIdx="6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0630478B-25AD-4899-890A-D8D0C51DE2D9}" type="pres">
      <dgm:prSet presAssocID="{E113222D-3AAC-4CD0-92FE-4CA772A8048A}" presName="vSp" presStyleCnt="0"/>
      <dgm:spPr/>
    </dgm:pt>
    <dgm:pt modelId="{D17BDBFB-295B-424C-92E0-D2C0B6E1DFA4}" type="pres">
      <dgm:prSet presAssocID="{D5FCBAA8-DB58-456E-AFFF-7EA82B6958E0}" presName="horFlow" presStyleCnt="0"/>
      <dgm:spPr/>
    </dgm:pt>
    <dgm:pt modelId="{91DF2338-6125-4E91-BCC3-4324F889E032}" type="pres">
      <dgm:prSet presAssocID="{D5FCBAA8-DB58-456E-AFFF-7EA82B6958E0}" presName="bigChev" presStyleLbl="node1" presStyleIdx="2" presStyleCnt="3"/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7A141158-ECA2-4C8F-9217-FCFCC8724400}" type="pres">
      <dgm:prSet presAssocID="{A1251B39-03D5-40D7-A2BA-61F9F2B5E9C6}" presName="parTrans" presStyleCnt="0"/>
      <dgm:spPr/>
    </dgm:pt>
    <dgm:pt modelId="{E82FB305-02E6-4055-9A9D-93FDCEBDA9E2}" type="pres">
      <dgm:prSet presAssocID="{AC824BCD-EDC8-4A63-A04C-96B4D3718CB4}" presName="node" presStyleLbl="alignAccFollowNode1" presStyleIdx="7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B8C1FA04-6781-4AF6-8352-ECF7428803C2}" type="pres">
      <dgm:prSet presAssocID="{1F5A11D1-DC3B-45D6-9EEB-6313313DDCCE}" presName="sibTrans" presStyleCnt="0"/>
      <dgm:spPr/>
    </dgm:pt>
    <dgm:pt modelId="{3B7A9897-CE2D-402E-B320-44D3AC135AFE}" type="pres">
      <dgm:prSet presAssocID="{A847C764-8CCE-4801-9B42-30D33389B6AE}" presName="node" presStyleLbl="alignAccFollowNode1" presStyleIdx="8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7475B1CC-79EC-4E9C-9F66-7935EE88F231}" type="pres">
      <dgm:prSet presAssocID="{DE49C79C-BA1E-4B87-AC0B-3A1A9DE3BBF7}" presName="sibTrans" presStyleCnt="0"/>
      <dgm:spPr/>
    </dgm:pt>
    <dgm:pt modelId="{D3918DD5-878B-46C4-993F-48D35C68FD23}" type="pres">
      <dgm:prSet presAssocID="{539C9687-4DFD-4A16-88E4-096BE9C6EE63}" presName="node" presStyleLbl="alignAccFollowNode1" presStyleIdx="9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0D5F5F32-E9FF-499E-8938-F3A398C76057}" type="pres">
      <dgm:prSet presAssocID="{8FA21F4E-5F4A-4EF5-BA6E-CEC89256CB90}" presName="sibTrans" presStyleCnt="0"/>
      <dgm:spPr/>
    </dgm:pt>
    <dgm:pt modelId="{F3F0B0BB-EDC3-494F-8A09-B1B9C31FB2E8}" type="pres">
      <dgm:prSet presAssocID="{FACC08BD-8AA8-4B26-AA72-42A9177B00D0}" presName="node" presStyleLbl="alignAccFollowNode1" presStyleIdx="10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  <dgm:pt modelId="{BD5B9BB9-C2FF-4368-A7AC-B644A661BE87}" type="pres">
      <dgm:prSet presAssocID="{3EFB354A-160F-49DC-A496-5B77B10BFE87}" presName="sibTrans" presStyleCnt="0"/>
      <dgm:spPr/>
    </dgm:pt>
    <dgm:pt modelId="{C98D2575-1241-4C8B-8FFC-FF4BAE24E1A5}" type="pres">
      <dgm:prSet presAssocID="{41DB8317-2193-41CF-A09F-71C85ED51EF1}" presName="node" presStyleLbl="alignAccFollowNode1" presStyleIdx="11" presStyleCnt="12">
        <dgm:presLayoutVars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cs-CZ"/>
        </a:p>
      </dgm:t>
    </dgm:pt>
  </dgm:ptLst>
  <dgm:cxnLst>
    <dgm:cxn modelId="{55DAFDF0-2A19-43BA-B269-E8A7EED62CCC}" srcId="{E113222D-3AAC-4CD0-92FE-4CA772A8048A}" destId="{BEF12E49-AC6D-477C-8A34-3D2BA5A049CD}" srcOrd="0" destOrd="0" parTransId="{F990918B-3E07-4105-B748-E795F417BDC2}" sibTransId="{297A5918-BBFF-43F7-98B7-6018DF6F276F}"/>
    <dgm:cxn modelId="{E9C27BB2-8E29-44DA-85CF-7B42A0FDC9C5}" srcId="{51BB3CF6-8449-497B-B56B-8F898C4A5D75}" destId="{F4D97DE0-1DE7-42DB-9C76-74202FBCD34D}" srcOrd="1" destOrd="0" parTransId="{B8929845-0B2C-45E3-A88B-5F508EC7678D}" sibTransId="{98B7FAF6-856B-41AF-9140-6953B6997851}"/>
    <dgm:cxn modelId="{B9282E4F-B287-4962-98B0-58719E51558D}" srcId="{D5FCBAA8-DB58-456E-AFFF-7EA82B6958E0}" destId="{539C9687-4DFD-4A16-88E4-096BE9C6EE63}" srcOrd="2" destOrd="0" parTransId="{6AA7CA1E-5A32-410F-A164-49D18E2B6ABB}" sibTransId="{8FA21F4E-5F4A-4EF5-BA6E-CEC89256CB90}"/>
    <dgm:cxn modelId="{4B16D21A-1752-40DF-AF87-4E755C8EE4B9}" type="presOf" srcId="{D5FCBAA8-DB58-456E-AFFF-7EA82B6958E0}" destId="{91DF2338-6125-4E91-BCC3-4324F889E032}" srcOrd="0" destOrd="0" presId="urn:microsoft.com/office/officeart/2005/8/layout/lProcess3"/>
    <dgm:cxn modelId="{DC4E7DCE-8664-4296-AD69-548DF85D97A8}" srcId="{51BB3CF6-8449-497B-B56B-8F898C4A5D75}" destId="{470A3990-EC5F-4556-B20E-70266DF437EB}" srcOrd="3" destOrd="0" parTransId="{10CC8704-71B1-48BE-ADEF-EB0D27DAFAF8}" sibTransId="{0B400044-9A1D-42FC-B655-25B99831AAF2}"/>
    <dgm:cxn modelId="{1EE1B7B3-F114-4809-926F-E504C5115C5F}" type="presOf" srcId="{FACC08BD-8AA8-4B26-AA72-42A9177B00D0}" destId="{F3F0B0BB-EDC3-494F-8A09-B1B9C31FB2E8}" srcOrd="0" destOrd="0" presId="urn:microsoft.com/office/officeart/2005/8/layout/lProcess3"/>
    <dgm:cxn modelId="{3A731DE7-7967-4884-812B-83C9CFA87D6A}" type="presOf" srcId="{F4D97DE0-1DE7-42DB-9C76-74202FBCD34D}" destId="{EF443094-2780-4B3F-90BA-2FD2DC174602}" srcOrd="0" destOrd="0" presId="urn:microsoft.com/office/officeart/2005/8/layout/lProcess3"/>
    <dgm:cxn modelId="{57B7046C-CC93-408F-88E0-3F70F4FB2E84}" srcId="{088BEDC1-5E44-4C17-8D71-0919356B8E61}" destId="{D5FCBAA8-DB58-456E-AFFF-7EA82B6958E0}" srcOrd="2" destOrd="0" parTransId="{BC5FF9D5-CD47-4B32-8F09-D53112F86D22}" sibTransId="{F0F756AB-0324-441E-B94A-DC8CB7B03A59}"/>
    <dgm:cxn modelId="{C969FCBE-4CCB-4C79-ABE0-1BF3AE0F5D93}" type="presOf" srcId="{539C9687-4DFD-4A16-88E4-096BE9C6EE63}" destId="{D3918DD5-878B-46C4-993F-48D35C68FD23}" srcOrd="0" destOrd="0" presId="urn:microsoft.com/office/officeart/2005/8/layout/lProcess3"/>
    <dgm:cxn modelId="{E452259F-73C0-4F8E-B959-8660134386DE}" type="presOf" srcId="{BEF12E49-AC6D-477C-8A34-3D2BA5A049CD}" destId="{0B80ACBA-CE22-4B9E-B104-C608BF2C3399}" srcOrd="0" destOrd="0" presId="urn:microsoft.com/office/officeart/2005/8/layout/lProcess3"/>
    <dgm:cxn modelId="{84E53FA1-7A57-40C1-A0C2-0ABC967F0C3B}" type="presOf" srcId="{AC824BCD-EDC8-4A63-A04C-96B4D3718CB4}" destId="{E82FB305-02E6-4055-9A9D-93FDCEBDA9E2}" srcOrd="0" destOrd="0" presId="urn:microsoft.com/office/officeart/2005/8/layout/lProcess3"/>
    <dgm:cxn modelId="{B999F410-0380-4FE9-B4A8-51B7B131E0D2}" srcId="{51BB3CF6-8449-497B-B56B-8F898C4A5D75}" destId="{5887AD70-326E-4C5F-93A9-5BB5BF99B842}" srcOrd="0" destOrd="0" parTransId="{091C54B7-FB7F-48A8-A3DE-C6553951A056}" sibTransId="{83D3F56B-3D80-4AA1-B4EB-0AE22666F6E4}"/>
    <dgm:cxn modelId="{4294F056-F66A-41BC-97E3-3AC10F0345FE}" type="presOf" srcId="{A847C764-8CCE-4801-9B42-30D33389B6AE}" destId="{3B7A9897-CE2D-402E-B320-44D3AC135AFE}" srcOrd="0" destOrd="0" presId="urn:microsoft.com/office/officeart/2005/8/layout/lProcess3"/>
    <dgm:cxn modelId="{4E85E8D8-E3BF-49EA-9955-F2FD814EF24F}" srcId="{D5FCBAA8-DB58-456E-AFFF-7EA82B6958E0}" destId="{41DB8317-2193-41CF-A09F-71C85ED51EF1}" srcOrd="4" destOrd="0" parTransId="{6467FE7B-54DE-4C0B-80E0-C5D05CAE83DF}" sibTransId="{D09EACA7-55FE-46DA-93A9-155E719474DA}"/>
    <dgm:cxn modelId="{DE44396D-CC1C-4C96-8445-5712746BB301}" srcId="{D5FCBAA8-DB58-456E-AFFF-7EA82B6958E0}" destId="{AC824BCD-EDC8-4A63-A04C-96B4D3718CB4}" srcOrd="0" destOrd="0" parTransId="{A1251B39-03D5-40D7-A2BA-61F9F2B5E9C6}" sibTransId="{1F5A11D1-DC3B-45D6-9EEB-6313313DDCCE}"/>
    <dgm:cxn modelId="{1E8DD47D-4A76-4796-AF45-DF4D0CDE0148}" type="presOf" srcId="{72EB7124-6649-49E0-BA80-A7C86C616869}" destId="{F7971AEC-30E4-4E3D-B319-69E9D6C147D9}" srcOrd="0" destOrd="0" presId="urn:microsoft.com/office/officeart/2005/8/layout/lProcess3"/>
    <dgm:cxn modelId="{ABAD9D7C-61DD-4064-BF09-B04763D7EBFB}" srcId="{E113222D-3AAC-4CD0-92FE-4CA772A8048A}" destId="{DAEA603B-8E88-4621-828F-9545B0FFEFE7}" srcOrd="2" destOrd="0" parTransId="{5041ED17-2F31-455C-AB2E-E98E49087863}" sibTransId="{728067D7-204E-4202-88EB-B8E23A662965}"/>
    <dgm:cxn modelId="{CD93F9BD-6A36-4A90-9257-A513556FFC4F}" srcId="{088BEDC1-5E44-4C17-8D71-0919356B8E61}" destId="{E113222D-3AAC-4CD0-92FE-4CA772A8048A}" srcOrd="1" destOrd="0" parTransId="{81775ADF-CBB6-464F-BD63-B47B797399EA}" sibTransId="{8EB231E4-B114-4C23-BC7C-F77EB9BBA71F}"/>
    <dgm:cxn modelId="{DE3879A1-9850-4E7B-8751-FC6927053B2C}" srcId="{D5FCBAA8-DB58-456E-AFFF-7EA82B6958E0}" destId="{FACC08BD-8AA8-4B26-AA72-42A9177B00D0}" srcOrd="3" destOrd="0" parTransId="{F2C8B80D-3A34-4A83-952C-DB00E0567616}" sibTransId="{3EFB354A-160F-49DC-A496-5B77B10BFE87}"/>
    <dgm:cxn modelId="{924C3B0B-8917-4FB5-B2CA-4F6D5AA9A2EC}" type="presOf" srcId="{DAEA603B-8E88-4621-828F-9545B0FFEFE7}" destId="{C516AC32-4265-4AE5-AE80-B9D9DAC0831A}" srcOrd="0" destOrd="0" presId="urn:microsoft.com/office/officeart/2005/8/layout/lProcess3"/>
    <dgm:cxn modelId="{E2A7E5CD-3F0E-46EF-8AA4-B84EA38D6F48}" type="presOf" srcId="{470A3990-EC5F-4556-B20E-70266DF437EB}" destId="{99CB58D9-AAA1-487F-BC9E-7E16FDDB34C6}" srcOrd="0" destOrd="0" presId="urn:microsoft.com/office/officeart/2005/8/layout/lProcess3"/>
    <dgm:cxn modelId="{D1661534-440B-4B48-AC62-4CCE879633C7}" type="presOf" srcId="{5887AD70-326E-4C5F-93A9-5BB5BF99B842}" destId="{8F3CFFF1-C9A2-444A-A473-42C42E5573DB}" srcOrd="0" destOrd="0" presId="urn:microsoft.com/office/officeart/2005/8/layout/lProcess3"/>
    <dgm:cxn modelId="{374950D6-5CC1-4903-8680-9A3D1EFE4630}" type="presOf" srcId="{36AD4F72-8E3D-40AC-9D86-03E2A25A39C6}" destId="{67E8E60E-4466-469F-BC74-DDBB6AD3788D}" srcOrd="0" destOrd="0" presId="urn:microsoft.com/office/officeart/2005/8/layout/lProcess3"/>
    <dgm:cxn modelId="{5151AA59-EB5A-4C8B-9C2A-0E55DE7FC266}" srcId="{D5FCBAA8-DB58-456E-AFFF-7EA82B6958E0}" destId="{A847C764-8CCE-4801-9B42-30D33389B6AE}" srcOrd="1" destOrd="0" parTransId="{7E5C02F0-781E-47C5-A9F6-C5BB3838C407}" sibTransId="{DE49C79C-BA1E-4B87-AC0B-3A1A9DE3BBF7}"/>
    <dgm:cxn modelId="{069CCB10-12BD-4FDD-ABFD-05CE2D3B0F90}" type="presOf" srcId="{41DB8317-2193-41CF-A09F-71C85ED51EF1}" destId="{C98D2575-1241-4C8B-8FFC-FF4BAE24E1A5}" srcOrd="0" destOrd="0" presId="urn:microsoft.com/office/officeart/2005/8/layout/lProcess3"/>
    <dgm:cxn modelId="{C1786D75-B43D-46CD-A105-DADB6EDEFBDD}" type="presOf" srcId="{E113222D-3AAC-4CD0-92FE-4CA772A8048A}" destId="{89D8E274-82AD-414D-B801-4B70271FF6B5}" srcOrd="0" destOrd="0" presId="urn:microsoft.com/office/officeart/2005/8/layout/lProcess3"/>
    <dgm:cxn modelId="{40A53E1A-2196-4512-ADEC-3789BB45D064}" srcId="{51BB3CF6-8449-497B-B56B-8F898C4A5D75}" destId="{72EB7124-6649-49E0-BA80-A7C86C616869}" srcOrd="2" destOrd="0" parTransId="{0CD5DBD2-C8B5-48D8-9403-1483C75159BD}" sibTransId="{D239BF66-F471-4FBE-9D1A-E969C1B2A259}"/>
    <dgm:cxn modelId="{1F300D97-F18A-40B4-A0F6-107A4AEDFC20}" srcId="{E113222D-3AAC-4CD0-92FE-4CA772A8048A}" destId="{36AD4F72-8E3D-40AC-9D86-03E2A25A39C6}" srcOrd="1" destOrd="0" parTransId="{3B6DE650-397E-4A33-9397-A583EEC3497B}" sibTransId="{F7577A7C-4B36-454D-95F3-9BD804EA91DD}"/>
    <dgm:cxn modelId="{DC96C418-0D55-44C5-BC1A-1C8A76BB2736}" type="presOf" srcId="{088BEDC1-5E44-4C17-8D71-0919356B8E61}" destId="{C7CD9779-6C27-4308-A57B-0BC7C611A1D2}" srcOrd="0" destOrd="0" presId="urn:microsoft.com/office/officeart/2005/8/layout/lProcess3"/>
    <dgm:cxn modelId="{A1D47129-CD2E-4AC5-B3BB-A4E48F6AA8CE}" srcId="{088BEDC1-5E44-4C17-8D71-0919356B8E61}" destId="{51BB3CF6-8449-497B-B56B-8F898C4A5D75}" srcOrd="0" destOrd="0" parTransId="{459F78AA-98A5-47E1-94E4-A12140F9EEC7}" sibTransId="{CF972202-EC1B-4575-AB65-01CB79B27AC3}"/>
    <dgm:cxn modelId="{CC3BBBC8-9BB4-429F-9C0F-B9F6FB8319DA}" type="presOf" srcId="{51BB3CF6-8449-497B-B56B-8F898C4A5D75}" destId="{8403C5E6-A808-44C9-BAB7-897BAC554E58}" srcOrd="0" destOrd="0" presId="urn:microsoft.com/office/officeart/2005/8/layout/lProcess3"/>
    <dgm:cxn modelId="{9EAE2668-6C0C-4A0E-A058-8627F3FC8A7A}" type="presParOf" srcId="{C7CD9779-6C27-4308-A57B-0BC7C611A1D2}" destId="{1C40BF73-46F5-4F90-A122-B1C36BAE0FAA}" srcOrd="0" destOrd="0" presId="urn:microsoft.com/office/officeart/2005/8/layout/lProcess3"/>
    <dgm:cxn modelId="{CB3C60AD-A14A-4282-AC8D-C6A4EC5B9348}" type="presParOf" srcId="{1C40BF73-46F5-4F90-A122-B1C36BAE0FAA}" destId="{8403C5E6-A808-44C9-BAB7-897BAC554E58}" srcOrd="0" destOrd="0" presId="urn:microsoft.com/office/officeart/2005/8/layout/lProcess3"/>
    <dgm:cxn modelId="{4325F55E-E19D-45F3-AAC0-DD1696029B55}" type="presParOf" srcId="{1C40BF73-46F5-4F90-A122-B1C36BAE0FAA}" destId="{A918EFF5-3173-4DB0-ADB1-8BEE3EBB2F6B}" srcOrd="1" destOrd="0" presId="urn:microsoft.com/office/officeart/2005/8/layout/lProcess3"/>
    <dgm:cxn modelId="{A343988E-E166-4E41-A302-3FDCBE96E915}" type="presParOf" srcId="{1C40BF73-46F5-4F90-A122-B1C36BAE0FAA}" destId="{8F3CFFF1-C9A2-444A-A473-42C42E5573DB}" srcOrd="2" destOrd="0" presId="urn:microsoft.com/office/officeart/2005/8/layout/lProcess3"/>
    <dgm:cxn modelId="{DCCB47F4-C82E-4E25-AF13-2E6F90D40670}" type="presParOf" srcId="{1C40BF73-46F5-4F90-A122-B1C36BAE0FAA}" destId="{28F52992-0270-4350-9E93-F4723E1D14BC}" srcOrd="3" destOrd="0" presId="urn:microsoft.com/office/officeart/2005/8/layout/lProcess3"/>
    <dgm:cxn modelId="{57FF723F-9165-414C-98F0-6B623C227B0D}" type="presParOf" srcId="{1C40BF73-46F5-4F90-A122-B1C36BAE0FAA}" destId="{EF443094-2780-4B3F-90BA-2FD2DC174602}" srcOrd="4" destOrd="0" presId="urn:microsoft.com/office/officeart/2005/8/layout/lProcess3"/>
    <dgm:cxn modelId="{F85CDDCF-6A1F-4A3F-BB5F-786B450C1D92}" type="presParOf" srcId="{1C40BF73-46F5-4F90-A122-B1C36BAE0FAA}" destId="{DE698F7B-F063-4203-9D8D-A11C757AC133}" srcOrd="5" destOrd="0" presId="urn:microsoft.com/office/officeart/2005/8/layout/lProcess3"/>
    <dgm:cxn modelId="{6CAC16C6-4606-429F-955B-6780B24A8E35}" type="presParOf" srcId="{1C40BF73-46F5-4F90-A122-B1C36BAE0FAA}" destId="{F7971AEC-30E4-4E3D-B319-69E9D6C147D9}" srcOrd="6" destOrd="0" presId="urn:microsoft.com/office/officeart/2005/8/layout/lProcess3"/>
    <dgm:cxn modelId="{D9B9E729-8B92-4351-8E90-7ED07AD7C8AC}" type="presParOf" srcId="{1C40BF73-46F5-4F90-A122-B1C36BAE0FAA}" destId="{5D81BFED-D469-4057-BE59-044882B78005}" srcOrd="7" destOrd="0" presId="urn:microsoft.com/office/officeart/2005/8/layout/lProcess3"/>
    <dgm:cxn modelId="{C2E47055-C18C-4459-AA38-966CC3F97A10}" type="presParOf" srcId="{1C40BF73-46F5-4F90-A122-B1C36BAE0FAA}" destId="{99CB58D9-AAA1-487F-BC9E-7E16FDDB34C6}" srcOrd="8" destOrd="0" presId="urn:microsoft.com/office/officeart/2005/8/layout/lProcess3"/>
    <dgm:cxn modelId="{F741252A-06C7-4CD2-A128-FECE1EAC7FE7}" type="presParOf" srcId="{C7CD9779-6C27-4308-A57B-0BC7C611A1D2}" destId="{909B42DA-7D5B-45EE-8B86-2FDBBACDE8DE}" srcOrd="1" destOrd="0" presId="urn:microsoft.com/office/officeart/2005/8/layout/lProcess3"/>
    <dgm:cxn modelId="{A792EA2F-B9E3-4CC7-861C-278F3E14EBD6}" type="presParOf" srcId="{C7CD9779-6C27-4308-A57B-0BC7C611A1D2}" destId="{315AA67B-E41B-4032-8CEC-EBEAC52F8CCE}" srcOrd="2" destOrd="0" presId="urn:microsoft.com/office/officeart/2005/8/layout/lProcess3"/>
    <dgm:cxn modelId="{9A38D88A-2935-40C3-A499-FEE1E2880FE2}" type="presParOf" srcId="{315AA67B-E41B-4032-8CEC-EBEAC52F8CCE}" destId="{89D8E274-82AD-414D-B801-4B70271FF6B5}" srcOrd="0" destOrd="0" presId="urn:microsoft.com/office/officeart/2005/8/layout/lProcess3"/>
    <dgm:cxn modelId="{500C8639-E187-4FD4-BD7B-00E02692C412}" type="presParOf" srcId="{315AA67B-E41B-4032-8CEC-EBEAC52F8CCE}" destId="{DD794B8D-53EF-4855-86F0-FC2B51C2E52B}" srcOrd="1" destOrd="0" presId="urn:microsoft.com/office/officeart/2005/8/layout/lProcess3"/>
    <dgm:cxn modelId="{EC0AE772-407E-4248-AC81-875581DB23F7}" type="presParOf" srcId="{315AA67B-E41B-4032-8CEC-EBEAC52F8CCE}" destId="{0B80ACBA-CE22-4B9E-B104-C608BF2C3399}" srcOrd="2" destOrd="0" presId="urn:microsoft.com/office/officeart/2005/8/layout/lProcess3"/>
    <dgm:cxn modelId="{11122291-FB02-4B98-9470-850CEB38FA5A}" type="presParOf" srcId="{315AA67B-E41B-4032-8CEC-EBEAC52F8CCE}" destId="{DDE4A69E-55BB-4857-B5EC-78D6DF30342C}" srcOrd="3" destOrd="0" presId="urn:microsoft.com/office/officeart/2005/8/layout/lProcess3"/>
    <dgm:cxn modelId="{A9032F94-83A4-4B5B-A7E9-7D38861E4FD0}" type="presParOf" srcId="{315AA67B-E41B-4032-8CEC-EBEAC52F8CCE}" destId="{67E8E60E-4466-469F-BC74-DDBB6AD3788D}" srcOrd="4" destOrd="0" presId="urn:microsoft.com/office/officeart/2005/8/layout/lProcess3"/>
    <dgm:cxn modelId="{28F8E77B-229F-4FA7-90FC-C42195F8A05B}" type="presParOf" srcId="{315AA67B-E41B-4032-8CEC-EBEAC52F8CCE}" destId="{C53200B8-13C8-474D-8E1C-4B59133BFE2B}" srcOrd="5" destOrd="0" presId="urn:microsoft.com/office/officeart/2005/8/layout/lProcess3"/>
    <dgm:cxn modelId="{D8951D59-F57A-4BA6-90A6-D9CBE3EA8CA6}" type="presParOf" srcId="{315AA67B-E41B-4032-8CEC-EBEAC52F8CCE}" destId="{C516AC32-4265-4AE5-AE80-B9D9DAC0831A}" srcOrd="6" destOrd="0" presId="urn:microsoft.com/office/officeart/2005/8/layout/lProcess3"/>
    <dgm:cxn modelId="{75C915A8-7060-48F0-8272-66F165FBDF27}" type="presParOf" srcId="{C7CD9779-6C27-4308-A57B-0BC7C611A1D2}" destId="{0630478B-25AD-4899-890A-D8D0C51DE2D9}" srcOrd="3" destOrd="0" presId="urn:microsoft.com/office/officeart/2005/8/layout/lProcess3"/>
    <dgm:cxn modelId="{4BCB3D11-FE30-4FBE-B015-73119F8FA090}" type="presParOf" srcId="{C7CD9779-6C27-4308-A57B-0BC7C611A1D2}" destId="{D17BDBFB-295B-424C-92E0-D2C0B6E1DFA4}" srcOrd="4" destOrd="0" presId="urn:microsoft.com/office/officeart/2005/8/layout/lProcess3"/>
    <dgm:cxn modelId="{E52E2C3C-41B8-478E-9DE0-05C0FE913781}" type="presParOf" srcId="{D17BDBFB-295B-424C-92E0-D2C0B6E1DFA4}" destId="{91DF2338-6125-4E91-BCC3-4324F889E032}" srcOrd="0" destOrd="0" presId="urn:microsoft.com/office/officeart/2005/8/layout/lProcess3"/>
    <dgm:cxn modelId="{CBBDFE73-4259-4657-A084-4CF37D684FA3}" type="presParOf" srcId="{D17BDBFB-295B-424C-92E0-D2C0B6E1DFA4}" destId="{7A141158-ECA2-4C8F-9217-FCFCC8724400}" srcOrd="1" destOrd="0" presId="urn:microsoft.com/office/officeart/2005/8/layout/lProcess3"/>
    <dgm:cxn modelId="{385763E9-8F41-482F-8F5C-28E4E3738609}" type="presParOf" srcId="{D17BDBFB-295B-424C-92E0-D2C0B6E1DFA4}" destId="{E82FB305-02E6-4055-9A9D-93FDCEBDA9E2}" srcOrd="2" destOrd="0" presId="urn:microsoft.com/office/officeart/2005/8/layout/lProcess3"/>
    <dgm:cxn modelId="{70EDF9CB-28D0-42E8-B9D1-4E47412499F3}" type="presParOf" srcId="{D17BDBFB-295B-424C-92E0-D2C0B6E1DFA4}" destId="{B8C1FA04-6781-4AF6-8352-ECF7428803C2}" srcOrd="3" destOrd="0" presId="urn:microsoft.com/office/officeart/2005/8/layout/lProcess3"/>
    <dgm:cxn modelId="{462AAEC1-AD4D-4088-8709-CEFB252856E5}" type="presParOf" srcId="{D17BDBFB-295B-424C-92E0-D2C0B6E1DFA4}" destId="{3B7A9897-CE2D-402E-B320-44D3AC135AFE}" srcOrd="4" destOrd="0" presId="urn:microsoft.com/office/officeart/2005/8/layout/lProcess3"/>
    <dgm:cxn modelId="{246C44F7-020C-428B-9A0E-DCC35A320D45}" type="presParOf" srcId="{D17BDBFB-295B-424C-92E0-D2C0B6E1DFA4}" destId="{7475B1CC-79EC-4E9C-9F66-7935EE88F231}" srcOrd="5" destOrd="0" presId="urn:microsoft.com/office/officeart/2005/8/layout/lProcess3"/>
    <dgm:cxn modelId="{44885CDB-2E7A-4EF8-A988-CD2DD3D6BB3B}" type="presParOf" srcId="{D17BDBFB-295B-424C-92E0-D2C0B6E1DFA4}" destId="{D3918DD5-878B-46C4-993F-48D35C68FD23}" srcOrd="6" destOrd="0" presId="urn:microsoft.com/office/officeart/2005/8/layout/lProcess3"/>
    <dgm:cxn modelId="{70B2F912-B8A1-4E2C-ABBC-A939E620DBC7}" type="presParOf" srcId="{D17BDBFB-295B-424C-92E0-D2C0B6E1DFA4}" destId="{0D5F5F32-E9FF-499E-8938-F3A398C76057}" srcOrd="7" destOrd="0" presId="urn:microsoft.com/office/officeart/2005/8/layout/lProcess3"/>
    <dgm:cxn modelId="{F5745562-E1F3-49CC-8E01-237A757C3352}" type="presParOf" srcId="{D17BDBFB-295B-424C-92E0-D2C0B6E1DFA4}" destId="{F3F0B0BB-EDC3-494F-8A09-B1B9C31FB2E8}" srcOrd="8" destOrd="0" presId="urn:microsoft.com/office/officeart/2005/8/layout/lProcess3"/>
    <dgm:cxn modelId="{0A8C22F2-CC94-425B-A7D9-9C57D24301D8}" type="presParOf" srcId="{D17BDBFB-295B-424C-92E0-D2C0B6E1DFA4}" destId="{BD5B9BB9-C2FF-4368-A7AC-B644A661BE87}" srcOrd="9" destOrd="0" presId="urn:microsoft.com/office/officeart/2005/8/layout/lProcess3"/>
    <dgm:cxn modelId="{249226DE-91F9-4D19-B4FE-CF1ED72A89E2}" type="presParOf" srcId="{D17BDBFB-295B-424C-92E0-D2C0B6E1DFA4}" destId="{C98D2575-1241-4C8B-8FFC-FF4BAE24E1A5}" srcOrd="10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D499631-70D1-4240-9AF5-7AF9744EB38C}" type="doc">
      <dgm:prSet loTypeId="urn:microsoft.com/office/officeart/2005/8/layout/funnel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F6D51441-29B4-4968-A625-CD9D7693DEC4}">
      <dgm:prSet phldrT="[Text]"/>
      <dgm:spPr>
        <a:xfrm>
          <a:off x="2663190" y="202425"/>
          <a:ext cx="900112" cy="9001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cs-CZ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Faktury (FP/FV/FZ)</a:t>
          </a:r>
        </a:p>
      </dgm:t>
    </dgm:pt>
    <dgm:pt modelId="{1DF68608-E8DF-4F2A-AE14-5397B1C9E126}" type="parTrans" cxnId="{209DA5D6-D132-463D-A23C-B1AF80832A26}">
      <dgm:prSet/>
      <dgm:spPr/>
      <dgm:t>
        <a:bodyPr/>
        <a:lstStyle/>
        <a:p>
          <a:endParaRPr lang="cs-CZ"/>
        </a:p>
      </dgm:t>
    </dgm:pt>
    <dgm:pt modelId="{2A850E66-203B-480B-9BB6-CA70F97A06C0}" type="sibTrans" cxnId="{209DA5D6-D132-463D-A23C-B1AF80832A26}">
      <dgm:prSet/>
      <dgm:spPr/>
      <dgm:t>
        <a:bodyPr/>
        <a:lstStyle/>
        <a:p>
          <a:endParaRPr lang="cs-CZ"/>
        </a:p>
      </dgm:t>
    </dgm:pt>
    <dgm:pt modelId="{A79350AC-B121-4A30-9C8D-9DE70B7EA4AB}">
      <dgm:prSet phldrT="[Text]"/>
      <dgm:spPr>
        <a:xfrm>
          <a:off x="1743075" y="420052"/>
          <a:ext cx="900112" cy="9001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cs-CZ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Objednávky (OV/OP)</a:t>
          </a:r>
        </a:p>
      </dgm:t>
    </dgm:pt>
    <dgm:pt modelId="{DF37A7FA-8C11-4662-BDBF-1B721B62D215}" type="parTrans" cxnId="{04D41BFF-1145-4500-8ECE-148DF433F481}">
      <dgm:prSet/>
      <dgm:spPr/>
      <dgm:t>
        <a:bodyPr/>
        <a:lstStyle/>
        <a:p>
          <a:endParaRPr lang="cs-CZ"/>
        </a:p>
      </dgm:t>
    </dgm:pt>
    <dgm:pt modelId="{416E0FBD-6798-4AD8-8803-7BACBD3B4529}" type="sibTrans" cxnId="{04D41BFF-1145-4500-8ECE-148DF433F481}">
      <dgm:prSet/>
      <dgm:spPr/>
      <dgm:t>
        <a:bodyPr/>
        <a:lstStyle/>
        <a:p>
          <a:endParaRPr lang="cs-CZ"/>
        </a:p>
      </dgm:t>
    </dgm:pt>
    <dgm:pt modelId="{1D4BF7CF-E1D5-4635-817A-A3C72699FE54}">
      <dgm:prSet phldrT="[Text]"/>
      <dgm:spPr>
        <a:xfrm>
          <a:off x="2387155" y="1095336"/>
          <a:ext cx="900112" cy="9001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cs-CZ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Finance (banka, pokladna)</a:t>
          </a:r>
        </a:p>
      </dgm:t>
    </dgm:pt>
    <dgm:pt modelId="{EA79932D-C795-4414-AC04-D5A610585312}" type="parTrans" cxnId="{E4244F63-C364-4187-9BCA-E21B082E29A0}">
      <dgm:prSet/>
      <dgm:spPr/>
      <dgm:t>
        <a:bodyPr/>
        <a:lstStyle/>
        <a:p>
          <a:endParaRPr lang="cs-CZ"/>
        </a:p>
      </dgm:t>
    </dgm:pt>
    <dgm:pt modelId="{9467143A-3085-4117-9869-ADEEC9926E78}" type="sibTrans" cxnId="{E4244F63-C364-4187-9BCA-E21B082E29A0}">
      <dgm:prSet/>
      <dgm:spPr/>
      <dgm:t>
        <a:bodyPr/>
        <a:lstStyle/>
        <a:p>
          <a:endParaRPr lang="cs-CZ"/>
        </a:p>
      </dgm:t>
    </dgm:pt>
    <dgm:pt modelId="{8B57DAD3-18F8-45DE-AC1B-99696E12F107}">
      <dgm:prSet phldrT="[Text]"/>
      <dgm:spPr>
        <a:xfrm>
          <a:off x="1543049" y="2580322"/>
          <a:ext cx="2400300" cy="600075"/>
        </a:xfrm>
        <a:noFill/>
        <a:ln>
          <a:noFill/>
        </a:ln>
        <a:effectLst/>
      </dgm:spPr>
      <dgm:t>
        <a:bodyPr/>
        <a:lstStyle/>
        <a:p>
          <a:r>
            <a:rPr lang="cs-CZ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ZAKÁZKA</a:t>
          </a:r>
        </a:p>
      </dgm:t>
    </dgm:pt>
    <dgm:pt modelId="{66F91C1C-1BB2-4D2B-86C2-CA5E145C7E65}" type="parTrans" cxnId="{EF3BC5AA-A104-4AAA-8417-BAEDAAC140E3}">
      <dgm:prSet/>
      <dgm:spPr/>
      <dgm:t>
        <a:bodyPr/>
        <a:lstStyle/>
        <a:p>
          <a:endParaRPr lang="cs-CZ"/>
        </a:p>
      </dgm:t>
    </dgm:pt>
    <dgm:pt modelId="{72804524-CC9A-4488-BD41-871214A9D299}" type="sibTrans" cxnId="{EF3BC5AA-A104-4AAA-8417-BAEDAAC140E3}">
      <dgm:prSet/>
      <dgm:spPr/>
      <dgm:t>
        <a:bodyPr/>
        <a:lstStyle/>
        <a:p>
          <a:endParaRPr lang="cs-CZ"/>
        </a:p>
      </dgm:t>
    </dgm:pt>
    <dgm:pt modelId="{DA9091C7-024F-4FF5-AF4E-5F0FD812E35D}" type="pres">
      <dgm:prSet presAssocID="{6D499631-70D1-4240-9AF5-7AF9744EB38C}" presName="Name0" presStyleCnt="0">
        <dgm:presLayoutVars>
          <dgm:chMax val="4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2EC4BD6D-EA05-4500-BFBB-47259D5679A4}" type="pres">
      <dgm:prSet presAssocID="{6D499631-70D1-4240-9AF5-7AF9744EB38C}" presName="ellipse" presStyleLbl="trBgShp" presStyleIdx="0" presStyleCnt="1"/>
      <dgm:spPr>
        <a:xfrm>
          <a:off x="1449038" y="130016"/>
          <a:ext cx="2580322" cy="896112"/>
        </a:xfrm>
        <a:prstGeom prst="ellipse">
          <a:avLst/>
        </a:prstGeom>
        <a:solidFill>
          <a:srgbClr val="4F81BD">
            <a:tint val="50000"/>
            <a:alpha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cs-CZ"/>
        </a:p>
      </dgm:t>
    </dgm:pt>
    <dgm:pt modelId="{B1C80F26-7682-47CD-9E42-FA3130EAF101}" type="pres">
      <dgm:prSet presAssocID="{6D499631-70D1-4240-9AF5-7AF9744EB38C}" presName="arrow1" presStyleLbl="fgShp" presStyleIdx="0" presStyleCnt="1"/>
      <dgm:spPr>
        <a:xfrm>
          <a:off x="2493168" y="2324290"/>
          <a:ext cx="500062" cy="320040"/>
        </a:xfrm>
        <a:prstGeom prst="down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cs-CZ"/>
        </a:p>
      </dgm:t>
    </dgm:pt>
    <dgm:pt modelId="{CC6911A5-FD44-451F-B269-C87CF99594F9}" type="pres">
      <dgm:prSet presAssocID="{6D499631-70D1-4240-9AF5-7AF9744EB38C}" presName="rectangle" presStyleLbl="revTx" presStyleIdx="0" presStyleCnt="1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cs-CZ"/>
        </a:p>
      </dgm:t>
    </dgm:pt>
    <dgm:pt modelId="{BB5116B5-FE2F-48A3-937E-FD964DE7BB38}" type="pres">
      <dgm:prSet presAssocID="{A79350AC-B121-4A30-9C8D-9DE70B7EA4AB}" presName="item1" presStyleLbl="node1" presStyleIdx="0" presStyleCnt="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cs-CZ"/>
        </a:p>
      </dgm:t>
    </dgm:pt>
    <dgm:pt modelId="{EFBA712B-F504-4401-806D-F10EC694522A}" type="pres">
      <dgm:prSet presAssocID="{1D4BF7CF-E1D5-4635-817A-A3C72699FE54}" presName="item2" presStyleLbl="node1" presStyleIdx="1" presStyleCnt="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cs-CZ"/>
        </a:p>
      </dgm:t>
    </dgm:pt>
    <dgm:pt modelId="{92806DEC-A037-4620-AA8F-669303816DB6}" type="pres">
      <dgm:prSet presAssocID="{8B57DAD3-18F8-45DE-AC1B-99696E12F107}" presName="item3" presStyleLbl="node1" presStyleIdx="2" presStyleCnt="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cs-CZ"/>
        </a:p>
      </dgm:t>
    </dgm:pt>
    <dgm:pt modelId="{28BB8BA0-7AF8-430F-99B4-A1B27E76E4AA}" type="pres">
      <dgm:prSet presAssocID="{6D499631-70D1-4240-9AF5-7AF9744EB38C}" presName="funnel" presStyleLbl="trAlignAcc1" presStyleIdx="0" presStyleCnt="1"/>
      <dgm:spPr>
        <a:xfrm>
          <a:off x="1343025" y="20002"/>
          <a:ext cx="2800350" cy="2240280"/>
        </a:xfrm>
        <a:prstGeom prst="funnel">
          <a:avLst/>
        </a:prstGeom>
        <a:solidFill>
          <a:sysClr val="window" lastClr="FFFFFF">
            <a:alpha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cs-CZ"/>
        </a:p>
      </dgm:t>
    </dgm:pt>
  </dgm:ptLst>
  <dgm:cxnLst>
    <dgm:cxn modelId="{16207CF3-E7D3-4C9F-92E5-28425486B3EF}" type="presOf" srcId="{8B57DAD3-18F8-45DE-AC1B-99696E12F107}" destId="{CC6911A5-FD44-451F-B269-C87CF99594F9}" srcOrd="0" destOrd="0" presId="urn:microsoft.com/office/officeart/2005/8/layout/funnel1"/>
    <dgm:cxn modelId="{506437B7-0F19-4030-B525-3E6CDDD66A57}" type="presOf" srcId="{A79350AC-B121-4A30-9C8D-9DE70B7EA4AB}" destId="{EFBA712B-F504-4401-806D-F10EC694522A}" srcOrd="0" destOrd="0" presId="urn:microsoft.com/office/officeart/2005/8/layout/funnel1"/>
    <dgm:cxn modelId="{04D41BFF-1145-4500-8ECE-148DF433F481}" srcId="{6D499631-70D1-4240-9AF5-7AF9744EB38C}" destId="{A79350AC-B121-4A30-9C8D-9DE70B7EA4AB}" srcOrd="1" destOrd="0" parTransId="{DF37A7FA-8C11-4662-BDBF-1B721B62D215}" sibTransId="{416E0FBD-6798-4AD8-8803-7BACBD3B4529}"/>
    <dgm:cxn modelId="{DC7F8755-D964-4537-8C70-0424482751AE}" type="presOf" srcId="{F6D51441-29B4-4968-A625-CD9D7693DEC4}" destId="{92806DEC-A037-4620-AA8F-669303816DB6}" srcOrd="0" destOrd="0" presId="urn:microsoft.com/office/officeart/2005/8/layout/funnel1"/>
    <dgm:cxn modelId="{E4244F63-C364-4187-9BCA-E21B082E29A0}" srcId="{6D499631-70D1-4240-9AF5-7AF9744EB38C}" destId="{1D4BF7CF-E1D5-4635-817A-A3C72699FE54}" srcOrd="2" destOrd="0" parTransId="{EA79932D-C795-4414-AC04-D5A610585312}" sibTransId="{9467143A-3085-4117-9869-ADEEC9926E78}"/>
    <dgm:cxn modelId="{7072F7ED-AD49-4303-AA29-297C36479CCA}" type="presOf" srcId="{1D4BF7CF-E1D5-4635-817A-A3C72699FE54}" destId="{BB5116B5-FE2F-48A3-937E-FD964DE7BB38}" srcOrd="0" destOrd="0" presId="urn:microsoft.com/office/officeart/2005/8/layout/funnel1"/>
    <dgm:cxn modelId="{EF3BC5AA-A104-4AAA-8417-BAEDAAC140E3}" srcId="{6D499631-70D1-4240-9AF5-7AF9744EB38C}" destId="{8B57DAD3-18F8-45DE-AC1B-99696E12F107}" srcOrd="3" destOrd="0" parTransId="{66F91C1C-1BB2-4D2B-86C2-CA5E145C7E65}" sibTransId="{72804524-CC9A-4488-BD41-871214A9D299}"/>
    <dgm:cxn modelId="{209DA5D6-D132-463D-A23C-B1AF80832A26}" srcId="{6D499631-70D1-4240-9AF5-7AF9744EB38C}" destId="{F6D51441-29B4-4968-A625-CD9D7693DEC4}" srcOrd="0" destOrd="0" parTransId="{1DF68608-E8DF-4F2A-AE14-5397B1C9E126}" sibTransId="{2A850E66-203B-480B-9BB6-CA70F97A06C0}"/>
    <dgm:cxn modelId="{1682609A-468E-4F24-9E1F-CCE9A9BACE57}" type="presOf" srcId="{6D499631-70D1-4240-9AF5-7AF9744EB38C}" destId="{DA9091C7-024F-4FF5-AF4E-5F0FD812E35D}" srcOrd="0" destOrd="0" presId="urn:microsoft.com/office/officeart/2005/8/layout/funnel1"/>
    <dgm:cxn modelId="{22FF4F5D-0C2D-462C-885E-3BE053BA66F7}" type="presParOf" srcId="{DA9091C7-024F-4FF5-AF4E-5F0FD812E35D}" destId="{2EC4BD6D-EA05-4500-BFBB-47259D5679A4}" srcOrd="0" destOrd="0" presId="urn:microsoft.com/office/officeart/2005/8/layout/funnel1"/>
    <dgm:cxn modelId="{1679AFF7-E364-4C78-AB00-3915684CE6DE}" type="presParOf" srcId="{DA9091C7-024F-4FF5-AF4E-5F0FD812E35D}" destId="{B1C80F26-7682-47CD-9E42-FA3130EAF101}" srcOrd="1" destOrd="0" presId="urn:microsoft.com/office/officeart/2005/8/layout/funnel1"/>
    <dgm:cxn modelId="{2DC783ED-A0EF-4A93-8F02-2833C0534C85}" type="presParOf" srcId="{DA9091C7-024F-4FF5-AF4E-5F0FD812E35D}" destId="{CC6911A5-FD44-451F-B269-C87CF99594F9}" srcOrd="2" destOrd="0" presId="urn:microsoft.com/office/officeart/2005/8/layout/funnel1"/>
    <dgm:cxn modelId="{FEB14DD2-DD66-4000-94A4-9C039ACA7D7C}" type="presParOf" srcId="{DA9091C7-024F-4FF5-AF4E-5F0FD812E35D}" destId="{BB5116B5-FE2F-48A3-937E-FD964DE7BB38}" srcOrd="3" destOrd="0" presId="urn:microsoft.com/office/officeart/2005/8/layout/funnel1"/>
    <dgm:cxn modelId="{78D9CDF1-AACF-44A4-AF18-D76148879538}" type="presParOf" srcId="{DA9091C7-024F-4FF5-AF4E-5F0FD812E35D}" destId="{EFBA712B-F504-4401-806D-F10EC694522A}" srcOrd="4" destOrd="0" presId="urn:microsoft.com/office/officeart/2005/8/layout/funnel1"/>
    <dgm:cxn modelId="{8E3B9BE1-405A-42AD-BD0A-8174976347B2}" type="presParOf" srcId="{DA9091C7-024F-4FF5-AF4E-5F0FD812E35D}" destId="{92806DEC-A037-4620-AA8F-669303816DB6}" srcOrd="5" destOrd="0" presId="urn:microsoft.com/office/officeart/2005/8/layout/funnel1"/>
    <dgm:cxn modelId="{C73B8E8D-3781-4220-BEE4-F9087A84D3C1}" type="presParOf" srcId="{DA9091C7-024F-4FF5-AF4E-5F0FD812E35D}" destId="{28BB8BA0-7AF8-430F-99B4-A1B27E76E4AA}" srcOrd="6" destOrd="0" presId="urn:microsoft.com/office/officeart/2005/8/layout/funne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403C5E6-A808-44C9-BAB7-897BAC554E58}">
      <dsp:nvSpPr>
        <dsp:cNvPr id="0" name=""/>
        <dsp:cNvSpPr/>
      </dsp:nvSpPr>
      <dsp:spPr>
        <a:xfrm>
          <a:off x="586" y="224045"/>
          <a:ext cx="1204828" cy="481931"/>
        </a:xfrm>
        <a:prstGeom prst="chevron">
          <a:avLst/>
        </a:prstGeom>
        <a:gradFill rotWithShape="0">
          <a:gsLst>
            <a:gs pos="0">
              <a:srgbClr val="8064A2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8064A2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8064A2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10160" rIns="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1. varianta</a:t>
          </a:r>
        </a:p>
      </dsp:txBody>
      <dsp:txXfrm>
        <a:off x="586" y="224045"/>
        <a:ext cx="1204828" cy="481931"/>
      </dsp:txXfrm>
    </dsp:sp>
    <dsp:sp modelId="{8F3CFFF1-C9A2-444A-A473-42C42E5573DB}">
      <dsp:nvSpPr>
        <dsp:cNvPr id="0" name=""/>
        <dsp:cNvSpPr/>
      </dsp:nvSpPr>
      <dsp:spPr>
        <a:xfrm>
          <a:off x="1048787" y="265009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0"/>
            <a:satOff val="0"/>
            <a:lumOff val="0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Nabídka</a:t>
          </a:r>
        </a:p>
      </dsp:txBody>
      <dsp:txXfrm>
        <a:off x="1048787" y="265009"/>
        <a:ext cx="1000007" cy="400003"/>
      </dsp:txXfrm>
    </dsp:sp>
    <dsp:sp modelId="{EF443094-2780-4B3F-90BA-2FD2DC174602}">
      <dsp:nvSpPr>
        <dsp:cNvPr id="0" name=""/>
        <dsp:cNvSpPr/>
      </dsp:nvSpPr>
      <dsp:spPr>
        <a:xfrm>
          <a:off x="1908793" y="265009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358701"/>
            <a:satOff val="2014"/>
            <a:lumOff val="128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358701"/>
              <a:satOff val="2014"/>
              <a:lumOff val="128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Objednávka přij.</a:t>
          </a:r>
        </a:p>
      </dsp:txBody>
      <dsp:txXfrm>
        <a:off x="1908793" y="265009"/>
        <a:ext cx="1000007" cy="400003"/>
      </dsp:txXfrm>
    </dsp:sp>
    <dsp:sp modelId="{F7971AEC-30E4-4E3D-B319-69E9D6C147D9}">
      <dsp:nvSpPr>
        <dsp:cNvPr id="0" name=""/>
        <dsp:cNvSpPr/>
      </dsp:nvSpPr>
      <dsp:spPr>
        <a:xfrm>
          <a:off x="2768800" y="265009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717401"/>
            <a:satOff val="4029"/>
            <a:lumOff val="256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717401"/>
              <a:satOff val="4029"/>
              <a:lumOff val="256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Faktura vyd.</a:t>
          </a:r>
        </a:p>
      </dsp:txBody>
      <dsp:txXfrm>
        <a:off x="2768800" y="265009"/>
        <a:ext cx="1000007" cy="400003"/>
      </dsp:txXfrm>
    </dsp:sp>
    <dsp:sp modelId="{99CB58D9-AAA1-487F-BC9E-7E16FDDB34C6}">
      <dsp:nvSpPr>
        <dsp:cNvPr id="0" name=""/>
        <dsp:cNvSpPr/>
      </dsp:nvSpPr>
      <dsp:spPr>
        <a:xfrm>
          <a:off x="3628806" y="265009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1076102"/>
            <a:satOff val="6043"/>
            <a:lumOff val="384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1076102"/>
              <a:satOff val="6043"/>
              <a:lumOff val="384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Platba přij.</a:t>
          </a:r>
        </a:p>
      </dsp:txBody>
      <dsp:txXfrm>
        <a:off x="3628806" y="265009"/>
        <a:ext cx="1000007" cy="400003"/>
      </dsp:txXfrm>
    </dsp:sp>
    <dsp:sp modelId="{89D8E274-82AD-414D-B801-4B70271FF6B5}">
      <dsp:nvSpPr>
        <dsp:cNvPr id="0" name=""/>
        <dsp:cNvSpPr/>
      </dsp:nvSpPr>
      <dsp:spPr>
        <a:xfrm>
          <a:off x="586" y="773446"/>
          <a:ext cx="1204828" cy="481931"/>
        </a:xfrm>
        <a:prstGeom prst="chevron">
          <a:avLst/>
        </a:prstGeom>
        <a:gradFill rotWithShape="0">
          <a:gsLst>
            <a:gs pos="0">
              <a:srgbClr val="8064A2">
                <a:hueOff val="-2232385"/>
                <a:satOff val="13449"/>
                <a:lumOff val="1078"/>
                <a:alphaOff val="0"/>
                <a:shade val="51000"/>
                <a:satMod val="130000"/>
              </a:srgbClr>
            </a:gs>
            <a:gs pos="80000">
              <a:srgbClr val="8064A2">
                <a:hueOff val="-2232385"/>
                <a:satOff val="13449"/>
                <a:lumOff val="1078"/>
                <a:alphaOff val="0"/>
                <a:shade val="93000"/>
                <a:satMod val="130000"/>
              </a:srgbClr>
            </a:gs>
            <a:gs pos="100000">
              <a:srgbClr val="8064A2">
                <a:hueOff val="-2232385"/>
                <a:satOff val="13449"/>
                <a:lumOff val="1078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10160" rIns="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2. varianta</a:t>
          </a:r>
        </a:p>
      </dsp:txBody>
      <dsp:txXfrm>
        <a:off x="586" y="773446"/>
        <a:ext cx="1204828" cy="481931"/>
      </dsp:txXfrm>
    </dsp:sp>
    <dsp:sp modelId="{0B80ACBA-CE22-4B9E-B104-C608BF2C3399}">
      <dsp:nvSpPr>
        <dsp:cNvPr id="0" name=""/>
        <dsp:cNvSpPr/>
      </dsp:nvSpPr>
      <dsp:spPr>
        <a:xfrm>
          <a:off x="1048787" y="814410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1434802"/>
            <a:satOff val="8057"/>
            <a:lumOff val="512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1434802"/>
              <a:satOff val="8057"/>
              <a:lumOff val="512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Objednávka přij.</a:t>
          </a:r>
        </a:p>
      </dsp:txBody>
      <dsp:txXfrm>
        <a:off x="1048787" y="814410"/>
        <a:ext cx="1000007" cy="400003"/>
      </dsp:txXfrm>
    </dsp:sp>
    <dsp:sp modelId="{67E8E60E-4466-469F-BC74-DDBB6AD3788D}">
      <dsp:nvSpPr>
        <dsp:cNvPr id="0" name=""/>
        <dsp:cNvSpPr/>
      </dsp:nvSpPr>
      <dsp:spPr>
        <a:xfrm>
          <a:off x="1908793" y="814410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1793503"/>
            <a:satOff val="10071"/>
            <a:lumOff val="640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1793503"/>
              <a:satOff val="10071"/>
              <a:lumOff val="64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Faktura vyd.</a:t>
          </a:r>
        </a:p>
      </dsp:txBody>
      <dsp:txXfrm>
        <a:off x="1908793" y="814410"/>
        <a:ext cx="1000007" cy="400003"/>
      </dsp:txXfrm>
    </dsp:sp>
    <dsp:sp modelId="{C516AC32-4265-4AE5-AE80-B9D9DAC0831A}">
      <dsp:nvSpPr>
        <dsp:cNvPr id="0" name=""/>
        <dsp:cNvSpPr/>
      </dsp:nvSpPr>
      <dsp:spPr>
        <a:xfrm>
          <a:off x="2768800" y="814410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2152203"/>
            <a:satOff val="12086"/>
            <a:lumOff val="768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2152203"/>
              <a:satOff val="12086"/>
              <a:lumOff val="768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Platba přij,</a:t>
          </a:r>
        </a:p>
      </dsp:txBody>
      <dsp:txXfrm>
        <a:off x="2768800" y="814410"/>
        <a:ext cx="1000007" cy="400003"/>
      </dsp:txXfrm>
    </dsp:sp>
    <dsp:sp modelId="{91DF2338-6125-4E91-BCC3-4324F889E032}">
      <dsp:nvSpPr>
        <dsp:cNvPr id="0" name=""/>
        <dsp:cNvSpPr/>
      </dsp:nvSpPr>
      <dsp:spPr>
        <a:xfrm>
          <a:off x="586" y="1322848"/>
          <a:ext cx="1204828" cy="481931"/>
        </a:xfrm>
        <a:prstGeom prst="chevron">
          <a:avLst/>
        </a:prstGeom>
        <a:gradFill rotWithShape="0">
          <a:gsLst>
            <a:gs pos="0">
              <a:srgbClr val="8064A2">
                <a:hueOff val="-4464770"/>
                <a:satOff val="26899"/>
                <a:lumOff val="2156"/>
                <a:alphaOff val="0"/>
                <a:shade val="51000"/>
                <a:satMod val="130000"/>
              </a:srgbClr>
            </a:gs>
            <a:gs pos="80000">
              <a:srgbClr val="8064A2">
                <a:hueOff val="-4464770"/>
                <a:satOff val="26899"/>
                <a:lumOff val="2156"/>
                <a:alphaOff val="0"/>
                <a:shade val="93000"/>
                <a:satMod val="130000"/>
              </a:srgbClr>
            </a:gs>
            <a:gs pos="100000">
              <a:srgbClr val="8064A2">
                <a:hueOff val="-4464770"/>
                <a:satOff val="26899"/>
                <a:lumOff val="2156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10160" rIns="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3. varianta</a:t>
          </a:r>
        </a:p>
      </dsp:txBody>
      <dsp:txXfrm>
        <a:off x="586" y="1322848"/>
        <a:ext cx="1204828" cy="481931"/>
      </dsp:txXfrm>
    </dsp:sp>
    <dsp:sp modelId="{E82FB305-02E6-4055-9A9D-93FDCEBDA9E2}">
      <dsp:nvSpPr>
        <dsp:cNvPr id="0" name=""/>
        <dsp:cNvSpPr/>
      </dsp:nvSpPr>
      <dsp:spPr>
        <a:xfrm>
          <a:off x="1048787" y="1363812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2510904"/>
            <a:satOff val="14100"/>
            <a:lumOff val="896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2510904"/>
              <a:satOff val="14100"/>
              <a:lumOff val="896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Poptávka</a:t>
          </a:r>
        </a:p>
      </dsp:txBody>
      <dsp:txXfrm>
        <a:off x="1048787" y="1363812"/>
        <a:ext cx="1000007" cy="400003"/>
      </dsp:txXfrm>
    </dsp:sp>
    <dsp:sp modelId="{3B7A9897-CE2D-402E-B320-44D3AC135AFE}">
      <dsp:nvSpPr>
        <dsp:cNvPr id="0" name=""/>
        <dsp:cNvSpPr/>
      </dsp:nvSpPr>
      <dsp:spPr>
        <a:xfrm>
          <a:off x="1908793" y="1363812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2869604"/>
            <a:satOff val="16114"/>
            <a:lumOff val="1024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2869604"/>
              <a:satOff val="16114"/>
              <a:lumOff val="1024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Nabídka</a:t>
          </a:r>
        </a:p>
      </dsp:txBody>
      <dsp:txXfrm>
        <a:off x="1908793" y="1363812"/>
        <a:ext cx="1000007" cy="400003"/>
      </dsp:txXfrm>
    </dsp:sp>
    <dsp:sp modelId="{D3918DD5-878B-46C4-993F-48D35C68FD23}">
      <dsp:nvSpPr>
        <dsp:cNvPr id="0" name=""/>
        <dsp:cNvSpPr/>
      </dsp:nvSpPr>
      <dsp:spPr>
        <a:xfrm>
          <a:off x="2768800" y="1363812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3228305"/>
            <a:satOff val="18128"/>
            <a:lumOff val="1152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3228305"/>
              <a:satOff val="18128"/>
              <a:lumOff val="1152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Objednávka přij.</a:t>
          </a:r>
        </a:p>
      </dsp:txBody>
      <dsp:txXfrm>
        <a:off x="2768800" y="1363812"/>
        <a:ext cx="1000007" cy="400003"/>
      </dsp:txXfrm>
    </dsp:sp>
    <dsp:sp modelId="{F3F0B0BB-EDC3-494F-8A09-B1B9C31FB2E8}">
      <dsp:nvSpPr>
        <dsp:cNvPr id="0" name=""/>
        <dsp:cNvSpPr/>
      </dsp:nvSpPr>
      <dsp:spPr>
        <a:xfrm>
          <a:off x="3628806" y="1363812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3587005"/>
            <a:satOff val="20143"/>
            <a:lumOff val="1280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3587005"/>
              <a:satOff val="20143"/>
              <a:lumOff val="128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Faktura vyd.</a:t>
          </a:r>
        </a:p>
      </dsp:txBody>
      <dsp:txXfrm>
        <a:off x="3628806" y="1363812"/>
        <a:ext cx="1000007" cy="400003"/>
      </dsp:txXfrm>
    </dsp:sp>
    <dsp:sp modelId="{C98D2575-1241-4C8B-8FFC-FF4BAE24E1A5}">
      <dsp:nvSpPr>
        <dsp:cNvPr id="0" name=""/>
        <dsp:cNvSpPr/>
      </dsp:nvSpPr>
      <dsp:spPr>
        <a:xfrm>
          <a:off x="4488813" y="1363812"/>
          <a:ext cx="1000007" cy="400003"/>
        </a:xfrm>
        <a:prstGeom prst="chevron">
          <a:avLst/>
        </a:prstGeom>
        <a:solidFill>
          <a:srgbClr val="8064A2">
            <a:tint val="40000"/>
            <a:alpha val="90000"/>
            <a:hueOff val="-3945706"/>
            <a:satOff val="22157"/>
            <a:lumOff val="1408"/>
            <a:alphaOff val="0"/>
          </a:srgbClr>
        </a:solidFill>
        <a:ln w="9525" cap="flat" cmpd="sng" algn="ctr">
          <a:solidFill>
            <a:srgbClr val="8064A2">
              <a:tint val="40000"/>
              <a:alpha val="90000"/>
              <a:hueOff val="-3945706"/>
              <a:satOff val="22157"/>
              <a:lumOff val="1408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" tIns="5715" rIns="0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Platba přij.</a:t>
          </a:r>
        </a:p>
      </dsp:txBody>
      <dsp:txXfrm>
        <a:off x="4488813" y="1363812"/>
        <a:ext cx="1000007" cy="400003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EC4BD6D-EA05-4500-BFBB-47259D5679A4}">
      <dsp:nvSpPr>
        <dsp:cNvPr id="0" name=""/>
        <dsp:cNvSpPr/>
      </dsp:nvSpPr>
      <dsp:spPr>
        <a:xfrm>
          <a:off x="1460337" y="78164"/>
          <a:ext cx="1551265" cy="538734"/>
        </a:xfrm>
        <a:prstGeom prst="ellipse">
          <a:avLst/>
        </a:prstGeom>
        <a:solidFill>
          <a:srgbClr val="4F81BD">
            <a:tint val="50000"/>
            <a:alpha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C80F26-7682-47CD-9E42-FA3130EAF101}">
      <dsp:nvSpPr>
        <dsp:cNvPr id="0" name=""/>
        <dsp:cNvSpPr/>
      </dsp:nvSpPr>
      <dsp:spPr>
        <a:xfrm>
          <a:off x="2088058" y="1397341"/>
          <a:ext cx="300632" cy="192405"/>
        </a:xfrm>
        <a:prstGeom prst="down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C6911A5-FD44-451F-B269-C87CF99594F9}">
      <dsp:nvSpPr>
        <dsp:cNvPr id="0" name=""/>
        <dsp:cNvSpPr/>
      </dsp:nvSpPr>
      <dsp:spPr>
        <a:xfrm>
          <a:off x="1516856" y="1551265"/>
          <a:ext cx="1443037" cy="36075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ZAKÁZKA</a:t>
          </a:r>
        </a:p>
      </dsp:txBody>
      <dsp:txXfrm>
        <a:off x="1516856" y="1551265"/>
        <a:ext cx="1443037" cy="360759"/>
      </dsp:txXfrm>
    </dsp:sp>
    <dsp:sp modelId="{BB5116B5-FE2F-48A3-937E-FD964DE7BB38}">
      <dsp:nvSpPr>
        <dsp:cNvPr id="0" name=""/>
        <dsp:cNvSpPr/>
      </dsp:nvSpPr>
      <dsp:spPr>
        <a:xfrm>
          <a:off x="2024324" y="658506"/>
          <a:ext cx="541139" cy="54113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Finance (banka, pokladna)</a:t>
          </a:r>
        </a:p>
      </dsp:txBody>
      <dsp:txXfrm>
        <a:off x="2024324" y="658506"/>
        <a:ext cx="541139" cy="541139"/>
      </dsp:txXfrm>
    </dsp:sp>
    <dsp:sp modelId="{EFBA712B-F504-4401-806D-F10EC694522A}">
      <dsp:nvSpPr>
        <dsp:cNvPr id="0" name=""/>
        <dsp:cNvSpPr/>
      </dsp:nvSpPr>
      <dsp:spPr>
        <a:xfrm>
          <a:off x="1637109" y="252531"/>
          <a:ext cx="541139" cy="54113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Objednávky (OV/OP)</a:t>
          </a:r>
        </a:p>
      </dsp:txBody>
      <dsp:txXfrm>
        <a:off x="1637109" y="252531"/>
        <a:ext cx="541139" cy="541139"/>
      </dsp:txXfrm>
    </dsp:sp>
    <dsp:sp modelId="{92806DEC-A037-4620-AA8F-669303816DB6}">
      <dsp:nvSpPr>
        <dsp:cNvPr id="0" name=""/>
        <dsp:cNvSpPr/>
      </dsp:nvSpPr>
      <dsp:spPr>
        <a:xfrm>
          <a:off x="2190273" y="121696"/>
          <a:ext cx="541139" cy="54113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Faktury (FP/FV/FZ)</a:t>
          </a:r>
        </a:p>
      </dsp:txBody>
      <dsp:txXfrm>
        <a:off x="2190273" y="121696"/>
        <a:ext cx="541139" cy="541139"/>
      </dsp:txXfrm>
    </dsp:sp>
    <dsp:sp modelId="{28BB8BA0-7AF8-430F-99B4-A1B27E76E4AA}">
      <dsp:nvSpPr>
        <dsp:cNvPr id="0" name=""/>
        <dsp:cNvSpPr/>
      </dsp:nvSpPr>
      <dsp:spPr>
        <a:xfrm>
          <a:off x="1396603" y="12025"/>
          <a:ext cx="1683543" cy="1346835"/>
        </a:xfrm>
        <a:prstGeom prst="funnel">
          <a:avLst/>
        </a:prstGeom>
        <a:solidFill>
          <a:sysClr val="window" lastClr="FFFFFF">
            <a:alpha val="4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funnel1">
  <dgm:title val=""/>
  <dgm:desc val=""/>
  <dgm:catLst>
    <dgm:cat type="relationship" pri="2000"/>
    <dgm:cat type="process" pri="2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4"/>
      <dgm:resizeHandles val="exact"/>
    </dgm:varLst>
    <dgm:alg type="composite">
      <dgm:param type="ar" val="1.25"/>
    </dgm:alg>
    <dgm:shape xmlns:r="http://schemas.openxmlformats.org/officeDocument/2006/relationships" r:blip="">
      <dgm:adjLst/>
    </dgm:shape>
    <dgm:presOf/>
    <dgm:choose name="Name1">
      <dgm:if name="Name2" axis="ch" ptType="node" func="cnt" op="equ" val="2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w" for="ch" forName="item1" refType="w" fact="0.35"/>
          <dgm:constr type="h" for="ch" forName="item1" refType="w" fact="0.35"/>
          <dgm:constr type="t" for="ch" forName="item1" refType="h" fact="0.05"/>
          <dgm:constr type="l" for="ch" forName="item1" refType="w" fact="0.125"/>
          <dgm:constr type="primFontSz" for="ch" forName="item1" op="equ" val="65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if>
      <dgm:else name="Name3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primFontSz" for="ch" forName="rectangle" val="65"/>
          <dgm:constr type="w" for="ch" forName="item1" refType="w" fact="0.225"/>
          <dgm:constr type="h" for="ch" forName="item1" refType="w" fact="0.225"/>
          <dgm:constr type="t" for="ch" forName="item1" refType="h" fact="0.336"/>
          <dgm:constr type="l" for="ch" forName="item1" refType="w" fact="0.261"/>
          <dgm:constr type="primFontSz" for="ch" forName="item1" val="65"/>
          <dgm:constr type="w" for="ch" forName="item2" refType="w" fact="0.225"/>
          <dgm:constr type="h" for="ch" forName="item2" refType="w" fact="0.225"/>
          <dgm:constr type="t" for="ch" forName="item2" refType="h" fact="0.125"/>
          <dgm:constr type="l" for="ch" forName="item2" refType="w" fact="0.1"/>
          <dgm:constr type="primFontSz" for="ch" forName="item2" refType="primFontSz" refFor="ch" refForName="item1" op="equ"/>
          <dgm:constr type="w" for="ch" forName="item3" refType="w" fact="0.225"/>
          <dgm:constr type="h" for="ch" forName="item3" refType="w" fact="0.225"/>
          <dgm:constr type="t" for="ch" forName="item3" refType="h" fact="0.057"/>
          <dgm:constr type="l" for="ch" forName="item3" refType="w" fact="0.33"/>
          <dgm:constr type="primFontSz" for="ch" forName="item3" refType="primFontSz" refFor="ch" refForName="item1" op="equ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else>
    </dgm:choose>
    <dgm:ruleLst/>
    <dgm:choose name="Name4">
      <dgm:if name="Name5" axis="ch" ptType="node" func="cnt" op="gte" val="1">
        <dgm:layoutNode name="ellipse" styleLbl="trBgShp">
          <dgm:alg type="sp"/>
          <dgm:shape xmlns:r="http://schemas.openxmlformats.org/officeDocument/2006/relationships" type="ellipse" r:blip="">
            <dgm:adjLst/>
          </dgm:shape>
          <dgm:presOf/>
          <dgm:constrLst/>
          <dgm:ruleLst/>
        </dgm:layoutNode>
        <dgm:layoutNode name="arrow1" styleLbl="fgShp">
          <dgm:alg type="sp"/>
          <dgm:shape xmlns:r="http://schemas.openxmlformats.org/officeDocument/2006/relationships" type="downArrow" r:blip="">
            <dgm:adjLst/>
          </dgm:shape>
          <dgm:presOf/>
          <dgm:constrLst/>
          <dgm:ruleLst/>
        </dgm:layoutNode>
        <dgm:layoutNode name="rectangle" styleLbl="revTx">
          <dgm:varLst>
            <dgm:bulletEnabled val="1"/>
          </dgm:varLst>
          <dgm:alg type="tx">
            <dgm:param type="txAnchorHorzCh" val="ctr"/>
          </dgm:alg>
          <dgm:shape xmlns:r="http://schemas.openxmlformats.org/officeDocument/2006/relationships" type="rect" r:blip="">
            <dgm:adjLst/>
          </dgm:shape>
          <dgm:choose name="Name6">
            <dgm:if name="Name7" axis="ch" ptType="node" func="cnt" op="equ" val="1">
              <dgm:presOf axis="ch desOrSelf" ptType="node node" st="1 1" cnt="1 0"/>
            </dgm:if>
            <dgm:if name="Name8" axis="ch" ptType="node" func="cnt" op="equ" val="2">
              <dgm:presOf axis="ch desOrSelf" ptType="node node" st="2 1" cnt="1 0"/>
            </dgm:if>
            <dgm:if name="Name9" axis="ch" ptType="node" func="cnt" op="equ" val="3">
              <dgm:presOf axis="ch desOrSelf" ptType="node node" st="3 1" cnt="1 0"/>
            </dgm:if>
            <dgm:else name="Name10">
              <dgm:presOf axis="ch desOrSelf" ptType="node node" st="4 1" cnt="1 0"/>
            </dgm:else>
          </dgm:choose>
          <dgm:constrLst/>
          <dgm:ruleLst>
            <dgm:rule type="primFontSz" val="5" fact="NaN" max="NaN"/>
          </dgm:ruleLst>
        </dgm:layoutNode>
        <dgm:forEach name="Name11" axis="ch" ptType="node" st="2" cnt="1">
          <dgm:layoutNode name="item1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2">
              <dgm:if name="Name13" axis="root ch" ptType="all node" func="cnt" op="equ" val="1">
                <dgm:presOf/>
              </dgm:if>
              <dgm:if name="Name14" axis="root ch" ptType="all node" func="cnt" op="equ" val="2">
                <dgm:presOf axis="root ch desOrSelf" ptType="all node node" st="1 1 1" cnt="0 1 0"/>
              </dgm:if>
              <dgm:if name="Name15" axis="root ch" ptType="all node" func="cnt" op="equ" val="3">
                <dgm:presOf axis="root ch desOrSelf" ptType="all node node" st="1 2 1" cnt="0 1 0"/>
              </dgm:if>
              <dgm:else name="Name16">
                <dgm:presOf axis="root ch desOrSelf" ptType="all node node" st="1 3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17" axis="ch" ptType="node" st="3" cnt="1">
          <dgm:layoutNode name="item2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8">
              <dgm:if name="Name19" axis="root ch" ptType="all node" func="cnt" op="equ" val="1">
                <dgm:presOf/>
              </dgm:if>
              <dgm:if name="Name20" axis="root ch" ptType="all node" func="cnt" op="equ" val="2">
                <dgm:presOf/>
              </dgm:if>
              <dgm:if name="Name21" axis="root ch" ptType="all node" func="cnt" op="equ" val="3">
                <dgm:presOf axis="root ch desOrSelf" ptType="all node node" st="1 1 1" cnt="0 1 0"/>
              </dgm:if>
              <dgm:else name="Name22">
                <dgm:presOf axis="root ch desOrSelf" ptType="all node node" st="1 2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23" axis="ch" ptType="node" st="4" cnt="1">
          <dgm:layoutNode name="item3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4">
              <dgm:if name="Name25" axis="root ch" ptType="all node" func="cnt" op="equ" val="1">
                <dgm:presOf/>
              </dgm:if>
              <dgm:if name="Name26" axis="root ch" ptType="all node" func="cnt" op="equ" val="2">
                <dgm:presOf/>
              </dgm:if>
              <dgm:if name="Name27" axis="root ch" ptType="all node" func="cnt" op="equ" val="3">
                <dgm:presOf/>
              </dgm:if>
              <dgm:else name="Name28">
                <dgm:presOf axis="root ch desOrSelf" ptType="all node node" st="1 1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layoutNode name="funnel" styleLbl="trAlignAcc1">
          <dgm:alg type="sp"/>
          <dgm:shape xmlns:r="http://schemas.openxmlformats.org/officeDocument/2006/relationships" type="funnel" r:blip="">
            <dgm:adjLst/>
          </dgm:shape>
          <dgm:presOf/>
          <dgm:constrLst/>
          <dgm:ruleLst/>
        </dgm:layoutNode>
      </dgm:if>
      <dgm:else name="Name29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5961B-A83A-4312-9E03-435600E6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Požadavky na IS_ zadání pro výběrové řízení_podklady PIONS</Template>
  <TotalTime>0</TotalTime>
  <Pages>18</Pages>
  <Words>5579</Words>
  <Characters>32917</Characters>
  <Application>Microsoft Office Word</Application>
  <DocSecurity>0</DocSecurity>
  <Lines>274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Michaela Kopecká</cp:lastModifiedBy>
  <cp:revision>2</cp:revision>
  <dcterms:created xsi:type="dcterms:W3CDTF">2013-10-24T12:41:00Z</dcterms:created>
  <dcterms:modified xsi:type="dcterms:W3CDTF">2013-10-24T12:41:00Z</dcterms:modified>
</cp:coreProperties>
</file>