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3BF09" w14:textId="77777777" w:rsidR="001A7CDF" w:rsidRPr="002B5412" w:rsidRDefault="001A7CDF" w:rsidP="001A7CDF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</w:rPr>
        <w:tab/>
      </w:r>
    </w:p>
    <w:p w14:paraId="40349762" w14:textId="77777777" w:rsidR="001A7CDF" w:rsidRPr="00944836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bookmarkStart w:id="0" w:name="_Toc374330740"/>
      <w:bookmarkStart w:id="1" w:name="_Toc374331642"/>
      <w:bookmarkStart w:id="2" w:name="_Toc375639404"/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Pr="002B5412">
        <w:rPr>
          <w:rFonts w:cstheme="minorHAnsi"/>
          <w:b/>
          <w:color w:val="000000"/>
          <w:lang w:eastAsia="cs-CZ"/>
        </w:rPr>
        <w:t>„</w:t>
      </w:r>
      <w:proofErr w:type="spellStart"/>
      <w:r w:rsidRPr="00944836">
        <w:rPr>
          <w:rFonts w:cstheme="minorHAnsi"/>
          <w:b/>
          <w:color w:val="000000"/>
          <w:lang w:eastAsia="cs-CZ"/>
        </w:rPr>
        <w:t>Zavedení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elektronické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spisové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služby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do </w:t>
      </w:r>
      <w:proofErr w:type="spellStart"/>
      <w:r w:rsidRPr="00944836">
        <w:rPr>
          <w:rFonts w:cstheme="minorHAnsi"/>
          <w:b/>
          <w:color w:val="000000"/>
          <w:lang w:eastAsia="cs-CZ"/>
        </w:rPr>
        <w:t>prostředí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MěÚ</w:t>
      </w:r>
      <w:proofErr w:type="spellEnd"/>
      <w:r>
        <w:rPr>
          <w:rFonts w:cstheme="minorHAnsi"/>
          <w:b/>
          <w:color w:val="000000"/>
          <w:lang w:eastAsia="cs-CZ"/>
        </w:rPr>
        <w:t xml:space="preserve"> </w:t>
      </w:r>
      <w:r w:rsidRPr="00944836">
        <w:rPr>
          <w:rFonts w:cstheme="minorHAnsi"/>
          <w:b/>
          <w:color w:val="000000"/>
          <w:lang w:eastAsia="cs-CZ"/>
        </w:rPr>
        <w:t xml:space="preserve">Pelhřimov a </w:t>
      </w:r>
      <w:proofErr w:type="spellStart"/>
      <w:r w:rsidRPr="00944836">
        <w:rPr>
          <w:rFonts w:cstheme="minorHAnsi"/>
          <w:b/>
          <w:color w:val="000000"/>
          <w:lang w:eastAsia="cs-CZ"/>
        </w:rPr>
        <w:t>organizací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proofErr w:type="gramStart"/>
      <w:r w:rsidRPr="00944836">
        <w:rPr>
          <w:rFonts w:cstheme="minorHAnsi"/>
          <w:b/>
          <w:color w:val="000000"/>
          <w:lang w:eastAsia="cs-CZ"/>
        </w:rPr>
        <w:t>města</w:t>
      </w:r>
      <w:proofErr w:type="spellEnd"/>
      <w:r w:rsidRPr="002B5412">
        <w:rPr>
          <w:rFonts w:cstheme="minorHAnsi"/>
          <w:b/>
          <w:color w:val="000000"/>
          <w:lang w:eastAsia="cs-CZ"/>
        </w:rPr>
        <w:t>“</w:t>
      </w:r>
      <w:proofErr w:type="gramEnd"/>
    </w:p>
    <w:p w14:paraId="3CA05FA5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944836">
        <w:rPr>
          <w:rFonts w:cstheme="minorHAnsi"/>
          <w:b/>
          <w:color w:val="000000"/>
          <w:lang w:eastAsia="cs-CZ"/>
        </w:rPr>
        <w:t>Město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Pelhřimov</w:t>
      </w:r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r>
        <w:rPr>
          <w:rFonts w:cstheme="minorHAnsi"/>
          <w:color w:val="000000"/>
          <w:lang w:eastAsia="cs-CZ"/>
        </w:rPr>
        <w:t>Pelhřimov</w:t>
      </w:r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6F821CFF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6D9F5D97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15D66CE8" w14:textId="40B729C4" w:rsidR="001A7CDF" w:rsidRPr="002B5412" w:rsidRDefault="005F6AEE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A7CDF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bookmarkEnd w:id="0"/>
    <w:bookmarkEnd w:id="1"/>
    <w:bookmarkEnd w:id="2"/>
    <w:p w14:paraId="56542B45" w14:textId="7C5BF09F" w:rsidR="001A7CDF" w:rsidRPr="00355CF4" w:rsidRDefault="001A7CDF" w:rsidP="00653E47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ZADÁVACÍ DOKUMENTACE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– Příloha č. </w:t>
      </w:r>
      <w:r w:rsidR="00341648">
        <w:rPr>
          <w:rFonts w:eastAsia="Times New Roman"/>
          <w:b/>
          <w:kern w:val="28"/>
          <w:sz w:val="28"/>
          <w:szCs w:val="28"/>
          <w:lang w:val="cs-CZ" w:eastAsia="cs-CZ"/>
        </w:rPr>
        <w:t>12</w:t>
      </w:r>
    </w:p>
    <w:p w14:paraId="760CCAA8" w14:textId="350E7A60" w:rsidR="001A7CDF" w:rsidRDefault="00341648" w:rsidP="001A7CDF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Harmonogram</w:t>
      </w:r>
    </w:p>
    <w:p w14:paraId="76DC54E3" w14:textId="77777777" w:rsidR="005F4286" w:rsidRDefault="001A7CDF" w:rsidP="001A7CDF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  <w:sectPr w:rsidR="005F4286" w:rsidSect="00653E47">
          <w:headerReference w:type="default" r:id="rId8"/>
          <w:footerReference w:type="first" r:id="rId9"/>
          <w:pgSz w:w="12240" w:h="15840"/>
          <w:pgMar w:top="1440" w:right="1800" w:bottom="1134" w:left="180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noProof/>
          <w:sz w:val="22"/>
          <w:szCs w:val="22"/>
          <w:lang w:val="cs-CZ" w:eastAsia="cs-CZ"/>
        </w:rPr>
        <w:drawing>
          <wp:inline distT="0" distB="0" distL="0" distR="0" wp14:anchorId="2C70E91A" wp14:editId="02AB45DE">
            <wp:extent cx="1992011" cy="2226365"/>
            <wp:effectExtent l="0" t="0" r="8255" b="2540"/>
            <wp:docPr id="921813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B27A" w14:textId="0B9E2D3F" w:rsidR="0095517D" w:rsidRDefault="00341648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3" w:name="_Ref165953218"/>
      <w:r>
        <w:rPr>
          <w:rFonts w:ascii="Calibri" w:hAnsi="Calibri"/>
          <w:b/>
          <w:sz w:val="28"/>
          <w:szCs w:val="28"/>
          <w:lang w:val="cs-CZ"/>
        </w:rPr>
        <w:lastRenderedPageBreak/>
        <w:t>HARMONOGRAM</w:t>
      </w:r>
    </w:p>
    <w:p w14:paraId="5610D932" w14:textId="717966AA" w:rsidR="00EA4C79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B0565A">
        <w:rPr>
          <w:rFonts w:ascii="Calibri" w:hAnsi="Calibri"/>
          <w:b/>
          <w:sz w:val="28"/>
          <w:szCs w:val="28"/>
          <w:lang w:val="cs-CZ"/>
        </w:rPr>
        <w:t>„</w:t>
      </w:r>
      <w:r w:rsidR="001A7CDF" w:rsidRPr="001A7CDF">
        <w:rPr>
          <w:rFonts w:ascii="Calibri" w:hAnsi="Calibri"/>
          <w:b/>
          <w:sz w:val="28"/>
          <w:szCs w:val="28"/>
          <w:lang w:val="cs-CZ"/>
        </w:rPr>
        <w:t xml:space="preserve">Zavedení elektronické spisové služby do prostředí </w:t>
      </w:r>
      <w:proofErr w:type="spellStart"/>
      <w:r w:rsidR="001A7CDF" w:rsidRPr="001A7CDF">
        <w:rPr>
          <w:rFonts w:ascii="Calibri" w:hAnsi="Calibri"/>
          <w:b/>
          <w:sz w:val="28"/>
          <w:szCs w:val="28"/>
          <w:lang w:val="cs-CZ"/>
        </w:rPr>
        <w:t>MěÚ</w:t>
      </w:r>
      <w:proofErr w:type="spellEnd"/>
      <w:r w:rsidR="001A7CDF" w:rsidRPr="001A7CDF">
        <w:rPr>
          <w:rFonts w:ascii="Calibri" w:hAnsi="Calibri"/>
          <w:b/>
          <w:sz w:val="28"/>
          <w:szCs w:val="28"/>
          <w:lang w:val="cs-CZ"/>
        </w:rPr>
        <w:t xml:space="preserve"> Pelhřimov a organizací města“</w:t>
      </w:r>
    </w:p>
    <w:p w14:paraId="5F693C23" w14:textId="77777777" w:rsidR="009502CE" w:rsidRDefault="00EA4C79" w:rsidP="0095517D">
      <w:pPr>
        <w:pStyle w:val="ZKLADN"/>
        <w:rPr>
          <w:rFonts w:ascii="Calibri" w:hAnsi="Calibri"/>
          <w:sz w:val="22"/>
          <w:szCs w:val="22"/>
          <w:lang w:val="cs-CZ"/>
        </w:rPr>
      </w:pPr>
      <w:r w:rsidRPr="00EA4C7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  <w:lang w:val="cs-CZ"/>
        </w:rPr>
        <w:t>ou</w:t>
      </w:r>
      <w:r w:rsidRPr="00EA4C79">
        <w:rPr>
          <w:rFonts w:ascii="Calibri" w:hAnsi="Calibri"/>
          <w:sz w:val="22"/>
          <w:szCs w:val="22"/>
        </w:rPr>
        <w:t xml:space="preserve"> v otevřeném řízení, dle ustanovení § 56 zákona č. 134/2016 Sb., o zadávání veřejných zakázek, v platném znění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334F6E9" w14:textId="53E38ECD" w:rsidR="009502CE" w:rsidRPr="00EA4C79" w:rsidRDefault="001E571B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EA4C79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4"/>
      </w:tblGrid>
      <w:tr w:rsidR="0095517D" w:rsidRPr="00CF797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43413DE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046AAC19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6DD0351A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6A57DD4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F797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31F348E9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1B396B33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1318AA8F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1362261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3"/>
    </w:tbl>
    <w:p w14:paraId="72D513C3" w14:textId="0ACEA62E" w:rsidR="0095517D" w:rsidRDefault="0095517D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3E548AD8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64CE952F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tbl>
      <w:tblPr>
        <w:tblStyle w:val="Mkatabulky1"/>
        <w:tblpPr w:leftFromText="141" w:rightFromText="141" w:vertAnchor="text" w:horzAnchor="margin" w:tblpXSpec="center" w:tblpY="-149"/>
        <w:tblW w:w="14596" w:type="dxa"/>
        <w:tblLayout w:type="fixed"/>
        <w:tblLook w:val="04A0" w:firstRow="1" w:lastRow="0" w:firstColumn="1" w:lastColumn="0" w:noHBand="0" w:noVBand="1"/>
      </w:tblPr>
      <w:tblGrid>
        <w:gridCol w:w="1642"/>
        <w:gridCol w:w="9199"/>
        <w:gridCol w:w="960"/>
        <w:gridCol w:w="2795"/>
      </w:tblGrid>
      <w:tr w:rsidR="002669CF" w:rsidRPr="002669CF" w14:paraId="388BA228" w14:textId="77777777" w:rsidTr="002669CF">
        <w:trPr>
          <w:trHeight w:val="301"/>
        </w:trPr>
        <w:tc>
          <w:tcPr>
            <w:tcW w:w="1642" w:type="dxa"/>
            <w:noWrap/>
          </w:tcPr>
          <w:p w14:paraId="545400D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lastRenderedPageBreak/>
              <w:t>Oblast</w:t>
            </w:r>
          </w:p>
        </w:tc>
        <w:tc>
          <w:tcPr>
            <w:tcW w:w="9199" w:type="dxa"/>
            <w:noWrap/>
          </w:tcPr>
          <w:p w14:paraId="35B1286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Aktivita / milník</w:t>
            </w:r>
          </w:p>
        </w:tc>
        <w:tc>
          <w:tcPr>
            <w:tcW w:w="960" w:type="dxa"/>
          </w:tcPr>
          <w:p w14:paraId="68689BC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Min. délka trvání</w:t>
            </w:r>
          </w:p>
        </w:tc>
        <w:tc>
          <w:tcPr>
            <w:tcW w:w="2795" w:type="dxa"/>
          </w:tcPr>
          <w:p w14:paraId="102D651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Ukončení nejpozději</w:t>
            </w:r>
          </w:p>
        </w:tc>
      </w:tr>
      <w:tr w:rsidR="002669CF" w:rsidRPr="002669CF" w14:paraId="318A88F8" w14:textId="77777777" w:rsidTr="002669CF">
        <w:trPr>
          <w:trHeight w:val="301"/>
        </w:trPr>
        <w:tc>
          <w:tcPr>
            <w:tcW w:w="1642" w:type="dxa"/>
            <w:noWrap/>
          </w:tcPr>
          <w:p w14:paraId="5FD8B5F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Smlouva</w:t>
            </w:r>
          </w:p>
        </w:tc>
        <w:tc>
          <w:tcPr>
            <w:tcW w:w="9199" w:type="dxa"/>
            <w:noWrap/>
          </w:tcPr>
          <w:p w14:paraId="17C9B1F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Nabytí účinnosti Smlouvy</w:t>
            </w:r>
          </w:p>
        </w:tc>
        <w:tc>
          <w:tcPr>
            <w:tcW w:w="960" w:type="dxa"/>
          </w:tcPr>
          <w:p w14:paraId="2FBD973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75EF9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</w:t>
            </w:r>
          </w:p>
        </w:tc>
      </w:tr>
      <w:tr w:rsidR="002669CF" w:rsidRPr="002669CF" w14:paraId="76612BE1" w14:textId="77777777" w:rsidTr="002669CF">
        <w:trPr>
          <w:trHeight w:val="301"/>
        </w:trPr>
        <w:tc>
          <w:tcPr>
            <w:tcW w:w="1642" w:type="dxa"/>
            <w:vMerge w:val="restart"/>
            <w:noWrap/>
            <w:hideMark/>
          </w:tcPr>
          <w:p w14:paraId="2AB5667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</w:p>
        </w:tc>
        <w:tc>
          <w:tcPr>
            <w:tcW w:w="9199" w:type="dxa"/>
            <w:noWrap/>
          </w:tcPr>
          <w:p w14:paraId="0C28AAF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zpracování</w:t>
            </w:r>
          </w:p>
        </w:tc>
        <w:tc>
          <w:tcPr>
            <w:tcW w:w="960" w:type="dxa"/>
          </w:tcPr>
          <w:p w14:paraId="0F328C8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21453078" w14:textId="5D136AA5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T + 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[DOPLNÍ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7EDF1DF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08DD511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D7CF76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akceptační řízení</w:t>
            </w:r>
          </w:p>
        </w:tc>
        <w:tc>
          <w:tcPr>
            <w:tcW w:w="960" w:type="dxa"/>
          </w:tcPr>
          <w:p w14:paraId="2E2B597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 měsíc</w:t>
            </w:r>
          </w:p>
        </w:tc>
        <w:tc>
          <w:tcPr>
            <w:tcW w:w="2795" w:type="dxa"/>
          </w:tcPr>
          <w:p w14:paraId="50153062" w14:textId="0DD26C6C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3507912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5E64E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5F5D0C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Instalace a konfigurace infrastruktury (testovací a produkční prostředí) včetně testování nastavení</w:t>
            </w:r>
          </w:p>
        </w:tc>
        <w:tc>
          <w:tcPr>
            <w:tcW w:w="960" w:type="dxa"/>
          </w:tcPr>
          <w:p w14:paraId="0FBABE5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A2472B0" w14:textId="07F3C8F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BDABF91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314164A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4C04971" w14:textId="26B9CDF0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Školení administrátorů a </w:t>
            </w:r>
            <w:r w:rsidR="007F4670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testerů</w:t>
            </w:r>
          </w:p>
        </w:tc>
        <w:tc>
          <w:tcPr>
            <w:tcW w:w="960" w:type="dxa"/>
          </w:tcPr>
          <w:p w14:paraId="4FCE52E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94F8CD6" w14:textId="581A75CD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B002EF5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51F3DE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13B0FF9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testovacího prostředí včetně naplnění testovacími daty</w:t>
            </w:r>
          </w:p>
        </w:tc>
        <w:tc>
          <w:tcPr>
            <w:tcW w:w="960" w:type="dxa"/>
          </w:tcPr>
          <w:p w14:paraId="084903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4242DDB" w14:textId="70E81F6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C7439AA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4116455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6F20B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Implementace vybraných integrací do testovacího prostředí (ISDS, Czech point, ISZR – ROS/ROB) </w:t>
            </w:r>
          </w:p>
        </w:tc>
        <w:tc>
          <w:tcPr>
            <w:tcW w:w="960" w:type="dxa"/>
          </w:tcPr>
          <w:p w14:paraId="58475EA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450719C3" w14:textId="7B969D1A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1B652CAE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1C426D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B683E3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testovacím prostředí</w:t>
            </w:r>
          </w:p>
        </w:tc>
        <w:tc>
          <w:tcPr>
            <w:tcW w:w="960" w:type="dxa"/>
          </w:tcPr>
          <w:p w14:paraId="2927F856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 měsíc</w:t>
            </w:r>
          </w:p>
        </w:tc>
        <w:tc>
          <w:tcPr>
            <w:tcW w:w="2795" w:type="dxa"/>
          </w:tcPr>
          <w:p w14:paraId="7D6EB6BB" w14:textId="4FC1D00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77CC01C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136FD5B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4466CAC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1. milník</w:t>
            </w:r>
          </w:p>
        </w:tc>
        <w:tc>
          <w:tcPr>
            <w:tcW w:w="960" w:type="dxa"/>
          </w:tcPr>
          <w:p w14:paraId="367D694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43D1C8B" w14:textId="533C4C4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CEDC572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47E2D42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3F2B2A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produkčního prostředí včetně vybraných integrací</w:t>
            </w:r>
          </w:p>
        </w:tc>
        <w:tc>
          <w:tcPr>
            <w:tcW w:w="960" w:type="dxa"/>
          </w:tcPr>
          <w:p w14:paraId="70BD08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EF4B5C3" w14:textId="60A38A2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6F5B0CDD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38BC64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E669F4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Implementace ostatních integrací (EIS, Vita, Portál Občana) do testovacího a produkčního prostředí</w:t>
            </w:r>
          </w:p>
        </w:tc>
        <w:tc>
          <w:tcPr>
            <w:tcW w:w="960" w:type="dxa"/>
          </w:tcPr>
          <w:p w14:paraId="31F8C77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00949A5" w14:textId="28CF4706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06A3480F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130976E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D22E55D" w14:textId="31D7DF74" w:rsidR="002669CF" w:rsidRPr="002669CF" w:rsidRDefault="00FC059A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Nezbytné zaškolení obsluhy</w:t>
            </w:r>
          </w:p>
        </w:tc>
        <w:tc>
          <w:tcPr>
            <w:tcW w:w="960" w:type="dxa"/>
          </w:tcPr>
          <w:p w14:paraId="6EC60722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E0CA85A" w14:textId="03855E33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E4EADE8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4110263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397D43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Migrace historických dat (analýza, testovací migrace, korekce a opravy dat, produkční migrace, testování)</w:t>
            </w:r>
          </w:p>
        </w:tc>
        <w:tc>
          <w:tcPr>
            <w:tcW w:w="960" w:type="dxa"/>
          </w:tcPr>
          <w:p w14:paraId="12B61F7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FE138D8" w14:textId="54C5A53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5CE7CEC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1B72657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AA50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produkčním prostředí včetně migrace dat</w:t>
            </w:r>
          </w:p>
        </w:tc>
        <w:tc>
          <w:tcPr>
            <w:tcW w:w="960" w:type="dxa"/>
          </w:tcPr>
          <w:p w14:paraId="36DD590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 měsíc</w:t>
            </w:r>
          </w:p>
        </w:tc>
        <w:tc>
          <w:tcPr>
            <w:tcW w:w="2795" w:type="dxa"/>
          </w:tcPr>
          <w:p w14:paraId="64ACD75A" w14:textId="1916A08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7FAB060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6D9B5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7AC3B5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Licence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včetně licencí SW třetích stran nezbytných pro provoz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– předání k okamžiku zahájení pilotního provozu</w:t>
            </w:r>
          </w:p>
        </w:tc>
        <w:tc>
          <w:tcPr>
            <w:tcW w:w="960" w:type="dxa"/>
          </w:tcPr>
          <w:p w14:paraId="41231A2C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AAFDE93" w14:textId="489885F8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59B00D2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774D40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9A49886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2. milník (akceptace </w:t>
            </w:r>
            <w:r w:rsidRPr="002669C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val="cs-CZ" w:eastAsia="cs-CZ"/>
              </w:rPr>
              <w:t>Implementace)</w:t>
            </w:r>
          </w:p>
        </w:tc>
        <w:tc>
          <w:tcPr>
            <w:tcW w:w="960" w:type="dxa"/>
          </w:tcPr>
          <w:p w14:paraId="6A7C4F4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DFA47A3" w14:textId="3B3583B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76D1D78E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667B528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418ED0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Pilotní provoz včetně zvýšené podpory</w:t>
            </w:r>
          </w:p>
        </w:tc>
        <w:tc>
          <w:tcPr>
            <w:tcW w:w="960" w:type="dxa"/>
          </w:tcPr>
          <w:p w14:paraId="6B49773C" w14:textId="78C68683" w:rsidR="002669CF" w:rsidRPr="002669CF" w:rsidRDefault="00F60547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2</w:t>
            </w:r>
            <w:r w:rsidR="002669CF"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měsíce</w:t>
            </w:r>
          </w:p>
        </w:tc>
        <w:tc>
          <w:tcPr>
            <w:tcW w:w="2795" w:type="dxa"/>
          </w:tcPr>
          <w:p w14:paraId="7C702F41" w14:textId="3BDFCE72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E28D989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6B47680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2D6EE81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3. milník (akceptace pilotního provozu)</w:t>
            </w:r>
          </w:p>
        </w:tc>
        <w:tc>
          <w:tcPr>
            <w:tcW w:w="960" w:type="dxa"/>
          </w:tcPr>
          <w:p w14:paraId="12CA13C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D65317F" w14:textId="52AD096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</w:tbl>
    <w:p w14:paraId="3B5A2052" w14:textId="0ADA58D1" w:rsidR="007F4670" w:rsidRDefault="0028032B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b/>
          <w:sz w:val="22"/>
          <w:szCs w:val="22"/>
          <w:lang w:val="cs-CZ"/>
        </w:rPr>
        <w:t>Osoba oprávněná</w:t>
      </w:r>
      <w:r>
        <w:rPr>
          <w:rFonts w:ascii="Calibri" w:hAnsi="Calibri"/>
          <w:b/>
          <w:sz w:val="22"/>
          <w:szCs w:val="22"/>
          <w:lang w:val="cs-CZ"/>
        </w:rPr>
        <w:t xml:space="preserve"> zastupovat </w:t>
      </w:r>
      <w:r w:rsidR="001E571B">
        <w:rPr>
          <w:rFonts w:ascii="Calibri" w:hAnsi="Calibri"/>
          <w:b/>
          <w:sz w:val="22"/>
          <w:szCs w:val="22"/>
          <w:lang w:val="cs-CZ"/>
        </w:rPr>
        <w:t>DODAVATELE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28032B" w:rsidRPr="009974C6" w14:paraId="02C8EAC2" w14:textId="77777777" w:rsidTr="005F4286">
        <w:trPr>
          <w:jc w:val="center"/>
        </w:trPr>
        <w:tc>
          <w:tcPr>
            <w:tcW w:w="2926" w:type="dxa"/>
            <w:shd w:val="clear" w:color="auto" w:fill="D9D9D9"/>
          </w:tcPr>
          <w:p w14:paraId="29E801EE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Titul, jméno, příjmení</w:t>
            </w:r>
          </w:p>
        </w:tc>
        <w:tc>
          <w:tcPr>
            <w:tcW w:w="2927" w:type="dxa"/>
            <w:shd w:val="clear" w:color="auto" w:fill="D9D9D9"/>
          </w:tcPr>
          <w:p w14:paraId="449EE053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2927" w:type="dxa"/>
            <w:shd w:val="clear" w:color="auto" w:fill="D9D9D9"/>
          </w:tcPr>
          <w:p w14:paraId="1E10BA54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Podpis</w:t>
            </w:r>
          </w:p>
        </w:tc>
      </w:tr>
      <w:tr w:rsidR="00A32FA3" w:rsidRPr="009974C6" w14:paraId="22CE2EED" w14:textId="77777777" w:rsidTr="007F4670">
        <w:trPr>
          <w:trHeight w:val="360"/>
          <w:jc w:val="center"/>
        </w:trPr>
        <w:tc>
          <w:tcPr>
            <w:tcW w:w="2926" w:type="dxa"/>
            <w:shd w:val="clear" w:color="auto" w:fill="auto"/>
          </w:tcPr>
          <w:p w14:paraId="70E2B777" w14:textId="5A2831EE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44A549C4" w14:textId="37D1A8A8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140BC696" w14:textId="0FB88782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5AEB0A0B" w14:textId="77777777" w:rsidR="0028032B" w:rsidRDefault="0028032B" w:rsidP="007F4670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Sect="00F60547">
      <w:pgSz w:w="15840" w:h="12240" w:orient="landscape"/>
      <w:pgMar w:top="1800" w:right="1440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94982" w14:textId="77777777" w:rsidR="009149FB" w:rsidRDefault="009149FB" w:rsidP="00355CF4">
      <w:pPr>
        <w:spacing w:after="0" w:line="240" w:lineRule="auto"/>
      </w:pPr>
      <w:r>
        <w:separator/>
      </w:r>
    </w:p>
  </w:endnote>
  <w:endnote w:type="continuationSeparator" w:id="0">
    <w:p w14:paraId="3E9D6668" w14:textId="77777777" w:rsidR="009149FB" w:rsidRDefault="009149FB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3E9C" w14:textId="337C7BAE" w:rsidR="00653E47" w:rsidRDefault="00F60547" w:rsidP="00653E47">
    <w:pPr>
      <w:pStyle w:val="Zpat"/>
      <w:jc w:val="center"/>
    </w:pPr>
    <w:r>
      <w:rPr>
        <w:noProof/>
      </w:rPr>
      <w:drawing>
        <wp:inline distT="0" distB="0" distL="0" distR="0" wp14:anchorId="49A195AF" wp14:editId="66AE6122">
          <wp:extent cx="5486400" cy="904724"/>
          <wp:effectExtent l="0" t="0" r="0" b="0"/>
          <wp:docPr id="4665037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0433" name="Obrázek 991430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4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F2C88" w14:textId="77777777" w:rsidR="009149FB" w:rsidRDefault="009149FB" w:rsidP="00355CF4">
      <w:pPr>
        <w:spacing w:after="0" w:line="240" w:lineRule="auto"/>
      </w:pPr>
      <w:r>
        <w:separator/>
      </w:r>
    </w:p>
  </w:footnote>
  <w:footnote w:type="continuationSeparator" w:id="0">
    <w:p w14:paraId="1B207DE0" w14:textId="77777777" w:rsidR="009149FB" w:rsidRDefault="009149FB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1234" w14:textId="4CE2C4C9" w:rsidR="00D35A45" w:rsidRDefault="00D35A45" w:rsidP="00B0565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7"/>
  </w:num>
  <w:num w:numId="9" w16cid:durableId="1553537547">
    <w:abstractNumId w:val="10"/>
  </w:num>
  <w:num w:numId="10" w16cid:durableId="401296923">
    <w:abstractNumId w:val="26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8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29"/>
  </w:num>
  <w:num w:numId="29" w16cid:durableId="1160463158">
    <w:abstractNumId w:val="21"/>
  </w:num>
  <w:num w:numId="30" w16cid:durableId="179270220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55417"/>
    <w:rsid w:val="000606DA"/>
    <w:rsid w:val="00060FC5"/>
    <w:rsid w:val="00073E72"/>
    <w:rsid w:val="00077FCF"/>
    <w:rsid w:val="000A458B"/>
    <w:rsid w:val="000A77C8"/>
    <w:rsid w:val="000B4855"/>
    <w:rsid w:val="000B584A"/>
    <w:rsid w:val="000C0660"/>
    <w:rsid w:val="000C419A"/>
    <w:rsid w:val="000C6EB1"/>
    <w:rsid w:val="000D59BC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571B"/>
    <w:rsid w:val="001E78D3"/>
    <w:rsid w:val="001F0854"/>
    <w:rsid w:val="001F465D"/>
    <w:rsid w:val="001F6E5F"/>
    <w:rsid w:val="00203B94"/>
    <w:rsid w:val="002052E1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669CF"/>
    <w:rsid w:val="00275BEB"/>
    <w:rsid w:val="0027697F"/>
    <w:rsid w:val="0028032B"/>
    <w:rsid w:val="00294AEC"/>
    <w:rsid w:val="002B36BB"/>
    <w:rsid w:val="002C2377"/>
    <w:rsid w:val="002C2D87"/>
    <w:rsid w:val="002E10AE"/>
    <w:rsid w:val="002E37A0"/>
    <w:rsid w:val="002F4DFF"/>
    <w:rsid w:val="002F6687"/>
    <w:rsid w:val="00341648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7916"/>
    <w:rsid w:val="003A1B08"/>
    <w:rsid w:val="003A2E2F"/>
    <w:rsid w:val="003A5355"/>
    <w:rsid w:val="003A56DC"/>
    <w:rsid w:val="003B4F3B"/>
    <w:rsid w:val="003B63B7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267C2"/>
    <w:rsid w:val="00435C92"/>
    <w:rsid w:val="004378D7"/>
    <w:rsid w:val="00440858"/>
    <w:rsid w:val="0044769B"/>
    <w:rsid w:val="004654EE"/>
    <w:rsid w:val="00465F3D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F0D2C"/>
    <w:rsid w:val="004F445F"/>
    <w:rsid w:val="0050131A"/>
    <w:rsid w:val="0050749D"/>
    <w:rsid w:val="00511637"/>
    <w:rsid w:val="00513E2B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613166"/>
    <w:rsid w:val="006210F6"/>
    <w:rsid w:val="006239C6"/>
    <w:rsid w:val="00623C3C"/>
    <w:rsid w:val="00636940"/>
    <w:rsid w:val="00645011"/>
    <w:rsid w:val="00653E47"/>
    <w:rsid w:val="00654703"/>
    <w:rsid w:val="0068370D"/>
    <w:rsid w:val="00691FE6"/>
    <w:rsid w:val="00692C6E"/>
    <w:rsid w:val="006B14E0"/>
    <w:rsid w:val="006C5BDF"/>
    <w:rsid w:val="006D50F9"/>
    <w:rsid w:val="006D5C64"/>
    <w:rsid w:val="006D6439"/>
    <w:rsid w:val="006E25E2"/>
    <w:rsid w:val="006F580A"/>
    <w:rsid w:val="00704F02"/>
    <w:rsid w:val="00720AED"/>
    <w:rsid w:val="00723616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B61EA"/>
    <w:rsid w:val="007C4F4A"/>
    <w:rsid w:val="007D2FAA"/>
    <w:rsid w:val="007E5EAA"/>
    <w:rsid w:val="007E789C"/>
    <w:rsid w:val="007F1A37"/>
    <w:rsid w:val="007F4670"/>
    <w:rsid w:val="008051F4"/>
    <w:rsid w:val="008235DD"/>
    <w:rsid w:val="00831A9F"/>
    <w:rsid w:val="008422C4"/>
    <w:rsid w:val="00850B29"/>
    <w:rsid w:val="00850D7C"/>
    <w:rsid w:val="00864639"/>
    <w:rsid w:val="00864871"/>
    <w:rsid w:val="00872374"/>
    <w:rsid w:val="00876917"/>
    <w:rsid w:val="00876D74"/>
    <w:rsid w:val="00876F51"/>
    <w:rsid w:val="00882607"/>
    <w:rsid w:val="00884117"/>
    <w:rsid w:val="008B1A69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5F64"/>
    <w:rsid w:val="008E7975"/>
    <w:rsid w:val="008F2C9B"/>
    <w:rsid w:val="008F46E0"/>
    <w:rsid w:val="00912A3E"/>
    <w:rsid w:val="009149FB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C3B35"/>
    <w:rsid w:val="009C698A"/>
    <w:rsid w:val="009D0C1E"/>
    <w:rsid w:val="009E1159"/>
    <w:rsid w:val="009E1F1B"/>
    <w:rsid w:val="009E34E4"/>
    <w:rsid w:val="009E53F3"/>
    <w:rsid w:val="009F0EDF"/>
    <w:rsid w:val="009F36F0"/>
    <w:rsid w:val="009F53E7"/>
    <w:rsid w:val="009F6A22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5BC7"/>
    <w:rsid w:val="00A6673C"/>
    <w:rsid w:val="00A7527D"/>
    <w:rsid w:val="00A81818"/>
    <w:rsid w:val="00A8639B"/>
    <w:rsid w:val="00AA60BF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2ED2"/>
    <w:rsid w:val="00B46C28"/>
    <w:rsid w:val="00B50003"/>
    <w:rsid w:val="00B53651"/>
    <w:rsid w:val="00B635E2"/>
    <w:rsid w:val="00B65B92"/>
    <w:rsid w:val="00B7318E"/>
    <w:rsid w:val="00B75FE3"/>
    <w:rsid w:val="00BA434F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B44A6"/>
    <w:rsid w:val="00CC74F7"/>
    <w:rsid w:val="00CD13DE"/>
    <w:rsid w:val="00CD65BD"/>
    <w:rsid w:val="00CD6B5A"/>
    <w:rsid w:val="00CD7A10"/>
    <w:rsid w:val="00CE021A"/>
    <w:rsid w:val="00CE2EAA"/>
    <w:rsid w:val="00CF367E"/>
    <w:rsid w:val="00CF4038"/>
    <w:rsid w:val="00CF4774"/>
    <w:rsid w:val="00CF7971"/>
    <w:rsid w:val="00D13D82"/>
    <w:rsid w:val="00D1551E"/>
    <w:rsid w:val="00D1608A"/>
    <w:rsid w:val="00D35A45"/>
    <w:rsid w:val="00D50101"/>
    <w:rsid w:val="00D55316"/>
    <w:rsid w:val="00D64DCE"/>
    <w:rsid w:val="00D850ED"/>
    <w:rsid w:val="00D85E2E"/>
    <w:rsid w:val="00D91DB2"/>
    <w:rsid w:val="00D96239"/>
    <w:rsid w:val="00DB1DFB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2C1"/>
    <w:rsid w:val="00E75C26"/>
    <w:rsid w:val="00E80368"/>
    <w:rsid w:val="00E87DA7"/>
    <w:rsid w:val="00E92A83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241E"/>
    <w:rsid w:val="00F44E8C"/>
    <w:rsid w:val="00F5121F"/>
    <w:rsid w:val="00F60547"/>
    <w:rsid w:val="00F756D5"/>
    <w:rsid w:val="00F77D68"/>
    <w:rsid w:val="00FA4EEE"/>
    <w:rsid w:val="00FB7887"/>
    <w:rsid w:val="00FC059A"/>
    <w:rsid w:val="00FD2F38"/>
    <w:rsid w:val="00FD6694"/>
    <w:rsid w:val="00FD66D3"/>
    <w:rsid w:val="00FE223B"/>
    <w:rsid w:val="00FE2E30"/>
    <w:rsid w:val="00FE39EC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  <w15:docId w15:val="{8DA97852-9ADF-4AFD-A82D-A3B2D53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69C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Reniers</dc:creator>
  <cp:keywords/>
  <cp:lastModifiedBy>Libor Kyba</cp:lastModifiedBy>
  <cp:revision>2</cp:revision>
  <dcterms:created xsi:type="dcterms:W3CDTF">2024-09-30T11:49:00Z</dcterms:created>
  <dcterms:modified xsi:type="dcterms:W3CDTF">2024-09-30T11:49:00Z</dcterms:modified>
</cp:coreProperties>
</file>