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783CABF8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E46E6" w14:textId="77777777" w:rsidR="00FF52AC" w:rsidRPr="003B3489" w:rsidRDefault="00FF52AC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0E35538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 w:rsidR="00FA21BE">
        <w:rPr>
          <w:rFonts w:cstheme="minorHAnsi"/>
          <w:b/>
          <w:sz w:val="24"/>
          <w:szCs w:val="24"/>
        </w:rPr>
        <w:t>zařízení</w:t>
      </w:r>
      <w:r w:rsidR="00226012">
        <w:rPr>
          <w:rFonts w:cstheme="minorHAnsi"/>
          <w:b/>
          <w:sz w:val="24"/>
          <w:szCs w:val="24"/>
        </w:rPr>
        <w:t>/</w:t>
      </w:r>
      <w:proofErr w:type="spellStart"/>
      <w:r w:rsidR="00226012">
        <w:rPr>
          <w:rFonts w:cstheme="minorHAnsi"/>
          <w:b/>
          <w:sz w:val="24"/>
          <w:szCs w:val="24"/>
        </w:rPr>
        <w:t>Namec</w:t>
      </w:r>
      <w:proofErr w:type="spellEnd"/>
      <w:r w:rsidR="00226012">
        <w:rPr>
          <w:rFonts w:cstheme="minorHAnsi"/>
          <w:b/>
          <w:sz w:val="24"/>
          <w:szCs w:val="24"/>
        </w:rPr>
        <w:t xml:space="preserve"> </w:t>
      </w:r>
      <w:proofErr w:type="spellStart"/>
      <w:r w:rsidR="00226012">
        <w:rPr>
          <w:rFonts w:cstheme="minorHAnsi"/>
          <w:b/>
          <w:sz w:val="24"/>
          <w:szCs w:val="24"/>
        </w:rPr>
        <w:t>of</w:t>
      </w:r>
      <w:proofErr w:type="spellEnd"/>
      <w:r w:rsidR="00226012">
        <w:rPr>
          <w:rFonts w:cstheme="minorHAnsi"/>
          <w:b/>
          <w:sz w:val="24"/>
          <w:szCs w:val="24"/>
        </w:rPr>
        <w:t xml:space="preserve"> </w:t>
      </w:r>
      <w:proofErr w:type="spellStart"/>
      <w:r w:rsidR="00226012">
        <w:rPr>
          <w:rFonts w:cstheme="minorHAnsi"/>
          <w:b/>
          <w:sz w:val="24"/>
          <w:szCs w:val="24"/>
        </w:rPr>
        <w:t>Device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B6CF237" w14:textId="4489A849" w:rsidR="00CB426B" w:rsidRDefault="00CF3C42" w:rsidP="009D41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Zařízení pro vyčítání dat z řídící jednotky airbagu (EDR)</w:t>
            </w:r>
          </w:p>
          <w:p w14:paraId="72E86D7C" w14:textId="4DB6C88A" w:rsidR="00226012" w:rsidRPr="003B3489" w:rsidRDefault="00226012" w:rsidP="009D414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334CC">
              <w:t>Device</w:t>
            </w:r>
            <w:proofErr w:type="spellEnd"/>
            <w:r w:rsidRPr="004334CC">
              <w:t xml:space="preserve"> </w:t>
            </w:r>
            <w:proofErr w:type="spellStart"/>
            <w:r w:rsidRPr="004334CC">
              <w:t>for</w:t>
            </w:r>
            <w:proofErr w:type="spellEnd"/>
            <w:r w:rsidRPr="004334CC">
              <w:t xml:space="preserve"> </w:t>
            </w:r>
            <w:proofErr w:type="spellStart"/>
            <w:r w:rsidRPr="004334CC">
              <w:t>Reading</w:t>
            </w:r>
            <w:proofErr w:type="spellEnd"/>
            <w:r w:rsidRPr="004334CC">
              <w:t xml:space="preserve"> Data </w:t>
            </w:r>
            <w:proofErr w:type="spellStart"/>
            <w:r w:rsidRPr="004334CC">
              <w:t>from</w:t>
            </w:r>
            <w:proofErr w:type="spellEnd"/>
            <w:r w:rsidRPr="004334CC">
              <w:t xml:space="preserve"> </w:t>
            </w:r>
            <w:proofErr w:type="spellStart"/>
            <w:r w:rsidRPr="004334CC">
              <w:t>the</w:t>
            </w:r>
            <w:proofErr w:type="spellEnd"/>
            <w:r w:rsidRPr="004334CC">
              <w:t xml:space="preserve"> Airbag </w:t>
            </w:r>
            <w:proofErr w:type="spellStart"/>
            <w:r w:rsidRPr="004334CC">
              <w:t>Control</w:t>
            </w:r>
            <w:proofErr w:type="spellEnd"/>
            <w:r w:rsidRPr="004334CC">
              <w:t xml:space="preserve"> Unit (EDR)</w:t>
            </w:r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196DABCA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  <w:r w:rsidR="00843E7E">
        <w:rPr>
          <w:rFonts w:cstheme="minorHAnsi"/>
          <w:b/>
          <w:sz w:val="24"/>
          <w:szCs w:val="24"/>
        </w:rPr>
        <w:t>/Unit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51510F4D" w:rsidR="00CB426B" w:rsidRPr="003B3489" w:rsidRDefault="005752EC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5914A71E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  <w:r w:rsidR="005779EB">
        <w:rPr>
          <w:rFonts w:cstheme="minorHAnsi"/>
          <w:b/>
          <w:sz w:val="24"/>
          <w:szCs w:val="24"/>
        </w:rPr>
        <w:t>/</w:t>
      </w:r>
      <w:proofErr w:type="spellStart"/>
      <w:r w:rsidR="005779EB">
        <w:rPr>
          <w:rFonts w:cstheme="minorHAnsi"/>
          <w:b/>
          <w:sz w:val="24"/>
          <w:szCs w:val="24"/>
        </w:rPr>
        <w:t>Quantity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2DC4D6D0" w:rsidR="00CB426B" w:rsidRPr="003B3489" w:rsidRDefault="005752EC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C83763" w14:textId="2B7B4FF8" w:rsidR="00F34BFA" w:rsidRPr="007449DF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Předpokládaná cena</w:t>
      </w:r>
      <w:r w:rsidR="005779EB">
        <w:rPr>
          <w:rFonts w:cstheme="minorHAnsi"/>
          <w:b/>
          <w:sz w:val="24"/>
          <w:szCs w:val="24"/>
        </w:rPr>
        <w:t>/</w:t>
      </w:r>
      <w:proofErr w:type="spellStart"/>
      <w:r w:rsidR="005779EB">
        <w:rPr>
          <w:rFonts w:cstheme="minorHAnsi"/>
          <w:b/>
          <w:sz w:val="24"/>
          <w:szCs w:val="24"/>
        </w:rPr>
        <w:t>Ex</w:t>
      </w:r>
      <w:r w:rsidR="00997F58">
        <w:rPr>
          <w:rFonts w:cstheme="minorHAnsi"/>
          <w:b/>
          <w:sz w:val="24"/>
          <w:szCs w:val="24"/>
        </w:rPr>
        <w:t>pected</w:t>
      </w:r>
      <w:proofErr w:type="spellEnd"/>
      <w:r w:rsidR="00997F58">
        <w:rPr>
          <w:rFonts w:cstheme="minorHAnsi"/>
          <w:b/>
          <w:sz w:val="24"/>
          <w:szCs w:val="24"/>
        </w:rPr>
        <w:t xml:space="preserve"> </w:t>
      </w:r>
      <w:proofErr w:type="spellStart"/>
      <w:r w:rsidR="00997F58">
        <w:rPr>
          <w:rFonts w:cstheme="minorHAnsi"/>
          <w:b/>
          <w:sz w:val="24"/>
          <w:szCs w:val="24"/>
        </w:rPr>
        <w:t>price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:rsidRPr="003B3489" w14:paraId="69DCBD2B" w14:textId="77777777" w:rsidTr="00CD7B58">
        <w:tc>
          <w:tcPr>
            <w:tcW w:w="9212" w:type="dxa"/>
          </w:tcPr>
          <w:p w14:paraId="7101B72A" w14:textId="5D258BFC" w:rsidR="00F34BFA" w:rsidRPr="003B3489" w:rsidRDefault="009135A6" w:rsidP="00CD7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779E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5779EB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000</w:t>
            </w:r>
            <w:r w:rsidR="005779EB">
              <w:rPr>
                <w:rFonts w:cstheme="minorHAnsi"/>
                <w:b/>
                <w:bCs/>
                <w:sz w:val="24"/>
                <w:szCs w:val="24"/>
              </w:rPr>
              <w:t xml:space="preserve"> CZK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779EB">
              <w:rPr>
                <w:rFonts w:cstheme="minorHAnsi"/>
                <w:b/>
                <w:bCs/>
                <w:sz w:val="24"/>
                <w:szCs w:val="24"/>
              </w:rPr>
              <w:t>bez</w:t>
            </w:r>
            <w:r w:rsidR="00CD046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B3489" w:rsidRPr="00F42493">
              <w:rPr>
                <w:rFonts w:cstheme="minorHAnsi"/>
                <w:b/>
                <w:bCs/>
                <w:sz w:val="24"/>
                <w:szCs w:val="24"/>
              </w:rPr>
              <w:t>DP</w:t>
            </w:r>
            <w:r w:rsidR="00F42493" w:rsidRPr="00F4249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5779EB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="005779EB">
              <w:rPr>
                <w:rFonts w:cstheme="minorHAnsi"/>
                <w:b/>
                <w:bCs/>
                <w:sz w:val="24"/>
                <w:szCs w:val="24"/>
              </w:rPr>
              <w:t>withnout</w:t>
            </w:r>
            <w:proofErr w:type="spellEnd"/>
            <w:r w:rsidR="005779EB">
              <w:rPr>
                <w:rFonts w:cstheme="minorHAnsi"/>
                <w:b/>
                <w:bCs/>
                <w:sz w:val="24"/>
                <w:szCs w:val="24"/>
              </w:rPr>
              <w:t xml:space="preserve"> VAT</w:t>
            </w:r>
          </w:p>
        </w:tc>
      </w:tr>
    </w:tbl>
    <w:p w14:paraId="5451FEA6" w14:textId="77777777" w:rsidR="001A6511" w:rsidRPr="003B3489" w:rsidRDefault="001A6511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531ADCA7" w14:textId="2622AF90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  <w:r w:rsidR="00997F58">
        <w:rPr>
          <w:rFonts w:cstheme="minorHAnsi"/>
          <w:b/>
          <w:sz w:val="24"/>
          <w:szCs w:val="24"/>
        </w:rPr>
        <w:t>/</w:t>
      </w:r>
      <w:proofErr w:type="spellStart"/>
      <w:r w:rsidR="00997F58">
        <w:rPr>
          <w:rFonts w:cstheme="minorHAnsi"/>
          <w:b/>
          <w:sz w:val="24"/>
          <w:szCs w:val="24"/>
        </w:rPr>
        <w:t>Delivery</w:t>
      </w:r>
      <w:proofErr w:type="spellEnd"/>
      <w:r w:rsidR="00997F58">
        <w:rPr>
          <w:rFonts w:cstheme="minorHAnsi"/>
          <w:b/>
          <w:sz w:val="24"/>
          <w:szCs w:val="24"/>
        </w:rPr>
        <w:t xml:space="preserve"> </w:t>
      </w:r>
      <w:proofErr w:type="spellStart"/>
      <w:r w:rsidR="00997F58">
        <w:rPr>
          <w:rFonts w:cstheme="minorHAnsi"/>
          <w:b/>
          <w:sz w:val="24"/>
          <w:szCs w:val="24"/>
        </w:rPr>
        <w:t>time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9B4D0D4" w14:textId="77777777" w:rsidR="00CB426B" w:rsidRDefault="00F05A8A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>2 měsíce</w:t>
            </w:r>
          </w:p>
          <w:p w14:paraId="488FCD7B" w14:textId="60407085" w:rsidR="00997F58" w:rsidRPr="003B3489" w:rsidRDefault="00997F58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months</w:t>
            </w:r>
            <w:proofErr w:type="spellEnd"/>
          </w:p>
        </w:tc>
      </w:tr>
      <w:bookmarkEnd w:id="0"/>
    </w:tbl>
    <w:p w14:paraId="53512A42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2A5B101" w14:textId="7024D94C" w:rsidR="00FA21BE" w:rsidRPr="007449DF" w:rsidRDefault="00FA21BE" w:rsidP="00FA21B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1BE" w:rsidRPr="003B3489" w14:paraId="04059065" w14:textId="77777777" w:rsidTr="002A29FE">
        <w:tc>
          <w:tcPr>
            <w:tcW w:w="9212" w:type="dxa"/>
          </w:tcPr>
          <w:p w14:paraId="4B78B871" w14:textId="66DC6F56" w:rsidR="00B36869" w:rsidRDefault="00B36869" w:rsidP="00B36869">
            <w:pPr>
              <w:rPr>
                <w:rFonts w:cstheme="minorHAnsi"/>
                <w:sz w:val="24"/>
                <w:szCs w:val="24"/>
              </w:rPr>
            </w:pPr>
            <w:r w:rsidRPr="00B36869">
              <w:rPr>
                <w:rFonts w:cstheme="minorHAnsi"/>
                <w:sz w:val="24"/>
                <w:szCs w:val="24"/>
              </w:rPr>
              <w:t xml:space="preserve">Možnost vyčítání nehodových dat po dopravní nehodě, zejména u novějších vozidel.  Předpis OSN č. 160 stanoví, že všechna v EU nově registrovaná vozidla kategorie M1 a N1 musí být od 1. července 2024 povinně vybavena zapisovačem údajů o události (EDR). Tímto zapisovačem událostí jsou v současnosti vybavena i </w:t>
            </w:r>
            <w:r w:rsidR="00207BB5" w:rsidRPr="00B36869">
              <w:rPr>
                <w:rFonts w:cstheme="minorHAnsi"/>
                <w:sz w:val="24"/>
                <w:szCs w:val="24"/>
              </w:rPr>
              <w:t>vybraná</w:t>
            </w:r>
            <w:r w:rsidRPr="00B36869">
              <w:rPr>
                <w:rFonts w:cstheme="minorHAnsi"/>
                <w:sz w:val="24"/>
                <w:szCs w:val="24"/>
              </w:rPr>
              <w:t xml:space="preserve"> starší vozidla. Do budoucna však bude těchto vozidel přibývat a možnost vyčítání nehodových dat zpřesní a zrychlí analýzu dopravní nehody v rámci činnosti HADN.</w:t>
            </w:r>
          </w:p>
          <w:p w14:paraId="1B91385C" w14:textId="77777777" w:rsidR="002C64EA" w:rsidRDefault="002C64EA" w:rsidP="00B36869">
            <w:pPr>
              <w:rPr>
                <w:rFonts w:cstheme="minorHAnsi"/>
                <w:sz w:val="24"/>
                <w:szCs w:val="24"/>
              </w:rPr>
            </w:pPr>
          </w:p>
          <w:p w14:paraId="1018192B" w14:textId="4D385814" w:rsidR="00FA21BE" w:rsidRPr="00FF1D23" w:rsidRDefault="002C64EA" w:rsidP="002A29F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ability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retrieve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crash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after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traffic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accident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especially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newer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vehicles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. UN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Regulation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No. 160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stipulates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that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newly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registered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M1 and N1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category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vehicles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EU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must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be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equipped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Event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Recorder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(EDR) as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1 July 2024.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Some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older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vehicles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are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already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equipped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such event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recorders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. In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future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number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these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vehicles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increase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and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ability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retrieve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crash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enhance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accelerate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traffic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accident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analysis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within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activities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HADN.</w:t>
            </w:r>
          </w:p>
          <w:p w14:paraId="19845034" w14:textId="77777777" w:rsidR="00FA21BE" w:rsidRPr="003B3489" w:rsidRDefault="00FA21BE" w:rsidP="002A29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328455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858684A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9172ACD" w14:textId="427E2411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</w:t>
      </w:r>
      <w:r w:rsidR="000513FA">
        <w:rPr>
          <w:rFonts w:cstheme="minorHAnsi"/>
          <w:b/>
          <w:sz w:val="24"/>
          <w:szCs w:val="24"/>
        </w:rPr>
        <w:t>y</w:t>
      </w:r>
    </w:p>
    <w:p w14:paraId="31ABB6B0" w14:textId="77777777" w:rsidR="001A6511" w:rsidRPr="003B3489" w:rsidRDefault="001A6511" w:rsidP="001A651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3EF7BBE4" w14:textId="221E462E" w:rsidR="00C965ED" w:rsidRDefault="00721324" w:rsidP="00C02F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Zařízení musí umožňovat vyčítání </w:t>
            </w:r>
            <w:r w:rsidR="00EC7A72">
              <w:rPr>
                <w:rFonts w:cstheme="minorHAnsi"/>
                <w:sz w:val="24"/>
                <w:szCs w:val="24"/>
              </w:rPr>
              <w:t>dat z řídící jednotky airbagu</w:t>
            </w:r>
            <w:r w:rsidR="00245576">
              <w:rPr>
                <w:rFonts w:cstheme="minorHAnsi"/>
                <w:sz w:val="24"/>
                <w:szCs w:val="24"/>
              </w:rPr>
              <w:t xml:space="preserve">, neboli ze zapisovače </w:t>
            </w:r>
            <w:r w:rsidR="009A401C">
              <w:rPr>
                <w:rFonts w:cstheme="minorHAnsi"/>
                <w:sz w:val="24"/>
                <w:szCs w:val="24"/>
              </w:rPr>
              <w:t>údajů o události (EDR). Zařízení musí být schopno vyčítat</w:t>
            </w:r>
            <w:r w:rsidR="00B956A3">
              <w:rPr>
                <w:rFonts w:cstheme="minorHAnsi"/>
                <w:sz w:val="24"/>
                <w:szCs w:val="24"/>
              </w:rPr>
              <w:t>,</w:t>
            </w:r>
            <w:r w:rsidR="009A401C">
              <w:rPr>
                <w:rFonts w:cstheme="minorHAnsi"/>
                <w:sz w:val="24"/>
                <w:szCs w:val="24"/>
              </w:rPr>
              <w:t xml:space="preserve"> mimo jiné, vozidla </w:t>
            </w:r>
            <w:r w:rsidR="00B956A3">
              <w:rPr>
                <w:rFonts w:cstheme="minorHAnsi"/>
                <w:sz w:val="24"/>
                <w:szCs w:val="24"/>
              </w:rPr>
              <w:t>vybavená zapisovačem</w:t>
            </w:r>
            <w:r w:rsidR="00B27D0D">
              <w:rPr>
                <w:rFonts w:cstheme="minorHAnsi"/>
                <w:sz w:val="24"/>
                <w:szCs w:val="24"/>
              </w:rPr>
              <w:t xml:space="preserve"> dat</w:t>
            </w:r>
            <w:r w:rsidR="00B956A3">
              <w:rPr>
                <w:rFonts w:cstheme="minorHAnsi"/>
                <w:sz w:val="24"/>
                <w:szCs w:val="24"/>
              </w:rPr>
              <w:t xml:space="preserve"> dle předpisu OSN č. 160</w:t>
            </w:r>
            <w:r w:rsidR="00D171B3">
              <w:rPr>
                <w:rFonts w:cstheme="minorHAnsi"/>
                <w:sz w:val="24"/>
                <w:szCs w:val="24"/>
              </w:rPr>
              <w:t xml:space="preserve"> a to min. prostřednictvím EOBD konektoru. </w:t>
            </w:r>
            <w:r w:rsidR="00887704">
              <w:rPr>
                <w:rFonts w:cstheme="minorHAnsi"/>
                <w:sz w:val="24"/>
                <w:szCs w:val="24"/>
              </w:rPr>
              <w:t>Sada bude obsahovat vybrané kabely</w:t>
            </w:r>
            <w:r w:rsidR="00505584">
              <w:rPr>
                <w:rFonts w:cstheme="minorHAnsi"/>
                <w:sz w:val="24"/>
                <w:szCs w:val="24"/>
              </w:rPr>
              <w:t xml:space="preserve"> (10 ks)</w:t>
            </w:r>
            <w:r w:rsidR="00887704">
              <w:rPr>
                <w:rFonts w:cstheme="minorHAnsi"/>
                <w:sz w:val="24"/>
                <w:szCs w:val="24"/>
              </w:rPr>
              <w:t xml:space="preserve"> pro přímé propojení </w:t>
            </w:r>
            <w:r w:rsidR="00A52A09">
              <w:rPr>
                <w:rFonts w:cstheme="minorHAnsi"/>
                <w:sz w:val="24"/>
                <w:szCs w:val="24"/>
              </w:rPr>
              <w:t>čtecí</w:t>
            </w:r>
            <w:r w:rsidR="00887704">
              <w:rPr>
                <w:rFonts w:cstheme="minorHAnsi"/>
                <w:sz w:val="24"/>
                <w:szCs w:val="24"/>
              </w:rPr>
              <w:t xml:space="preserve"> jednotky s</w:t>
            </w:r>
            <w:r w:rsidR="00A52A09">
              <w:rPr>
                <w:rFonts w:cstheme="minorHAnsi"/>
                <w:sz w:val="24"/>
                <w:szCs w:val="24"/>
              </w:rPr>
              <w:t xml:space="preserve"> jednotkou airbagu. </w:t>
            </w:r>
            <w:r w:rsidR="0088770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45FF0ED" w14:textId="7C47EA27" w:rsidR="00A46044" w:rsidRDefault="00A46044" w:rsidP="00C02F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Součástí bude SW pro vyčítání</w:t>
            </w:r>
            <w:r w:rsidR="00194C37">
              <w:rPr>
                <w:rFonts w:cstheme="minorHAnsi"/>
                <w:sz w:val="24"/>
                <w:szCs w:val="24"/>
              </w:rPr>
              <w:t xml:space="preserve"> a přepravní box. </w:t>
            </w:r>
            <w:r w:rsidR="007D65F6">
              <w:rPr>
                <w:rFonts w:cstheme="minorHAnsi"/>
                <w:sz w:val="24"/>
                <w:szCs w:val="24"/>
              </w:rPr>
              <w:t xml:space="preserve">Sada bude kompletní v tom smyslu, že po </w:t>
            </w:r>
            <w:r w:rsidR="005D495E">
              <w:rPr>
                <w:rFonts w:cstheme="minorHAnsi"/>
                <w:sz w:val="24"/>
                <w:szCs w:val="24"/>
              </w:rPr>
              <w:t>instalaci SW a připojení externího zařízení (notebook, tablet</w:t>
            </w:r>
            <w:r w:rsidR="005D531A">
              <w:rPr>
                <w:rFonts w:cstheme="minorHAnsi"/>
                <w:sz w:val="24"/>
                <w:szCs w:val="24"/>
              </w:rPr>
              <w:t xml:space="preserve"> – není součástí nabídky</w:t>
            </w:r>
            <w:r w:rsidR="00327D91">
              <w:rPr>
                <w:rFonts w:cstheme="minorHAnsi"/>
                <w:sz w:val="24"/>
                <w:szCs w:val="24"/>
              </w:rPr>
              <w:t>)</w:t>
            </w:r>
            <w:r w:rsidR="005D531A">
              <w:rPr>
                <w:rFonts w:cstheme="minorHAnsi"/>
                <w:sz w:val="24"/>
                <w:szCs w:val="24"/>
              </w:rPr>
              <w:t>,</w:t>
            </w:r>
            <w:r w:rsidR="005D495E">
              <w:rPr>
                <w:rFonts w:cstheme="minorHAnsi"/>
                <w:sz w:val="24"/>
                <w:szCs w:val="24"/>
              </w:rPr>
              <w:t xml:space="preserve"> bude</w:t>
            </w:r>
            <w:r w:rsidR="00327D91">
              <w:rPr>
                <w:rFonts w:cstheme="minorHAnsi"/>
                <w:sz w:val="24"/>
                <w:szCs w:val="24"/>
              </w:rPr>
              <w:t xml:space="preserve"> možné provést vyčítání min. prostřednictvím </w:t>
            </w:r>
            <w:r w:rsidR="001B6B73">
              <w:rPr>
                <w:rFonts w:cstheme="minorHAnsi"/>
                <w:sz w:val="24"/>
                <w:szCs w:val="24"/>
              </w:rPr>
              <w:t xml:space="preserve">konektoru EOBD. </w:t>
            </w:r>
            <w:r w:rsidR="005D495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CAC34D" w14:textId="3A5859A4" w:rsidR="00B97132" w:rsidRDefault="00C965ED" w:rsidP="00C02F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Zařízení musí mít podporu a aktualizaci na min. 2 roky. </w:t>
            </w:r>
          </w:p>
          <w:p w14:paraId="7547136F" w14:textId="77777777" w:rsidR="00FF1D23" w:rsidRDefault="00FF1D23" w:rsidP="00C02FC4">
            <w:pPr>
              <w:rPr>
                <w:rFonts w:cstheme="minorHAnsi"/>
                <w:sz w:val="24"/>
                <w:szCs w:val="24"/>
              </w:rPr>
            </w:pPr>
          </w:p>
          <w:p w14:paraId="792D87C5" w14:textId="0A09D4FF" w:rsidR="00FF1D23" w:rsidRPr="00FF1D23" w:rsidRDefault="00FF1D23" w:rsidP="00FF1D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device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must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allow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airbag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control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unit,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also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known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as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Event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Recorder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(EDR).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device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must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be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capable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among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other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things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vehicles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equipped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recorders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accordance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UN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Regulation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No. 160,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 minimum via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EOBD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connector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set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include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selected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cables</w:t>
            </w:r>
            <w:proofErr w:type="spellEnd"/>
            <w:r w:rsidR="00505584">
              <w:rPr>
                <w:rFonts w:cstheme="minorHAnsi"/>
                <w:sz w:val="24"/>
                <w:szCs w:val="24"/>
              </w:rPr>
              <w:t xml:space="preserve"> (10 </w:t>
            </w:r>
            <w:proofErr w:type="spellStart"/>
            <w:r w:rsidR="00505584">
              <w:rPr>
                <w:rFonts w:cstheme="minorHAnsi"/>
                <w:sz w:val="24"/>
                <w:szCs w:val="24"/>
              </w:rPr>
              <w:t>pcs</w:t>
            </w:r>
            <w:proofErr w:type="spellEnd"/>
            <w:r w:rsidR="00505584">
              <w:rPr>
                <w:rFonts w:cstheme="minorHAnsi"/>
                <w:sz w:val="24"/>
                <w:szCs w:val="24"/>
              </w:rPr>
              <w:t>)</w:t>
            </w:r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direct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connection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between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unit and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airbag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control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unit.</w:t>
            </w:r>
          </w:p>
          <w:p w14:paraId="12D1A003" w14:textId="691EFD1A" w:rsidR="00FF1D23" w:rsidRPr="00FF1D23" w:rsidRDefault="00FF1D23" w:rsidP="00FF1D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package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include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software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and a transport case.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set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be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complete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sense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that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after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installing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software and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connecting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external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device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(laptop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tablet – not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included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offer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will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be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possible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perform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data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at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least via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EOBD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connector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>.</w:t>
            </w:r>
          </w:p>
          <w:p w14:paraId="43320DD6" w14:textId="77777777" w:rsidR="00FF1D23" w:rsidRPr="00FF1D23" w:rsidRDefault="00FF1D23" w:rsidP="00FF1D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F1D23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device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must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include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support and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updates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a minimum </w:t>
            </w:r>
            <w:proofErr w:type="spellStart"/>
            <w:r w:rsidRPr="00FF1D23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FF1D23">
              <w:rPr>
                <w:rFonts w:cstheme="minorHAnsi"/>
                <w:sz w:val="24"/>
                <w:szCs w:val="24"/>
              </w:rPr>
              <w:t xml:space="preserve"> 2 years.</w:t>
            </w:r>
          </w:p>
          <w:p w14:paraId="11C67FD5" w14:textId="77777777" w:rsidR="00FF1D23" w:rsidRDefault="00FF1D23" w:rsidP="00C02FC4">
            <w:pPr>
              <w:rPr>
                <w:rFonts w:cstheme="minorHAnsi"/>
                <w:sz w:val="24"/>
                <w:szCs w:val="24"/>
              </w:rPr>
            </w:pPr>
          </w:p>
          <w:p w14:paraId="2AF6193A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32C6B203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464893AB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1C70A864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68EF68A9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61FAA715" w14:textId="77777777" w:rsidR="002C64EA" w:rsidRDefault="002C64EA" w:rsidP="00C02FC4">
            <w:pPr>
              <w:rPr>
                <w:rFonts w:cstheme="minorHAnsi"/>
                <w:sz w:val="24"/>
                <w:szCs w:val="24"/>
              </w:rPr>
            </w:pPr>
          </w:p>
          <w:p w14:paraId="0AB2AEE8" w14:textId="77777777" w:rsidR="00B97132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  <w:p w14:paraId="2A96345B" w14:textId="77777777" w:rsidR="00B97132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  <w:p w14:paraId="646EC3FD" w14:textId="63EA9337" w:rsidR="00B97132" w:rsidRPr="003B3489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D65363" w14:textId="77777777" w:rsidR="003B0E07" w:rsidRPr="003B3489" w:rsidRDefault="003B0E07" w:rsidP="001A6511">
      <w:pPr>
        <w:spacing w:after="0" w:line="240" w:lineRule="auto"/>
        <w:rPr>
          <w:rFonts w:cstheme="minorHAnsi"/>
          <w:sz w:val="24"/>
          <w:szCs w:val="24"/>
        </w:rPr>
      </w:pPr>
    </w:p>
    <w:sectPr w:rsidR="003B0E07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B56D" w14:textId="77777777" w:rsidR="00760772" w:rsidRDefault="00760772" w:rsidP="002208C1">
      <w:pPr>
        <w:spacing w:after="0" w:line="240" w:lineRule="auto"/>
      </w:pPr>
      <w:r>
        <w:separator/>
      </w:r>
    </w:p>
  </w:endnote>
  <w:endnote w:type="continuationSeparator" w:id="0">
    <w:p w14:paraId="3779B58E" w14:textId="77777777" w:rsidR="00760772" w:rsidRDefault="00760772" w:rsidP="002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0C79" w14:textId="77777777" w:rsidR="00760772" w:rsidRDefault="00760772" w:rsidP="002208C1">
      <w:pPr>
        <w:spacing w:after="0" w:line="240" w:lineRule="auto"/>
      </w:pPr>
      <w:r>
        <w:separator/>
      </w:r>
    </w:p>
  </w:footnote>
  <w:footnote w:type="continuationSeparator" w:id="0">
    <w:p w14:paraId="6A003CF8" w14:textId="77777777" w:rsidR="00760772" w:rsidRDefault="00760772" w:rsidP="002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1"/>
  </w:num>
  <w:num w:numId="2" w16cid:durableId="158666022">
    <w:abstractNumId w:val="0"/>
  </w:num>
  <w:num w:numId="3" w16cid:durableId="428310235">
    <w:abstractNumId w:val="6"/>
  </w:num>
  <w:num w:numId="4" w16cid:durableId="2104911120">
    <w:abstractNumId w:val="4"/>
  </w:num>
  <w:num w:numId="5" w16cid:durableId="1196384499">
    <w:abstractNumId w:val="3"/>
  </w:num>
  <w:num w:numId="6" w16cid:durableId="1091509722">
    <w:abstractNumId w:val="5"/>
  </w:num>
  <w:num w:numId="7" w16cid:durableId="108314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513FA"/>
    <w:rsid w:val="000547AC"/>
    <w:rsid w:val="0007247E"/>
    <w:rsid w:val="0008336B"/>
    <w:rsid w:val="000A0661"/>
    <w:rsid w:val="000B284C"/>
    <w:rsid w:val="000F091B"/>
    <w:rsid w:val="00107AA9"/>
    <w:rsid w:val="00116C87"/>
    <w:rsid w:val="001305CC"/>
    <w:rsid w:val="00136D61"/>
    <w:rsid w:val="00156F04"/>
    <w:rsid w:val="0017786A"/>
    <w:rsid w:val="00194C37"/>
    <w:rsid w:val="001A0592"/>
    <w:rsid w:val="001A07FE"/>
    <w:rsid w:val="001A3D4B"/>
    <w:rsid w:val="001A45E0"/>
    <w:rsid w:val="001A586D"/>
    <w:rsid w:val="001A6511"/>
    <w:rsid w:val="001B6B73"/>
    <w:rsid w:val="001C65F3"/>
    <w:rsid w:val="001D3FCF"/>
    <w:rsid w:val="001E19A2"/>
    <w:rsid w:val="001E27FE"/>
    <w:rsid w:val="001E5DFB"/>
    <w:rsid w:val="001F3D20"/>
    <w:rsid w:val="00201C85"/>
    <w:rsid w:val="00207BB5"/>
    <w:rsid w:val="002208C1"/>
    <w:rsid w:val="00226012"/>
    <w:rsid w:val="00230D9B"/>
    <w:rsid w:val="00236A2D"/>
    <w:rsid w:val="002443B3"/>
    <w:rsid w:val="00245576"/>
    <w:rsid w:val="00283B6D"/>
    <w:rsid w:val="00285805"/>
    <w:rsid w:val="00286DCD"/>
    <w:rsid w:val="0029504F"/>
    <w:rsid w:val="00296BB1"/>
    <w:rsid w:val="002C64EA"/>
    <w:rsid w:val="002C6EF2"/>
    <w:rsid w:val="002E0343"/>
    <w:rsid w:val="002F4F2E"/>
    <w:rsid w:val="002F5129"/>
    <w:rsid w:val="002F6B36"/>
    <w:rsid w:val="00305288"/>
    <w:rsid w:val="00320A9C"/>
    <w:rsid w:val="00327D91"/>
    <w:rsid w:val="003307F3"/>
    <w:rsid w:val="00353658"/>
    <w:rsid w:val="00355821"/>
    <w:rsid w:val="00376CAB"/>
    <w:rsid w:val="00390001"/>
    <w:rsid w:val="003B0E07"/>
    <w:rsid w:val="003B18DD"/>
    <w:rsid w:val="003B3489"/>
    <w:rsid w:val="003E6421"/>
    <w:rsid w:val="003F28FE"/>
    <w:rsid w:val="003F3DA0"/>
    <w:rsid w:val="003F58EC"/>
    <w:rsid w:val="00436989"/>
    <w:rsid w:val="00471254"/>
    <w:rsid w:val="00481D63"/>
    <w:rsid w:val="004A2ADB"/>
    <w:rsid w:val="004A7391"/>
    <w:rsid w:val="004B7360"/>
    <w:rsid w:val="004F79EE"/>
    <w:rsid w:val="0050301C"/>
    <w:rsid w:val="00505584"/>
    <w:rsid w:val="005232A8"/>
    <w:rsid w:val="00541595"/>
    <w:rsid w:val="005435C8"/>
    <w:rsid w:val="00543A21"/>
    <w:rsid w:val="00547684"/>
    <w:rsid w:val="00557542"/>
    <w:rsid w:val="00570017"/>
    <w:rsid w:val="005752EC"/>
    <w:rsid w:val="00575431"/>
    <w:rsid w:val="005779EB"/>
    <w:rsid w:val="005827B7"/>
    <w:rsid w:val="005C3B98"/>
    <w:rsid w:val="005D2ECF"/>
    <w:rsid w:val="005D495E"/>
    <w:rsid w:val="005D531A"/>
    <w:rsid w:val="005D6B4C"/>
    <w:rsid w:val="005F41D1"/>
    <w:rsid w:val="006102B0"/>
    <w:rsid w:val="0061763A"/>
    <w:rsid w:val="006342F9"/>
    <w:rsid w:val="006B6EAF"/>
    <w:rsid w:val="006C1C83"/>
    <w:rsid w:val="006D5267"/>
    <w:rsid w:val="006D6CBF"/>
    <w:rsid w:val="006D7112"/>
    <w:rsid w:val="006E0665"/>
    <w:rsid w:val="007025B2"/>
    <w:rsid w:val="00704CC5"/>
    <w:rsid w:val="00721324"/>
    <w:rsid w:val="00722179"/>
    <w:rsid w:val="007449DF"/>
    <w:rsid w:val="00752C82"/>
    <w:rsid w:val="00760772"/>
    <w:rsid w:val="0076375D"/>
    <w:rsid w:val="00775017"/>
    <w:rsid w:val="007828B3"/>
    <w:rsid w:val="007865FC"/>
    <w:rsid w:val="00790F20"/>
    <w:rsid w:val="00792E67"/>
    <w:rsid w:val="00795BEF"/>
    <w:rsid w:val="00797B71"/>
    <w:rsid w:val="007C2827"/>
    <w:rsid w:val="007D65F6"/>
    <w:rsid w:val="007E6D10"/>
    <w:rsid w:val="00801D8C"/>
    <w:rsid w:val="008220EC"/>
    <w:rsid w:val="00822251"/>
    <w:rsid w:val="00830541"/>
    <w:rsid w:val="00843E7E"/>
    <w:rsid w:val="0084650D"/>
    <w:rsid w:val="00861547"/>
    <w:rsid w:val="00884286"/>
    <w:rsid w:val="00887704"/>
    <w:rsid w:val="008B0E3F"/>
    <w:rsid w:val="008B527F"/>
    <w:rsid w:val="008D19AB"/>
    <w:rsid w:val="008D2502"/>
    <w:rsid w:val="008F2AAA"/>
    <w:rsid w:val="008F6EDB"/>
    <w:rsid w:val="009135A6"/>
    <w:rsid w:val="009176A4"/>
    <w:rsid w:val="009253EE"/>
    <w:rsid w:val="00925428"/>
    <w:rsid w:val="0094060B"/>
    <w:rsid w:val="0097472A"/>
    <w:rsid w:val="00997F58"/>
    <w:rsid w:val="009A401C"/>
    <w:rsid w:val="009B098F"/>
    <w:rsid w:val="009C5FAE"/>
    <w:rsid w:val="009C694E"/>
    <w:rsid w:val="009D4140"/>
    <w:rsid w:val="009E3ED7"/>
    <w:rsid w:val="009E514F"/>
    <w:rsid w:val="00A0364B"/>
    <w:rsid w:val="00A03A40"/>
    <w:rsid w:val="00A065F5"/>
    <w:rsid w:val="00A24A3B"/>
    <w:rsid w:val="00A37F16"/>
    <w:rsid w:val="00A40A7A"/>
    <w:rsid w:val="00A46044"/>
    <w:rsid w:val="00A52A09"/>
    <w:rsid w:val="00A57E78"/>
    <w:rsid w:val="00A708EE"/>
    <w:rsid w:val="00A70C3F"/>
    <w:rsid w:val="00A70E89"/>
    <w:rsid w:val="00A70F2C"/>
    <w:rsid w:val="00A84958"/>
    <w:rsid w:val="00A90754"/>
    <w:rsid w:val="00A9386C"/>
    <w:rsid w:val="00AA6878"/>
    <w:rsid w:val="00AB1631"/>
    <w:rsid w:val="00AC0B17"/>
    <w:rsid w:val="00AC7BF4"/>
    <w:rsid w:val="00AF2ED2"/>
    <w:rsid w:val="00AF6981"/>
    <w:rsid w:val="00B00992"/>
    <w:rsid w:val="00B06DB3"/>
    <w:rsid w:val="00B20CBF"/>
    <w:rsid w:val="00B24E31"/>
    <w:rsid w:val="00B27D0D"/>
    <w:rsid w:val="00B36869"/>
    <w:rsid w:val="00B4378D"/>
    <w:rsid w:val="00B45B8F"/>
    <w:rsid w:val="00B75A32"/>
    <w:rsid w:val="00B956A3"/>
    <w:rsid w:val="00B96D59"/>
    <w:rsid w:val="00B97132"/>
    <w:rsid w:val="00BC4B16"/>
    <w:rsid w:val="00BC555E"/>
    <w:rsid w:val="00BD0605"/>
    <w:rsid w:val="00BD3E6C"/>
    <w:rsid w:val="00BD6E56"/>
    <w:rsid w:val="00BE1AB6"/>
    <w:rsid w:val="00BE2FBD"/>
    <w:rsid w:val="00C007AC"/>
    <w:rsid w:val="00C02FC4"/>
    <w:rsid w:val="00C054C0"/>
    <w:rsid w:val="00C1551D"/>
    <w:rsid w:val="00C22FFB"/>
    <w:rsid w:val="00C241DD"/>
    <w:rsid w:val="00C32715"/>
    <w:rsid w:val="00C4189C"/>
    <w:rsid w:val="00C43ED4"/>
    <w:rsid w:val="00C55610"/>
    <w:rsid w:val="00C965ED"/>
    <w:rsid w:val="00CA2EAE"/>
    <w:rsid w:val="00CA72B0"/>
    <w:rsid w:val="00CB426B"/>
    <w:rsid w:val="00CC1CA8"/>
    <w:rsid w:val="00CC30C2"/>
    <w:rsid w:val="00CD0464"/>
    <w:rsid w:val="00CF3C42"/>
    <w:rsid w:val="00CF5370"/>
    <w:rsid w:val="00D049CA"/>
    <w:rsid w:val="00D0564C"/>
    <w:rsid w:val="00D11D7D"/>
    <w:rsid w:val="00D1328C"/>
    <w:rsid w:val="00D171B3"/>
    <w:rsid w:val="00D35896"/>
    <w:rsid w:val="00D43007"/>
    <w:rsid w:val="00D7254D"/>
    <w:rsid w:val="00D751A8"/>
    <w:rsid w:val="00D806F8"/>
    <w:rsid w:val="00D83C97"/>
    <w:rsid w:val="00D87D96"/>
    <w:rsid w:val="00D933EC"/>
    <w:rsid w:val="00DC2C70"/>
    <w:rsid w:val="00DD116A"/>
    <w:rsid w:val="00DD27A5"/>
    <w:rsid w:val="00E5593F"/>
    <w:rsid w:val="00E801D6"/>
    <w:rsid w:val="00EA1AF6"/>
    <w:rsid w:val="00EA1BD5"/>
    <w:rsid w:val="00EA1DBE"/>
    <w:rsid w:val="00EC7A72"/>
    <w:rsid w:val="00EE4AA2"/>
    <w:rsid w:val="00EF0623"/>
    <w:rsid w:val="00EF32CB"/>
    <w:rsid w:val="00F05A8A"/>
    <w:rsid w:val="00F23F3A"/>
    <w:rsid w:val="00F34BFA"/>
    <w:rsid w:val="00F42493"/>
    <w:rsid w:val="00F554B5"/>
    <w:rsid w:val="00F57E57"/>
    <w:rsid w:val="00FA21BE"/>
    <w:rsid w:val="00FB205D"/>
    <w:rsid w:val="00FB6ECF"/>
    <w:rsid w:val="00FD66F9"/>
    <w:rsid w:val="00FF1D23"/>
    <w:rsid w:val="00FF2ED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Jakub Motl</cp:lastModifiedBy>
  <cp:revision>12</cp:revision>
  <dcterms:created xsi:type="dcterms:W3CDTF">2025-05-20T13:21:00Z</dcterms:created>
  <dcterms:modified xsi:type="dcterms:W3CDTF">2025-05-29T11:18:00Z</dcterms:modified>
</cp:coreProperties>
</file>