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00898CFF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</w:t>
      </w:r>
      <w:r w:rsidR="00A44382">
        <w:rPr>
          <w:rFonts w:cs="Calibri"/>
          <w:b/>
          <w:bCs/>
        </w:rPr>
        <w:t xml:space="preserve">II </w:t>
      </w:r>
      <w:r w:rsidR="00DB72B2">
        <w:rPr>
          <w:rFonts w:cs="Calibri"/>
          <w:b/>
          <w:bCs/>
        </w:rPr>
        <w:t xml:space="preserve">– Dílčí plnění č. </w:t>
      </w:r>
      <w:r w:rsidR="00F94E80">
        <w:rPr>
          <w:rFonts w:cs="Calibri"/>
          <w:b/>
          <w:bCs/>
        </w:rPr>
        <w:t>3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F94E80">
        <w:rPr>
          <w:bCs/>
        </w:rPr>
        <w:t>Disoluční automat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6CBF95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44382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382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4E80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9</cp:revision>
  <cp:lastPrinted>2021-04-20T10:16:00Z</cp:lastPrinted>
  <dcterms:created xsi:type="dcterms:W3CDTF">2022-01-11T06:24:00Z</dcterms:created>
  <dcterms:modified xsi:type="dcterms:W3CDTF">2022-08-03T08:23:00Z</dcterms:modified>
</cp:coreProperties>
</file>