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76B3" w14:textId="77777777" w:rsidR="00F472B2" w:rsidRDefault="00F472B2" w:rsidP="00983C09">
      <w:pPr>
        <w:pStyle w:val="Nzev"/>
        <w:pBdr>
          <w:top w:val="none" w:sz="0" w:space="0" w:color="auto"/>
          <w:left w:val="none" w:sz="0" w:space="0" w:color="auto"/>
          <w:bottom w:val="none" w:sz="0" w:space="0" w:color="auto"/>
          <w:right w:val="none" w:sz="0" w:space="0" w:color="auto"/>
        </w:pBdr>
        <w:shd w:val="clear" w:color="auto" w:fill="auto"/>
        <w:spacing w:before="0" w:line="240" w:lineRule="auto"/>
        <w:contextualSpacing/>
        <w:jc w:val="left"/>
        <w:rPr>
          <w:rFonts w:asciiTheme="minorHAnsi" w:eastAsiaTheme="majorEastAsia" w:hAnsiTheme="minorHAnsi" w:cstheme="minorHAnsi"/>
          <w:b w:val="0"/>
          <w:color w:val="auto"/>
          <w:spacing w:val="-10"/>
          <w:kern w:val="28"/>
          <w:sz w:val="60"/>
          <w:szCs w:val="60"/>
        </w:rPr>
      </w:pPr>
    </w:p>
    <w:p w14:paraId="202A944B" w14:textId="36422B6B" w:rsidR="00983C09" w:rsidRPr="00FF5F15" w:rsidRDefault="00983C09" w:rsidP="00983C09">
      <w:pPr>
        <w:pStyle w:val="Nzev"/>
        <w:pBdr>
          <w:top w:val="none" w:sz="0" w:space="0" w:color="auto"/>
          <w:left w:val="none" w:sz="0" w:space="0" w:color="auto"/>
          <w:bottom w:val="none" w:sz="0" w:space="0" w:color="auto"/>
          <w:right w:val="none" w:sz="0" w:space="0" w:color="auto"/>
        </w:pBdr>
        <w:shd w:val="clear" w:color="auto" w:fill="auto"/>
        <w:spacing w:before="0" w:line="240" w:lineRule="auto"/>
        <w:contextualSpacing/>
        <w:jc w:val="left"/>
        <w:rPr>
          <w:rFonts w:asciiTheme="minorHAnsi" w:eastAsiaTheme="majorEastAsia" w:hAnsiTheme="minorHAnsi" w:cstheme="minorHAnsi"/>
          <w:b w:val="0"/>
          <w:color w:val="auto"/>
          <w:spacing w:val="-10"/>
          <w:kern w:val="28"/>
          <w:sz w:val="60"/>
          <w:szCs w:val="60"/>
        </w:rPr>
      </w:pPr>
      <w:r w:rsidRPr="00FF5F15">
        <w:rPr>
          <w:rFonts w:asciiTheme="minorHAnsi" w:eastAsiaTheme="majorEastAsia" w:hAnsiTheme="minorHAnsi" w:cstheme="minorHAnsi"/>
          <w:b w:val="0"/>
          <w:color w:val="auto"/>
          <w:spacing w:val="-10"/>
          <w:kern w:val="28"/>
          <w:sz w:val="60"/>
          <w:szCs w:val="60"/>
        </w:rPr>
        <w:t>NÁRODNÍ PLÁN OBNOVY</w:t>
      </w:r>
    </w:p>
    <w:p w14:paraId="1C87C9B4" w14:textId="77777777" w:rsidR="00983C09" w:rsidRPr="00A45AB8" w:rsidRDefault="00983C09" w:rsidP="00983C09">
      <w:pPr>
        <w:rPr>
          <w:rFonts w:cstheme="minorHAnsi"/>
        </w:rPr>
      </w:pPr>
    </w:p>
    <w:p w14:paraId="2051CAAB" w14:textId="77777777" w:rsidR="00983C09" w:rsidRPr="00A45AB8" w:rsidRDefault="00983C09" w:rsidP="00983C09">
      <w:pPr>
        <w:rPr>
          <w:rFonts w:cstheme="minorHAnsi"/>
        </w:rPr>
      </w:pPr>
    </w:p>
    <w:p w14:paraId="7CD8D883" w14:textId="77777777" w:rsidR="00983C09" w:rsidRPr="00A45AB8" w:rsidRDefault="00983C09" w:rsidP="00983C09">
      <w:pPr>
        <w:pStyle w:val="Zkladnodstavec"/>
        <w:rPr>
          <w:rFonts w:asciiTheme="minorHAnsi" w:hAnsiTheme="minorHAnsi" w:cstheme="minorHAnsi"/>
        </w:rPr>
      </w:pPr>
    </w:p>
    <w:p w14:paraId="25F703FD" w14:textId="77777777" w:rsidR="00983C09" w:rsidRDefault="00983C09" w:rsidP="00983C09">
      <w:pPr>
        <w:rPr>
          <w:rFonts w:cstheme="minorHAnsi"/>
        </w:rPr>
      </w:pPr>
    </w:p>
    <w:p w14:paraId="1060D80E" w14:textId="77777777" w:rsidR="00983C09" w:rsidRDefault="00983C09" w:rsidP="00983C09">
      <w:pPr>
        <w:rPr>
          <w:rFonts w:cstheme="minorHAnsi"/>
        </w:rPr>
      </w:pPr>
    </w:p>
    <w:p w14:paraId="6E4D4E13" w14:textId="77777777" w:rsidR="00983C09" w:rsidRPr="00A45AB8" w:rsidRDefault="00983C09" w:rsidP="00983C09">
      <w:pPr>
        <w:rPr>
          <w:rFonts w:cstheme="minorHAnsi"/>
        </w:rPr>
      </w:pPr>
    </w:p>
    <w:p w14:paraId="26B92990" w14:textId="77777777" w:rsidR="00983C09" w:rsidRPr="00FF5F15" w:rsidRDefault="00983C09" w:rsidP="00983C09">
      <w:pPr>
        <w:pStyle w:val="Nzev"/>
        <w:pBdr>
          <w:top w:val="none" w:sz="0" w:space="0" w:color="auto"/>
          <w:left w:val="none" w:sz="0" w:space="0" w:color="auto"/>
          <w:bottom w:val="none" w:sz="0" w:space="0" w:color="auto"/>
          <w:right w:val="none" w:sz="0" w:space="0" w:color="auto"/>
        </w:pBdr>
        <w:shd w:val="clear" w:color="auto" w:fill="auto"/>
        <w:spacing w:before="0" w:line="240" w:lineRule="auto"/>
        <w:contextualSpacing/>
        <w:jc w:val="both"/>
        <w:rPr>
          <w:rFonts w:asciiTheme="minorHAnsi" w:eastAsiaTheme="majorEastAsia" w:hAnsiTheme="minorHAnsi" w:cstheme="minorHAnsi"/>
          <w:b w:val="0"/>
          <w:color w:val="auto"/>
          <w:spacing w:val="-10"/>
          <w:kern w:val="28"/>
          <w:sz w:val="60"/>
          <w:szCs w:val="60"/>
        </w:rPr>
      </w:pPr>
      <w:r w:rsidRPr="00FF5F15">
        <w:rPr>
          <w:rFonts w:asciiTheme="minorHAnsi" w:eastAsiaTheme="majorEastAsia" w:hAnsiTheme="minorHAnsi" w:cstheme="minorHAnsi"/>
          <w:b w:val="0"/>
          <w:color w:val="auto"/>
          <w:spacing w:val="-10"/>
          <w:kern w:val="28"/>
          <w:sz w:val="60"/>
          <w:szCs w:val="60"/>
        </w:rPr>
        <w:t>OBECNÁ PRAVIDLA</w:t>
      </w:r>
    </w:p>
    <w:p w14:paraId="287C3A21" w14:textId="77777777" w:rsidR="00983C09" w:rsidRPr="00A45AB8" w:rsidRDefault="00983C09" w:rsidP="00983C09">
      <w:pPr>
        <w:pStyle w:val="Nzev"/>
        <w:pBdr>
          <w:top w:val="none" w:sz="0" w:space="0" w:color="auto"/>
          <w:left w:val="none" w:sz="0" w:space="0" w:color="auto"/>
          <w:bottom w:val="none" w:sz="0" w:space="0" w:color="auto"/>
          <w:right w:val="none" w:sz="0" w:space="0" w:color="auto"/>
        </w:pBdr>
        <w:shd w:val="clear" w:color="auto" w:fill="auto"/>
        <w:spacing w:before="0" w:line="240" w:lineRule="auto"/>
        <w:contextualSpacing/>
        <w:jc w:val="both"/>
        <w:rPr>
          <w:rFonts w:asciiTheme="minorHAnsi" w:hAnsiTheme="minorHAnsi" w:cstheme="minorHAnsi"/>
          <w:sz w:val="60"/>
          <w:szCs w:val="60"/>
        </w:rPr>
      </w:pPr>
      <w:r w:rsidRPr="00FF5F15">
        <w:rPr>
          <w:rFonts w:asciiTheme="minorHAnsi" w:eastAsiaTheme="majorEastAsia" w:hAnsiTheme="minorHAnsi" w:cstheme="minorHAnsi"/>
          <w:b w:val="0"/>
          <w:color w:val="auto"/>
          <w:spacing w:val="-10"/>
          <w:kern w:val="28"/>
          <w:sz w:val="60"/>
          <w:szCs w:val="60"/>
        </w:rPr>
        <w:t>PRO ŽADATELE A PŘÍJEMCE</w:t>
      </w:r>
    </w:p>
    <w:p w14:paraId="40CEBC09" w14:textId="77777777" w:rsidR="00983C09" w:rsidRPr="00A45AB8" w:rsidRDefault="00983C09" w:rsidP="00983C09">
      <w:pPr>
        <w:rPr>
          <w:rFonts w:cstheme="minorHAnsi"/>
        </w:rPr>
      </w:pPr>
      <w:bookmarkStart w:id="0" w:name="_Hlk93072247"/>
    </w:p>
    <w:p w14:paraId="56107A03" w14:textId="77777777" w:rsidR="00983C09" w:rsidRDefault="00983C09" w:rsidP="00983C09">
      <w:pPr>
        <w:rPr>
          <w:rFonts w:cstheme="minorHAnsi"/>
        </w:rPr>
      </w:pPr>
    </w:p>
    <w:p w14:paraId="5125AFA3" w14:textId="77777777" w:rsidR="00983C09" w:rsidRPr="00A45AB8" w:rsidRDefault="00983C09" w:rsidP="00983C09">
      <w:pPr>
        <w:rPr>
          <w:rFonts w:cstheme="minorHAnsi"/>
        </w:rPr>
      </w:pPr>
    </w:p>
    <w:bookmarkEnd w:id="0"/>
    <w:p w14:paraId="2DCFE54B" w14:textId="2B25A2B9" w:rsidR="00983C09" w:rsidRPr="00FF5F15" w:rsidRDefault="00983C09" w:rsidP="00983C09">
      <w:pPr>
        <w:pStyle w:val="Zkladnodstavec"/>
        <w:rPr>
          <w:rFonts w:asciiTheme="minorHAnsi" w:hAnsiTheme="minorHAnsi" w:cstheme="minorHAnsi"/>
          <w:caps/>
          <w:sz w:val="40"/>
          <w:szCs w:val="40"/>
        </w:rPr>
      </w:pPr>
      <w:r w:rsidRPr="00A45AB8">
        <w:rPr>
          <w:rFonts w:asciiTheme="minorHAnsi" w:hAnsiTheme="minorHAnsi" w:cstheme="minorHAnsi"/>
          <w:caps/>
          <w:sz w:val="40"/>
          <w:szCs w:val="40"/>
        </w:rPr>
        <w:t xml:space="preserve">PŘÍLOHA </w:t>
      </w:r>
      <w:r w:rsidRPr="001E7973">
        <w:rPr>
          <w:rFonts w:asciiTheme="minorHAnsi" w:hAnsiTheme="minorHAnsi" w:cstheme="minorHAnsi"/>
          <w:caps/>
          <w:sz w:val="40"/>
          <w:szCs w:val="40"/>
        </w:rPr>
        <w:t xml:space="preserve">Č. </w:t>
      </w:r>
      <w:r w:rsidR="005659D7">
        <w:rPr>
          <w:rFonts w:asciiTheme="minorHAnsi" w:hAnsiTheme="minorHAnsi" w:cstheme="minorHAnsi"/>
          <w:caps/>
          <w:sz w:val="40"/>
          <w:szCs w:val="40"/>
        </w:rPr>
        <w:t>19</w:t>
      </w:r>
    </w:p>
    <w:p w14:paraId="1B9C495D" w14:textId="77777777" w:rsidR="00983C09" w:rsidRDefault="00983C09" w:rsidP="00983C09">
      <w:pPr>
        <w:pStyle w:val="vodka"/>
        <w:jc w:val="left"/>
        <w:rPr>
          <w:rFonts w:asciiTheme="minorHAnsi" w:eastAsia="Times New Roman" w:hAnsiTheme="minorHAnsi" w:cstheme="minorHAnsi"/>
          <w:caps w:val="0"/>
          <w:color w:val="auto"/>
          <w:sz w:val="60"/>
          <w:lang w:eastAsia="cs-CZ"/>
        </w:rPr>
      </w:pPr>
    </w:p>
    <w:p w14:paraId="0620F4D9" w14:textId="77777777" w:rsidR="00F472B2" w:rsidRDefault="00F472B2" w:rsidP="00983C09">
      <w:pPr>
        <w:pStyle w:val="vodka"/>
        <w:jc w:val="left"/>
        <w:rPr>
          <w:rFonts w:ascii="Calibri" w:hAnsi="Calibri" w:cs="Calibri"/>
        </w:rPr>
      </w:pPr>
    </w:p>
    <w:p w14:paraId="22BF277B" w14:textId="395DE659" w:rsidR="00983C09" w:rsidRPr="004348D2" w:rsidRDefault="00983C09" w:rsidP="00983C09">
      <w:pPr>
        <w:pStyle w:val="vodka"/>
        <w:jc w:val="left"/>
        <w:rPr>
          <w:b/>
          <w:sz w:val="28"/>
          <w:szCs w:val="28"/>
        </w:rPr>
      </w:pPr>
      <w:r w:rsidRPr="0027007C">
        <w:rPr>
          <w:rFonts w:ascii="Calibri" w:hAnsi="Calibri" w:cs="Calibri"/>
        </w:rPr>
        <w:t>Potvrzení o splnění požadavků/podmínek DNSH</w:t>
      </w:r>
    </w:p>
    <w:p w14:paraId="1A5A5002" w14:textId="77777777" w:rsidR="00983C09" w:rsidRDefault="00983C09" w:rsidP="00983C09">
      <w:pPr>
        <w:pStyle w:val="vodka"/>
        <w:jc w:val="left"/>
        <w:rPr>
          <w:b/>
          <w:sz w:val="28"/>
          <w:szCs w:val="28"/>
        </w:rPr>
      </w:pPr>
    </w:p>
    <w:p w14:paraId="15BC2AA8" w14:textId="77777777" w:rsidR="00983C09" w:rsidRDefault="00983C09" w:rsidP="00983C09">
      <w:pPr>
        <w:pStyle w:val="vodka"/>
        <w:jc w:val="left"/>
        <w:rPr>
          <w:color w:val="A6A6A6" w:themeColor="background1" w:themeShade="A6"/>
          <w:sz w:val="32"/>
          <w:szCs w:val="40"/>
        </w:rPr>
      </w:pPr>
    </w:p>
    <w:p w14:paraId="0D8A8353" w14:textId="40A23A12" w:rsidR="00451BE5" w:rsidRPr="00E27DB4" w:rsidRDefault="00451BE5" w:rsidP="00451BE5">
      <w:pPr>
        <w:spacing w:before="120" w:after="120"/>
        <w:jc w:val="both"/>
        <w:rPr>
          <w:rFonts w:cstheme="minorHAnsi"/>
          <w:b/>
          <w:bCs/>
        </w:rPr>
      </w:pPr>
      <w:r w:rsidRPr="00E27DB4">
        <w:rPr>
          <w:b/>
          <w:bCs/>
          <w:color w:val="000000" w:themeColor="text1"/>
        </w:rPr>
        <w:t>Tento dokument se může měnit v závislosti na aktuálních požadavcích Evropské komise a MPO-DU.</w:t>
      </w:r>
    </w:p>
    <w:p w14:paraId="6EBD1EE8" w14:textId="77777777" w:rsidR="00983C09" w:rsidRDefault="00983C09" w:rsidP="00983C09">
      <w:pPr>
        <w:pStyle w:val="vodka"/>
        <w:jc w:val="left"/>
        <w:rPr>
          <w:color w:val="A6A6A6" w:themeColor="background1" w:themeShade="A6"/>
          <w:sz w:val="32"/>
          <w:szCs w:val="40"/>
        </w:rPr>
      </w:pPr>
    </w:p>
    <w:p w14:paraId="27ABD4F3" w14:textId="77777777" w:rsidR="00983C09" w:rsidRDefault="00983C09" w:rsidP="00983C09">
      <w:pPr>
        <w:pStyle w:val="vodka"/>
        <w:jc w:val="left"/>
        <w:rPr>
          <w:color w:val="A6A6A6" w:themeColor="background1" w:themeShade="A6"/>
          <w:sz w:val="32"/>
          <w:szCs w:val="40"/>
        </w:rPr>
      </w:pPr>
    </w:p>
    <w:p w14:paraId="79AD565E" w14:textId="77777777" w:rsidR="00983C09" w:rsidRDefault="00983C09" w:rsidP="00983C09">
      <w:pPr>
        <w:pStyle w:val="vodka"/>
        <w:jc w:val="left"/>
        <w:rPr>
          <w:color w:val="A6A6A6" w:themeColor="background1" w:themeShade="A6"/>
          <w:sz w:val="32"/>
          <w:szCs w:val="40"/>
        </w:rPr>
      </w:pPr>
    </w:p>
    <w:p w14:paraId="0698C459" w14:textId="06154965" w:rsidR="00983C09" w:rsidRPr="006901E4" w:rsidRDefault="00983C09" w:rsidP="00983C09">
      <w:pPr>
        <w:pStyle w:val="vodka"/>
        <w:jc w:val="left"/>
        <w:rPr>
          <w:color w:val="A6A6A6" w:themeColor="background1" w:themeShade="A6"/>
          <w:sz w:val="32"/>
          <w:szCs w:val="40"/>
        </w:rPr>
      </w:pPr>
      <w:r w:rsidRPr="006901E4">
        <w:rPr>
          <w:color w:val="A6A6A6" w:themeColor="background1" w:themeShade="A6"/>
          <w:sz w:val="32"/>
          <w:szCs w:val="40"/>
        </w:rPr>
        <w:t>VYDÁNÍ 1.00</w:t>
      </w:r>
    </w:p>
    <w:p w14:paraId="4C2F3C50" w14:textId="11EDBD67" w:rsidR="00F472B2" w:rsidRDefault="00983C09" w:rsidP="00983C09">
      <w:pPr>
        <w:pStyle w:val="vodka"/>
        <w:jc w:val="left"/>
        <w:rPr>
          <w:color w:val="A6A6A6" w:themeColor="background1" w:themeShade="A6"/>
          <w:sz w:val="32"/>
          <w:szCs w:val="40"/>
        </w:rPr>
      </w:pPr>
      <w:r w:rsidRPr="006901E4">
        <w:rPr>
          <w:color w:val="A6A6A6" w:themeColor="background1" w:themeShade="A6"/>
          <w:sz w:val="32"/>
          <w:szCs w:val="40"/>
        </w:rPr>
        <w:t xml:space="preserve">PLATNOST </w:t>
      </w:r>
      <w:r w:rsidRPr="001E7973">
        <w:rPr>
          <w:color w:val="A6A6A6" w:themeColor="background1" w:themeShade="A6"/>
          <w:sz w:val="32"/>
          <w:szCs w:val="40"/>
        </w:rPr>
        <w:t xml:space="preserve">OD </w:t>
      </w:r>
      <w:r w:rsidR="00F10F0C" w:rsidRPr="00F10F0C">
        <w:rPr>
          <w:color w:val="A6A6A6" w:themeColor="background1" w:themeShade="A6"/>
          <w:sz w:val="32"/>
          <w:szCs w:val="40"/>
        </w:rPr>
        <w:t>18. 3</w:t>
      </w:r>
      <w:r w:rsidRPr="00F10F0C">
        <w:rPr>
          <w:color w:val="A6A6A6" w:themeColor="background1" w:themeShade="A6"/>
          <w:sz w:val="32"/>
          <w:szCs w:val="40"/>
        </w:rPr>
        <w:t>. 2022</w:t>
      </w:r>
      <w:r>
        <w:rPr>
          <w:color w:val="A6A6A6" w:themeColor="background1" w:themeShade="A6"/>
          <w:sz w:val="32"/>
          <w:szCs w:val="40"/>
        </w:rPr>
        <w:t xml:space="preserve">      </w:t>
      </w:r>
    </w:p>
    <w:p w14:paraId="49ED8A43" w14:textId="1E542496" w:rsidR="00983C09" w:rsidRPr="00F472B2" w:rsidRDefault="00983C09" w:rsidP="00F472B2">
      <w:pPr>
        <w:rPr>
          <w:rFonts w:asciiTheme="majorHAnsi" w:eastAsia="MS Mincho" w:hAnsiTheme="majorHAnsi" w:cs="MyriadPro-Black"/>
          <w:caps/>
          <w:color w:val="A6A6A6" w:themeColor="background1" w:themeShade="A6"/>
          <w:sz w:val="32"/>
          <w:szCs w:val="40"/>
          <w:lang w:eastAsia="ja-JP"/>
        </w:rPr>
      </w:pPr>
      <w:r>
        <w:rPr>
          <w:color w:val="A6A6A6" w:themeColor="background1" w:themeShade="A6"/>
          <w:sz w:val="32"/>
          <w:szCs w:val="40"/>
        </w:rPr>
        <w:lastRenderedPageBreak/>
        <w:t xml:space="preserve">         </w:t>
      </w:r>
    </w:p>
    <w:p w14:paraId="0C4F553A" w14:textId="3A4993D0" w:rsidR="00615EE2" w:rsidRPr="00C70B23" w:rsidRDefault="003C0EE1" w:rsidP="003C0EE1">
      <w:pPr>
        <w:jc w:val="center"/>
        <w:rPr>
          <w:b/>
          <w:bCs/>
          <w:sz w:val="32"/>
          <w:szCs w:val="32"/>
        </w:rPr>
      </w:pPr>
      <w:r w:rsidRPr="00C70B23">
        <w:rPr>
          <w:b/>
          <w:bCs/>
          <w:sz w:val="32"/>
          <w:szCs w:val="32"/>
        </w:rPr>
        <w:t xml:space="preserve">Potvrzení o splnění </w:t>
      </w:r>
      <w:r w:rsidR="009A44CD" w:rsidRPr="00C70B23">
        <w:rPr>
          <w:b/>
          <w:bCs/>
          <w:sz w:val="32"/>
          <w:szCs w:val="32"/>
        </w:rPr>
        <w:t>DNSH – závěrečné</w:t>
      </w:r>
    </w:p>
    <w:p w14:paraId="5CC55C00" w14:textId="77777777" w:rsidR="003C0EE1" w:rsidRPr="003C0EE1" w:rsidRDefault="003C0EE1" w:rsidP="003C0EE1">
      <w:pPr>
        <w:tabs>
          <w:tab w:val="left" w:pos="938"/>
          <w:tab w:val="left" w:pos="939"/>
        </w:tabs>
        <w:jc w:val="center"/>
        <w:rPr>
          <w:rFonts w:ascii="Calibri" w:hAnsi="Calibri" w:cs="Calibri"/>
        </w:rPr>
      </w:pPr>
      <w:bookmarkStart w:id="1" w:name="_Hlk95314925"/>
      <w:r w:rsidRPr="003C0EE1">
        <w:rPr>
          <w:rFonts w:ascii="Calibri" w:hAnsi="Calibri" w:cs="Calibri"/>
        </w:rPr>
        <w:t xml:space="preserve">Potvrzení o splnění požadavků/podmínek DNSH </w:t>
      </w:r>
      <w:bookmarkEnd w:id="1"/>
      <w:r w:rsidRPr="003C0EE1">
        <w:rPr>
          <w:rFonts w:ascii="Calibri" w:hAnsi="Calibri" w:cs="Calibri"/>
        </w:rPr>
        <w:t>vyplývajících z kontrolního protokolu, jenž byl předkládán k žádosti o podporu podepsané technickým dozorem investora.</w:t>
      </w:r>
    </w:p>
    <w:p w14:paraId="4C89C7DE" w14:textId="7EDF7D9E" w:rsidR="003C0EE1" w:rsidRDefault="003C0EE1" w:rsidP="003C0EE1">
      <w:pPr>
        <w:jc w:val="center"/>
      </w:pPr>
      <w:r>
        <w:t>Povinná součást závěrečného vyhodnocení akce</w:t>
      </w:r>
    </w:p>
    <w:p w14:paraId="5EE322AA" w14:textId="4AB5AECC" w:rsidR="003C0EE1" w:rsidRDefault="003C0EE1" w:rsidP="003C0EE1">
      <w:pPr>
        <w:jc w:val="center"/>
      </w:pPr>
    </w:p>
    <w:p w14:paraId="24244689" w14:textId="77777777" w:rsidR="00D0545F" w:rsidRPr="00B44A5C" w:rsidRDefault="00D0545F" w:rsidP="00D0545F">
      <w:pPr>
        <w:pStyle w:val="Nadpis1"/>
        <w:numPr>
          <w:ilvl w:val="0"/>
          <w:numId w:val="0"/>
        </w:numPr>
        <w:ind w:left="360"/>
        <w:jc w:val="left"/>
        <w:rPr>
          <w:sz w:val="24"/>
          <w:szCs w:val="24"/>
        </w:rPr>
      </w:pPr>
      <w:r w:rsidRPr="00B44A5C">
        <w:rPr>
          <w:sz w:val="24"/>
          <w:szCs w:val="24"/>
        </w:rPr>
        <w:t>Identifikace projektu/příjemce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D0545F" w:rsidRPr="007F7FC7" w14:paraId="70AD20AB" w14:textId="77777777" w:rsidTr="007F7FC7">
        <w:trPr>
          <w:trHeight w:val="575"/>
        </w:trPr>
        <w:tc>
          <w:tcPr>
            <w:tcW w:w="3397" w:type="dxa"/>
            <w:shd w:val="clear" w:color="auto" w:fill="auto"/>
          </w:tcPr>
          <w:p w14:paraId="1EB2BA8E" w14:textId="77777777" w:rsidR="00D0545F" w:rsidRPr="007F7FC7" w:rsidRDefault="00D0545F" w:rsidP="007F7FC7">
            <w:pPr>
              <w:spacing w:before="120"/>
              <w:jc w:val="both"/>
              <w:rPr>
                <w:rFonts w:cstheme="minorHAnsi"/>
                <w:color w:val="000000" w:themeColor="text1"/>
                <w:sz w:val="20"/>
                <w:szCs w:val="20"/>
              </w:rPr>
            </w:pPr>
            <w:r w:rsidRPr="007F7FC7">
              <w:rPr>
                <w:rFonts w:cstheme="minorHAnsi"/>
                <w:color w:val="000000" w:themeColor="text1"/>
                <w:sz w:val="20"/>
                <w:szCs w:val="20"/>
              </w:rPr>
              <w:t>Název projektu a jeho identifikační číslo</w:t>
            </w:r>
          </w:p>
        </w:tc>
        <w:tc>
          <w:tcPr>
            <w:tcW w:w="5665" w:type="dxa"/>
            <w:shd w:val="clear" w:color="auto" w:fill="auto"/>
          </w:tcPr>
          <w:p w14:paraId="59997F15" w14:textId="16E0C624" w:rsidR="00D0545F" w:rsidRPr="007F7FC7" w:rsidRDefault="00D0545F" w:rsidP="007F7FC7">
            <w:pPr>
              <w:spacing w:before="120"/>
              <w:rPr>
                <w:rFonts w:cstheme="minorHAnsi"/>
                <w:i/>
                <w:iCs/>
                <w:color w:val="00B050"/>
                <w:sz w:val="20"/>
                <w:szCs w:val="20"/>
              </w:rPr>
            </w:pPr>
            <w:r w:rsidRPr="007F7FC7">
              <w:rPr>
                <w:rFonts w:cstheme="minorHAnsi"/>
                <w:i/>
                <w:iCs/>
                <w:color w:val="00B050"/>
                <w:sz w:val="20"/>
                <w:szCs w:val="20"/>
              </w:rPr>
              <w:t>(Doplnit název projektu)</w:t>
            </w:r>
          </w:p>
        </w:tc>
      </w:tr>
      <w:tr w:rsidR="00D0545F" w:rsidRPr="007F7FC7" w14:paraId="4F045D97" w14:textId="77777777" w:rsidTr="007F7FC7">
        <w:trPr>
          <w:trHeight w:val="681"/>
        </w:trPr>
        <w:tc>
          <w:tcPr>
            <w:tcW w:w="3397" w:type="dxa"/>
            <w:shd w:val="clear" w:color="auto" w:fill="auto"/>
          </w:tcPr>
          <w:p w14:paraId="3CCB2A5F" w14:textId="56A924F7" w:rsidR="00D0545F" w:rsidRPr="007F7FC7" w:rsidRDefault="00D0545F" w:rsidP="007F7FC7">
            <w:pPr>
              <w:spacing w:before="120"/>
              <w:rPr>
                <w:rFonts w:cstheme="minorHAnsi"/>
                <w:color w:val="000000" w:themeColor="text1"/>
                <w:sz w:val="20"/>
                <w:szCs w:val="20"/>
              </w:rPr>
            </w:pPr>
            <w:r w:rsidRPr="007F7FC7">
              <w:rPr>
                <w:rFonts w:cstheme="minorHAnsi"/>
                <w:color w:val="000000" w:themeColor="text1"/>
                <w:sz w:val="20"/>
                <w:szCs w:val="20"/>
              </w:rPr>
              <w:t>Název programu, název a číslo výzvy</w:t>
            </w:r>
          </w:p>
        </w:tc>
        <w:tc>
          <w:tcPr>
            <w:tcW w:w="5665" w:type="dxa"/>
            <w:shd w:val="clear" w:color="auto" w:fill="auto"/>
          </w:tcPr>
          <w:p w14:paraId="592547DE" w14:textId="77777777" w:rsidR="00D0545F" w:rsidRPr="007F7FC7" w:rsidRDefault="00D0545F" w:rsidP="007F7FC7">
            <w:pPr>
              <w:spacing w:before="120"/>
              <w:rPr>
                <w:rFonts w:cstheme="minorHAnsi"/>
                <w:sz w:val="20"/>
                <w:szCs w:val="20"/>
              </w:rPr>
            </w:pPr>
            <w:r w:rsidRPr="007F7FC7">
              <w:rPr>
                <w:rFonts w:cstheme="minorHAnsi"/>
                <w:sz w:val="20"/>
                <w:szCs w:val="20"/>
              </w:rPr>
              <w:t>Národní plán obnovy – komponenta 3.3</w:t>
            </w:r>
          </w:p>
          <w:p w14:paraId="0642E2D3" w14:textId="77777777" w:rsidR="00D0545F" w:rsidRPr="007F7FC7" w:rsidRDefault="00D0545F" w:rsidP="007F7FC7">
            <w:pPr>
              <w:spacing w:before="120"/>
              <w:rPr>
                <w:rFonts w:cstheme="minorHAnsi"/>
                <w:i/>
                <w:iCs/>
                <w:color w:val="00B050"/>
                <w:sz w:val="20"/>
                <w:szCs w:val="20"/>
              </w:rPr>
            </w:pPr>
            <w:r w:rsidRPr="007F7FC7">
              <w:rPr>
                <w:rFonts w:cstheme="minorHAnsi"/>
                <w:i/>
                <w:iCs/>
                <w:color w:val="00B050"/>
                <w:sz w:val="20"/>
                <w:szCs w:val="20"/>
              </w:rPr>
              <w:t>(Doplnit název a číslo výzvy)</w:t>
            </w:r>
          </w:p>
        </w:tc>
      </w:tr>
      <w:tr w:rsidR="00D0545F" w:rsidRPr="007F7FC7" w14:paraId="011B58FD" w14:textId="77777777" w:rsidTr="007F7FC7">
        <w:trPr>
          <w:trHeight w:val="539"/>
        </w:trPr>
        <w:tc>
          <w:tcPr>
            <w:tcW w:w="3397" w:type="dxa"/>
            <w:shd w:val="clear" w:color="auto" w:fill="auto"/>
          </w:tcPr>
          <w:p w14:paraId="758758BF" w14:textId="77777777" w:rsidR="00D0545F" w:rsidRPr="007F7FC7" w:rsidRDefault="00D0545F" w:rsidP="007F7FC7">
            <w:pPr>
              <w:spacing w:before="120"/>
              <w:rPr>
                <w:rFonts w:cstheme="minorHAnsi"/>
                <w:color w:val="000000" w:themeColor="text1"/>
                <w:sz w:val="20"/>
                <w:szCs w:val="20"/>
              </w:rPr>
            </w:pPr>
            <w:r w:rsidRPr="007F7FC7">
              <w:rPr>
                <w:rFonts w:cstheme="minorHAnsi"/>
                <w:color w:val="000000" w:themeColor="text1"/>
                <w:sz w:val="20"/>
                <w:szCs w:val="20"/>
              </w:rPr>
              <w:t>Název žadatele</w:t>
            </w:r>
          </w:p>
        </w:tc>
        <w:tc>
          <w:tcPr>
            <w:tcW w:w="5665" w:type="dxa"/>
            <w:shd w:val="clear" w:color="auto" w:fill="auto"/>
          </w:tcPr>
          <w:p w14:paraId="646490FE" w14:textId="77777777" w:rsidR="00D0545F" w:rsidRPr="007F7FC7" w:rsidRDefault="00D0545F" w:rsidP="007F7FC7">
            <w:pPr>
              <w:spacing w:before="120"/>
              <w:rPr>
                <w:rFonts w:cstheme="minorHAnsi"/>
                <w:color w:val="00B050"/>
                <w:sz w:val="20"/>
                <w:szCs w:val="20"/>
              </w:rPr>
            </w:pPr>
            <w:r w:rsidRPr="007F7FC7">
              <w:rPr>
                <w:rFonts w:cstheme="minorHAnsi"/>
                <w:i/>
                <w:iCs/>
                <w:color w:val="00B050"/>
                <w:sz w:val="20"/>
                <w:szCs w:val="20"/>
              </w:rPr>
              <w:t>(Doplnit)</w:t>
            </w:r>
          </w:p>
        </w:tc>
      </w:tr>
      <w:tr w:rsidR="00D0545F" w:rsidRPr="007F7FC7" w14:paraId="31D42536" w14:textId="77777777" w:rsidTr="007F7FC7">
        <w:tc>
          <w:tcPr>
            <w:tcW w:w="3397" w:type="dxa"/>
            <w:shd w:val="clear" w:color="auto" w:fill="auto"/>
          </w:tcPr>
          <w:p w14:paraId="113186EE" w14:textId="77777777" w:rsidR="00D0545F" w:rsidRPr="007F7FC7" w:rsidRDefault="00D0545F" w:rsidP="007F7FC7">
            <w:pPr>
              <w:spacing w:before="120"/>
              <w:rPr>
                <w:rFonts w:cstheme="minorHAnsi"/>
                <w:color w:val="000000" w:themeColor="text1"/>
                <w:sz w:val="20"/>
                <w:szCs w:val="20"/>
              </w:rPr>
            </w:pPr>
            <w:r w:rsidRPr="007F7FC7">
              <w:rPr>
                <w:rFonts w:cstheme="minorHAnsi"/>
                <w:color w:val="000000" w:themeColor="text1"/>
                <w:sz w:val="20"/>
                <w:szCs w:val="20"/>
              </w:rPr>
              <w:t>Identifikační údaje zpracovatele</w:t>
            </w:r>
          </w:p>
        </w:tc>
        <w:tc>
          <w:tcPr>
            <w:tcW w:w="5665" w:type="dxa"/>
            <w:shd w:val="clear" w:color="auto" w:fill="auto"/>
          </w:tcPr>
          <w:p w14:paraId="34120199" w14:textId="77777777" w:rsidR="00D0545F" w:rsidRPr="007F7FC7" w:rsidRDefault="00D0545F" w:rsidP="007F7FC7">
            <w:pPr>
              <w:spacing w:before="120"/>
              <w:rPr>
                <w:rFonts w:cstheme="minorHAnsi"/>
                <w:sz w:val="20"/>
                <w:szCs w:val="20"/>
              </w:rPr>
            </w:pPr>
            <w:r w:rsidRPr="007F7FC7">
              <w:rPr>
                <w:rFonts w:cstheme="minorHAnsi"/>
                <w:i/>
                <w:iCs/>
                <w:color w:val="00B050"/>
                <w:sz w:val="20"/>
                <w:szCs w:val="20"/>
              </w:rPr>
              <w:t>(Doplnit)</w:t>
            </w:r>
          </w:p>
        </w:tc>
      </w:tr>
      <w:tr w:rsidR="00D0545F" w:rsidRPr="007F7FC7" w14:paraId="036B9BD8" w14:textId="77777777" w:rsidTr="007F7FC7">
        <w:tc>
          <w:tcPr>
            <w:tcW w:w="3397" w:type="dxa"/>
            <w:shd w:val="clear" w:color="auto" w:fill="auto"/>
          </w:tcPr>
          <w:p w14:paraId="32A4438D" w14:textId="77777777" w:rsidR="00D0545F" w:rsidRPr="007F7FC7" w:rsidRDefault="00D0545F" w:rsidP="007F7FC7">
            <w:pPr>
              <w:spacing w:before="120"/>
              <w:rPr>
                <w:rFonts w:cstheme="minorHAnsi"/>
                <w:color w:val="000000" w:themeColor="text1"/>
                <w:sz w:val="20"/>
                <w:szCs w:val="20"/>
              </w:rPr>
            </w:pPr>
            <w:r w:rsidRPr="007F7FC7">
              <w:rPr>
                <w:rFonts w:cstheme="minorHAnsi"/>
                <w:color w:val="000000" w:themeColor="text1"/>
                <w:sz w:val="20"/>
                <w:szCs w:val="20"/>
              </w:rPr>
              <w:t>Datum zpracování</w:t>
            </w:r>
          </w:p>
        </w:tc>
        <w:tc>
          <w:tcPr>
            <w:tcW w:w="5665" w:type="dxa"/>
            <w:shd w:val="clear" w:color="auto" w:fill="auto"/>
          </w:tcPr>
          <w:p w14:paraId="62C03985" w14:textId="77777777" w:rsidR="00D0545F" w:rsidRPr="007F7FC7" w:rsidRDefault="00D0545F" w:rsidP="007F7FC7">
            <w:pPr>
              <w:spacing w:before="120"/>
              <w:rPr>
                <w:rFonts w:cstheme="minorHAnsi"/>
                <w:sz w:val="20"/>
                <w:szCs w:val="20"/>
              </w:rPr>
            </w:pPr>
            <w:r w:rsidRPr="007F7FC7">
              <w:rPr>
                <w:rFonts w:cstheme="minorHAnsi"/>
                <w:i/>
                <w:iCs/>
                <w:color w:val="00B050"/>
                <w:sz w:val="20"/>
                <w:szCs w:val="20"/>
              </w:rPr>
              <w:t>(Doplnit)</w:t>
            </w:r>
          </w:p>
        </w:tc>
      </w:tr>
    </w:tbl>
    <w:p w14:paraId="52465448" w14:textId="77777777" w:rsidR="00D0545F" w:rsidRPr="00B44A5C" w:rsidRDefault="00D0545F" w:rsidP="00D0545F">
      <w:pPr>
        <w:rPr>
          <w:color w:val="1F4E79" w:themeColor="accent1" w:themeShade="80"/>
          <w:sz w:val="24"/>
          <w:szCs w:val="24"/>
        </w:rPr>
      </w:pPr>
    </w:p>
    <w:p w14:paraId="6F1C2B70" w14:textId="77777777" w:rsidR="00D0545F" w:rsidRPr="009836C2" w:rsidRDefault="00D0545F" w:rsidP="00D0545F">
      <w:pPr>
        <w:rPr>
          <w:rFonts w:cstheme="minorHAnsi"/>
          <w:u w:val="single"/>
        </w:rPr>
      </w:pPr>
      <w:r w:rsidRPr="009836C2">
        <w:rPr>
          <w:rFonts w:cstheme="minorHAnsi"/>
          <w:u w:val="single"/>
        </w:rPr>
        <w:t>Posouzení činnosti:</w:t>
      </w:r>
    </w:p>
    <w:p w14:paraId="26BB6D5D" w14:textId="77777777" w:rsidR="00D0545F" w:rsidRPr="009836C2" w:rsidRDefault="00D0545F" w:rsidP="00D0545F">
      <w:pPr>
        <w:rPr>
          <w:rFonts w:cstheme="minorHAnsi"/>
          <w:i/>
          <w:iCs/>
        </w:rPr>
      </w:pPr>
      <w:r w:rsidRPr="009836C2">
        <w:rPr>
          <w:rFonts w:cstheme="minorHAnsi"/>
          <w:i/>
          <w:iCs/>
        </w:rPr>
        <w:t>Pokud činnost vyžaduje věcné posouzení, vyplňte tabulku č. 1 a 2.</w:t>
      </w:r>
    </w:p>
    <w:p w14:paraId="7F5F3E0E" w14:textId="77777777" w:rsidR="00D0545F" w:rsidRPr="009836C2" w:rsidRDefault="00D0545F" w:rsidP="00D0545F">
      <w:pPr>
        <w:rPr>
          <w:rFonts w:cstheme="minorHAnsi"/>
          <w:i/>
          <w:iCs/>
        </w:rPr>
      </w:pPr>
      <w:r w:rsidRPr="009836C2">
        <w:rPr>
          <w:rFonts w:cstheme="minorHAnsi"/>
          <w:i/>
          <w:iCs/>
        </w:rPr>
        <w:t>Pokud činnost nevyžaduje věcné posouzení, vyplňte tabulku č. 1.</w:t>
      </w:r>
    </w:p>
    <w:p w14:paraId="03DCA4E9" w14:textId="77777777" w:rsidR="00D0545F" w:rsidRPr="009836C2" w:rsidRDefault="00D0545F" w:rsidP="00D0545F">
      <w:pPr>
        <w:rPr>
          <w:rFonts w:cstheme="minorHAnsi"/>
          <w:i/>
          <w:iCs/>
        </w:rPr>
      </w:pPr>
    </w:p>
    <w:p w14:paraId="42AF4201" w14:textId="77777777" w:rsidR="00D0545F" w:rsidRPr="009836C2" w:rsidRDefault="00D0545F" w:rsidP="00D0545F">
      <w:pPr>
        <w:rPr>
          <w:rFonts w:cstheme="minorHAnsi"/>
          <w:i/>
          <w:iCs/>
        </w:rPr>
      </w:pPr>
      <w:r w:rsidRPr="009836C2">
        <w:rPr>
          <w:rFonts w:cstheme="minorHAnsi"/>
          <w:i/>
          <w:iCs/>
        </w:rPr>
        <w:t>Pro posouzení činnosti vycházejte z: </w:t>
      </w:r>
    </w:p>
    <w:p w14:paraId="58840584" w14:textId="77777777" w:rsidR="00D0545F" w:rsidRPr="009836C2" w:rsidRDefault="00D0545F" w:rsidP="007F7FC7">
      <w:pPr>
        <w:numPr>
          <w:ilvl w:val="0"/>
          <w:numId w:val="3"/>
        </w:numPr>
        <w:spacing w:after="0" w:line="240" w:lineRule="auto"/>
        <w:jc w:val="both"/>
        <w:rPr>
          <w:rFonts w:cstheme="minorHAnsi"/>
          <w:i/>
          <w:iCs/>
        </w:rPr>
      </w:pPr>
      <w:r w:rsidRPr="009836C2">
        <w:rPr>
          <w:rFonts w:cstheme="minorHAnsi"/>
          <w:i/>
          <w:iCs/>
        </w:rPr>
        <w:t>Metodického pokynu pro uplatňování zásady DNSH pro Národní plán obnovy na období 2021–2026</w:t>
      </w:r>
    </w:p>
    <w:p w14:paraId="5BD47B08" w14:textId="77777777" w:rsidR="00D0545F" w:rsidRPr="009836C2" w:rsidRDefault="00D0545F" w:rsidP="007F7FC7">
      <w:pPr>
        <w:numPr>
          <w:ilvl w:val="0"/>
          <w:numId w:val="3"/>
        </w:numPr>
        <w:spacing w:after="0" w:line="240" w:lineRule="auto"/>
        <w:jc w:val="both"/>
        <w:rPr>
          <w:rFonts w:cstheme="minorHAnsi"/>
          <w:i/>
          <w:iCs/>
        </w:rPr>
      </w:pPr>
      <w:r w:rsidRPr="009836C2">
        <w:rPr>
          <w:rFonts w:cstheme="minorHAnsi"/>
          <w:i/>
          <w:iCs/>
        </w:rPr>
        <w:t>dalších relevantních dokumentů EK stanovených Metodickým pokynem (zvláště pak Technických pokynů k uplatňování zásady „významně nepoškozovat“, Technická screeningová kritéria pro přizpůsobování se změně klimatu a Přílohy CID)</w:t>
      </w:r>
    </w:p>
    <w:p w14:paraId="0180D932" w14:textId="77777777" w:rsidR="00D0545F" w:rsidRDefault="00D0545F" w:rsidP="00D0545F">
      <w:pPr>
        <w:rPr>
          <w:rFonts w:cstheme="minorHAnsi"/>
        </w:rPr>
      </w:pPr>
    </w:p>
    <w:p w14:paraId="47190D3C" w14:textId="77777777" w:rsidR="00D0545F" w:rsidRPr="004B7A0E" w:rsidRDefault="00D0545F" w:rsidP="00D0545F">
      <w:pPr>
        <w:rPr>
          <w:rFonts w:cstheme="minorHAnsi"/>
        </w:rPr>
      </w:pPr>
      <w:r w:rsidRPr="004B7A0E">
        <w:rPr>
          <w:rFonts w:cstheme="minorHAnsi"/>
        </w:rPr>
        <w:t>Tabulka č. 1</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93"/>
        <w:gridCol w:w="644"/>
        <w:gridCol w:w="2916"/>
        <w:gridCol w:w="2969"/>
      </w:tblGrid>
      <w:tr w:rsidR="00D0545F" w:rsidRPr="004B7A0E" w14:paraId="04617715" w14:textId="77777777" w:rsidTr="00615EE2">
        <w:tc>
          <w:tcPr>
            <w:tcW w:w="2546" w:type="dxa"/>
            <w:shd w:val="clear" w:color="auto" w:fill="auto"/>
          </w:tcPr>
          <w:p w14:paraId="271D87DF" w14:textId="77777777" w:rsidR="00D0545F" w:rsidRPr="004B7A0E" w:rsidRDefault="00D0545F" w:rsidP="00615EE2">
            <w:pPr>
              <w:rPr>
                <w:rFonts w:cstheme="minorHAnsi"/>
              </w:rPr>
            </w:pPr>
            <w:r w:rsidRPr="004B7A0E">
              <w:rPr>
                <w:rFonts w:cstheme="minorHAnsi"/>
              </w:rPr>
              <w:t xml:space="preserve">Uveďte, který z níže uvedených environmentálních cílů vyžaduje věcné posouzení </w:t>
            </w:r>
            <w:r>
              <w:rPr>
                <w:rFonts w:cstheme="minorHAnsi"/>
              </w:rPr>
              <w:t xml:space="preserve">činnosti </w:t>
            </w:r>
            <w:r w:rsidRPr="004B7A0E">
              <w:rPr>
                <w:rFonts w:cstheme="minorHAnsi"/>
              </w:rPr>
              <w:t>z hlediska zásady „významně nepoškozovat“.</w:t>
            </w:r>
          </w:p>
        </w:tc>
        <w:tc>
          <w:tcPr>
            <w:tcW w:w="693" w:type="dxa"/>
            <w:shd w:val="clear" w:color="auto" w:fill="auto"/>
          </w:tcPr>
          <w:p w14:paraId="32F2497C" w14:textId="77777777" w:rsidR="00D0545F" w:rsidRPr="004B7A0E" w:rsidRDefault="00D0545F" w:rsidP="00615EE2">
            <w:pPr>
              <w:rPr>
                <w:rFonts w:cstheme="minorHAnsi"/>
              </w:rPr>
            </w:pPr>
            <w:r w:rsidRPr="004B7A0E">
              <w:rPr>
                <w:rFonts w:cstheme="minorHAnsi"/>
              </w:rPr>
              <w:t>Ano</w:t>
            </w:r>
          </w:p>
          <w:p w14:paraId="13F9DADD" w14:textId="77777777" w:rsidR="00D0545F" w:rsidRPr="004B7A0E" w:rsidRDefault="00D0545F" w:rsidP="00615EE2">
            <w:pPr>
              <w:rPr>
                <w:rFonts w:cstheme="minorHAnsi"/>
              </w:rPr>
            </w:pPr>
          </w:p>
        </w:tc>
        <w:tc>
          <w:tcPr>
            <w:tcW w:w="644" w:type="dxa"/>
            <w:shd w:val="clear" w:color="auto" w:fill="auto"/>
          </w:tcPr>
          <w:p w14:paraId="734E0854" w14:textId="77777777" w:rsidR="00D0545F" w:rsidRPr="004B7A0E" w:rsidRDefault="00D0545F" w:rsidP="00615EE2">
            <w:pPr>
              <w:rPr>
                <w:rFonts w:cstheme="minorHAnsi"/>
              </w:rPr>
            </w:pPr>
            <w:r w:rsidRPr="004B7A0E">
              <w:rPr>
                <w:rFonts w:cstheme="minorHAnsi"/>
              </w:rPr>
              <w:t>Ne</w:t>
            </w:r>
          </w:p>
          <w:p w14:paraId="13A279A0" w14:textId="77777777" w:rsidR="00D0545F" w:rsidRPr="004B7A0E" w:rsidRDefault="00D0545F" w:rsidP="00615EE2">
            <w:pPr>
              <w:rPr>
                <w:rFonts w:cstheme="minorHAnsi"/>
              </w:rPr>
            </w:pPr>
          </w:p>
        </w:tc>
        <w:tc>
          <w:tcPr>
            <w:tcW w:w="2916" w:type="dxa"/>
            <w:shd w:val="clear" w:color="auto" w:fill="auto"/>
          </w:tcPr>
          <w:p w14:paraId="5B20B362" w14:textId="4BAC0F4C" w:rsidR="00D0545F" w:rsidRPr="004B7A0E" w:rsidRDefault="00D0545F" w:rsidP="00615EE2">
            <w:pPr>
              <w:rPr>
                <w:rFonts w:cstheme="minorHAnsi"/>
              </w:rPr>
            </w:pPr>
            <w:r w:rsidRPr="004B7A0E">
              <w:rPr>
                <w:rFonts w:cstheme="minorHAnsi"/>
              </w:rPr>
              <w:t>Odůvodnění</w:t>
            </w:r>
            <w:r>
              <w:rPr>
                <w:rFonts w:cstheme="minorHAnsi"/>
              </w:rPr>
              <w:t xml:space="preserve"> pro Dětské skupiny</w:t>
            </w:r>
          </w:p>
          <w:p w14:paraId="108EA2A7" w14:textId="77777777" w:rsidR="00D0545F" w:rsidRPr="004B7A0E" w:rsidRDefault="00D0545F" w:rsidP="00615EE2">
            <w:pPr>
              <w:rPr>
                <w:rFonts w:cstheme="minorHAnsi"/>
              </w:rPr>
            </w:pPr>
          </w:p>
          <w:p w14:paraId="4B02914C" w14:textId="77777777" w:rsidR="00D0545F" w:rsidRPr="004B7A0E" w:rsidRDefault="00D0545F" w:rsidP="00615EE2">
            <w:pPr>
              <w:rPr>
                <w:rFonts w:cstheme="minorHAnsi"/>
              </w:rPr>
            </w:pPr>
          </w:p>
        </w:tc>
        <w:tc>
          <w:tcPr>
            <w:tcW w:w="2969" w:type="dxa"/>
          </w:tcPr>
          <w:p w14:paraId="3C8CE607" w14:textId="77777777" w:rsidR="00D0545F" w:rsidRPr="004B7A0E" w:rsidRDefault="00D0545F" w:rsidP="00615EE2">
            <w:pPr>
              <w:rPr>
                <w:rFonts w:cstheme="minorHAnsi"/>
              </w:rPr>
            </w:pPr>
            <w:r>
              <w:rPr>
                <w:rFonts w:cstheme="minorHAnsi"/>
              </w:rPr>
              <w:t>Odůvodnění pro Sociální infrastrukturu</w:t>
            </w:r>
          </w:p>
        </w:tc>
      </w:tr>
      <w:tr w:rsidR="00D0545F" w:rsidRPr="004B7A0E" w14:paraId="25BC0B61" w14:textId="77777777" w:rsidTr="00615EE2">
        <w:tc>
          <w:tcPr>
            <w:tcW w:w="2546" w:type="dxa"/>
            <w:shd w:val="clear" w:color="auto" w:fill="auto"/>
          </w:tcPr>
          <w:p w14:paraId="2A22209F" w14:textId="77777777" w:rsidR="00D0545F" w:rsidRPr="004B7A0E" w:rsidRDefault="00D0545F" w:rsidP="00615EE2">
            <w:pPr>
              <w:rPr>
                <w:rFonts w:cstheme="minorHAnsi"/>
              </w:rPr>
            </w:pPr>
            <w:r w:rsidRPr="004B7A0E">
              <w:rPr>
                <w:rFonts w:cstheme="minorHAnsi"/>
              </w:rPr>
              <w:lastRenderedPageBreak/>
              <w:t xml:space="preserve">Zmírňování klimatu </w:t>
            </w:r>
          </w:p>
        </w:tc>
        <w:tc>
          <w:tcPr>
            <w:tcW w:w="693" w:type="dxa"/>
            <w:shd w:val="clear" w:color="auto" w:fill="auto"/>
          </w:tcPr>
          <w:p w14:paraId="7A4A2BE1" w14:textId="77777777" w:rsidR="00D0545F" w:rsidRPr="004B7A0E" w:rsidRDefault="00D0545F" w:rsidP="00615EE2">
            <w:pPr>
              <w:rPr>
                <w:rFonts w:cstheme="minorHAnsi"/>
              </w:rPr>
            </w:pPr>
          </w:p>
        </w:tc>
        <w:tc>
          <w:tcPr>
            <w:tcW w:w="644" w:type="dxa"/>
            <w:shd w:val="clear" w:color="auto" w:fill="auto"/>
          </w:tcPr>
          <w:p w14:paraId="0A8258D1" w14:textId="77777777" w:rsidR="00D0545F" w:rsidRPr="004B7A0E" w:rsidRDefault="00D0545F" w:rsidP="00615EE2">
            <w:pPr>
              <w:rPr>
                <w:rFonts w:cstheme="minorHAnsi"/>
              </w:rPr>
            </w:pPr>
          </w:p>
        </w:tc>
        <w:tc>
          <w:tcPr>
            <w:tcW w:w="2916" w:type="dxa"/>
            <w:shd w:val="clear" w:color="auto" w:fill="auto"/>
          </w:tcPr>
          <w:p w14:paraId="459609FD" w14:textId="433B27B3" w:rsidR="00D0545F" w:rsidRPr="00DA4ACD" w:rsidRDefault="00983C09" w:rsidP="00615EE2">
            <w:pPr>
              <w:rPr>
                <w:rFonts w:cstheme="minorHAnsi"/>
                <w:i/>
                <w:iCs/>
                <w:sz w:val="18"/>
                <w:szCs w:val="18"/>
              </w:rPr>
            </w:pPr>
            <w:r w:rsidRPr="00DA4ACD">
              <w:rPr>
                <w:rFonts w:cstheme="minorHAnsi"/>
                <w:i/>
                <w:iCs/>
                <w:color w:val="00B050"/>
                <w:sz w:val="18"/>
                <w:szCs w:val="18"/>
              </w:rPr>
              <w:t>Doplňte,</w:t>
            </w:r>
            <w:r w:rsidR="00D0545F">
              <w:rPr>
                <w:rFonts w:cstheme="minorHAnsi"/>
                <w:i/>
                <w:iCs/>
                <w:color w:val="00B050"/>
                <w:sz w:val="18"/>
                <w:szCs w:val="18"/>
              </w:rPr>
              <w:t xml:space="preserve"> </w:t>
            </w:r>
            <w:r w:rsidR="00D0545F" w:rsidRPr="00DA4ACD">
              <w:rPr>
                <w:rFonts w:cstheme="minorHAnsi"/>
                <w:i/>
                <w:iCs/>
                <w:color w:val="00B050"/>
                <w:sz w:val="18"/>
                <w:szCs w:val="18"/>
              </w:rPr>
              <w:t>jak uplatňujete zásadu DNSH</w:t>
            </w:r>
            <w:r w:rsidR="00D0545F">
              <w:rPr>
                <w:rFonts w:cstheme="minorHAnsi"/>
                <w:i/>
                <w:iCs/>
                <w:color w:val="00B050"/>
                <w:sz w:val="18"/>
                <w:szCs w:val="18"/>
              </w:rPr>
              <w:t xml:space="preserve"> v souvislosti s tímto cílem.</w:t>
            </w:r>
          </w:p>
        </w:tc>
        <w:tc>
          <w:tcPr>
            <w:tcW w:w="2969" w:type="dxa"/>
          </w:tcPr>
          <w:p w14:paraId="280A145D" w14:textId="10F2C514" w:rsidR="00D0545F" w:rsidRPr="00DA4ACD" w:rsidRDefault="00983C09" w:rsidP="00615EE2">
            <w:pPr>
              <w:rPr>
                <w:rFonts w:cstheme="minorHAnsi"/>
                <w:b/>
                <w:bCs/>
                <w:sz w:val="18"/>
                <w:szCs w:val="18"/>
              </w:rPr>
            </w:pPr>
            <w:r w:rsidRPr="00DA4ACD">
              <w:rPr>
                <w:rFonts w:cstheme="minorHAnsi"/>
                <w:i/>
                <w:iCs/>
                <w:color w:val="00B050"/>
                <w:sz w:val="18"/>
                <w:szCs w:val="18"/>
              </w:rPr>
              <w:t>Doplňte,</w:t>
            </w:r>
            <w:r w:rsidR="00D0545F">
              <w:rPr>
                <w:rFonts w:cstheme="minorHAnsi"/>
                <w:i/>
                <w:iCs/>
                <w:color w:val="00B050"/>
                <w:sz w:val="18"/>
                <w:szCs w:val="18"/>
              </w:rPr>
              <w:t xml:space="preserve"> </w:t>
            </w:r>
            <w:r w:rsidR="00D0545F" w:rsidRPr="00DA4ACD">
              <w:rPr>
                <w:rFonts w:cstheme="minorHAnsi"/>
                <w:i/>
                <w:iCs/>
                <w:color w:val="00B050"/>
                <w:sz w:val="18"/>
                <w:szCs w:val="18"/>
              </w:rPr>
              <w:t>jak uplatňujete zásadu DNSH</w:t>
            </w:r>
            <w:r w:rsidR="00D0545F">
              <w:rPr>
                <w:rFonts w:cstheme="minorHAnsi"/>
                <w:i/>
                <w:iCs/>
                <w:color w:val="00B050"/>
                <w:sz w:val="18"/>
                <w:szCs w:val="18"/>
              </w:rPr>
              <w:t xml:space="preserve"> v souvislosti s tímto cílem.</w:t>
            </w:r>
          </w:p>
        </w:tc>
      </w:tr>
      <w:tr w:rsidR="00D0545F" w:rsidRPr="004B7A0E" w14:paraId="517A40E2" w14:textId="77777777" w:rsidTr="00615EE2">
        <w:tc>
          <w:tcPr>
            <w:tcW w:w="2546" w:type="dxa"/>
            <w:shd w:val="clear" w:color="auto" w:fill="auto"/>
          </w:tcPr>
          <w:p w14:paraId="3A0D48AD" w14:textId="77777777" w:rsidR="00D0545F" w:rsidRPr="004B7A0E" w:rsidRDefault="00D0545F" w:rsidP="00615EE2">
            <w:pPr>
              <w:rPr>
                <w:rFonts w:cstheme="minorHAnsi"/>
              </w:rPr>
            </w:pPr>
            <w:r w:rsidRPr="004B7A0E">
              <w:rPr>
                <w:rFonts w:cstheme="minorHAnsi"/>
              </w:rPr>
              <w:t xml:space="preserve">Přizpůsobování se změně klimatu </w:t>
            </w:r>
          </w:p>
        </w:tc>
        <w:tc>
          <w:tcPr>
            <w:tcW w:w="693" w:type="dxa"/>
            <w:shd w:val="clear" w:color="auto" w:fill="auto"/>
          </w:tcPr>
          <w:p w14:paraId="2AA9F6C8" w14:textId="77777777" w:rsidR="00D0545F" w:rsidRPr="004B7A0E" w:rsidRDefault="00D0545F" w:rsidP="00615EE2">
            <w:pPr>
              <w:rPr>
                <w:rFonts w:cstheme="minorHAnsi"/>
              </w:rPr>
            </w:pPr>
          </w:p>
        </w:tc>
        <w:tc>
          <w:tcPr>
            <w:tcW w:w="644" w:type="dxa"/>
            <w:shd w:val="clear" w:color="auto" w:fill="auto"/>
          </w:tcPr>
          <w:p w14:paraId="556D19A4" w14:textId="77777777" w:rsidR="00D0545F" w:rsidRPr="004B7A0E" w:rsidRDefault="00D0545F" w:rsidP="00615EE2">
            <w:pPr>
              <w:rPr>
                <w:rFonts w:cstheme="minorHAnsi"/>
              </w:rPr>
            </w:pPr>
          </w:p>
        </w:tc>
        <w:tc>
          <w:tcPr>
            <w:tcW w:w="2916" w:type="dxa"/>
            <w:shd w:val="clear" w:color="auto" w:fill="auto"/>
          </w:tcPr>
          <w:p w14:paraId="557D9141" w14:textId="626D7166" w:rsidR="00D0545F" w:rsidRPr="00AD53BC" w:rsidRDefault="00D0545F" w:rsidP="00615EE2">
            <w:pPr>
              <w:rPr>
                <w:rFonts w:cstheme="minorHAnsi"/>
              </w:rPr>
            </w:pPr>
            <w:r w:rsidRPr="00AD53BC">
              <w:rPr>
                <w:rFonts w:cstheme="minorHAnsi"/>
              </w:rPr>
              <w:t xml:space="preserve">V případě fyzických stavebních investic s </w:t>
            </w:r>
            <w:r w:rsidR="00983C09" w:rsidRPr="00AD53BC">
              <w:rPr>
                <w:rFonts w:cstheme="minorHAnsi"/>
              </w:rPr>
              <w:t>vyšší,</w:t>
            </w:r>
            <w:r w:rsidRPr="00AD53BC">
              <w:rPr>
                <w:rFonts w:cstheme="minorHAnsi"/>
              </w:rPr>
              <w:t xml:space="preserve"> než </w:t>
            </w:r>
            <w:r w:rsidR="00983C09" w:rsidRPr="00AD53BC">
              <w:rPr>
                <w:rFonts w:cstheme="minorHAnsi"/>
              </w:rPr>
              <w:t>10letou</w:t>
            </w:r>
            <w:r w:rsidRPr="00AD53BC">
              <w:rPr>
                <w:rFonts w:cstheme="minorHAnsi"/>
              </w:rPr>
              <w:t xml:space="preserve"> životností je proveden screening klimatických rizik </w:t>
            </w:r>
            <w:r w:rsidR="00EF5F1B">
              <w:rPr>
                <w:rFonts w:cstheme="minorHAnsi"/>
              </w:rPr>
              <w:br/>
            </w:r>
            <w:r w:rsidRPr="00AD53BC">
              <w:rPr>
                <w:rFonts w:cstheme="minorHAnsi"/>
              </w:rPr>
              <w:t xml:space="preserve">a zohledněna opatření pro zajištění odolnosti investice vůči těmto rizikům v souladu s Národním akčním plánem adaptace na změnu klimatu. Investice budou zohledňovat riziko sucha a nebudou vystavena riziku snížené dostupnosti vody, eroze </w:t>
            </w:r>
            <w:r w:rsidR="00EF5F1B">
              <w:rPr>
                <w:rFonts w:cstheme="minorHAnsi"/>
              </w:rPr>
              <w:br/>
            </w:r>
            <w:r w:rsidRPr="00AD53BC">
              <w:rPr>
                <w:rFonts w:cstheme="minorHAnsi"/>
              </w:rPr>
              <w:t>a nebudou z</w:t>
            </w:r>
            <w:r>
              <w:rPr>
                <w:rFonts w:cstheme="minorHAnsi"/>
              </w:rPr>
              <w:t>v</w:t>
            </w:r>
            <w:r w:rsidRPr="00AD53BC">
              <w:rPr>
                <w:rFonts w:cstheme="minorHAnsi"/>
              </w:rPr>
              <w:t>yšovat tlak na spotřebu vody v místě. Investice budou mít vysokou úroveň protipožární ochrany.</w:t>
            </w:r>
          </w:p>
          <w:p w14:paraId="4D3A3AF0" w14:textId="1BA44075" w:rsidR="00D0545F" w:rsidRPr="00AD53BC" w:rsidRDefault="00D0545F" w:rsidP="00615EE2">
            <w:pPr>
              <w:rPr>
                <w:rFonts w:cstheme="minorHAnsi"/>
              </w:rPr>
            </w:pPr>
            <w:r w:rsidRPr="00AD53BC">
              <w:rPr>
                <w:rFonts w:cstheme="minorHAnsi"/>
              </w:rPr>
              <w:t xml:space="preserve">Stavby budou používat vhodné materiály </w:t>
            </w:r>
            <w:r w:rsidR="00EF5F1B">
              <w:rPr>
                <w:rFonts w:cstheme="minorHAnsi"/>
              </w:rPr>
              <w:br/>
            </w:r>
            <w:r w:rsidRPr="00AD53BC">
              <w:rPr>
                <w:rFonts w:cstheme="minorHAnsi"/>
              </w:rPr>
              <w:t xml:space="preserve">a konstrukci pro omezení vlivu povětrnostních podmínek a riziko poškození vlivem silného větru. </w:t>
            </w:r>
          </w:p>
          <w:p w14:paraId="4DF3D83C" w14:textId="77777777" w:rsidR="00D0545F" w:rsidRDefault="00D0545F" w:rsidP="00615EE2">
            <w:pPr>
              <w:rPr>
                <w:rFonts w:cstheme="minorHAnsi"/>
              </w:rPr>
            </w:pPr>
            <w:r w:rsidRPr="00AD53BC">
              <w:rPr>
                <w:rFonts w:cstheme="minorHAnsi"/>
              </w:rPr>
              <w:t>Investice budou obsahovat systém varování před rizikem pro zabránění škod vlivem projevu změny klimatu.</w:t>
            </w:r>
          </w:p>
          <w:p w14:paraId="1EBB67D7" w14:textId="77777777" w:rsidR="00D0545F" w:rsidRDefault="00D0545F" w:rsidP="00615EE2">
            <w:pPr>
              <w:rPr>
                <w:rFonts w:cstheme="minorHAnsi"/>
              </w:rPr>
            </w:pPr>
          </w:p>
          <w:p w14:paraId="168B681E" w14:textId="051FBB9D" w:rsidR="00D0545F" w:rsidRPr="004B7A0E" w:rsidRDefault="00983C09" w:rsidP="00615EE2">
            <w:pPr>
              <w:rPr>
                <w:rFonts w:cstheme="minorHAnsi"/>
              </w:rPr>
            </w:pPr>
            <w:r w:rsidRPr="00DA4ACD">
              <w:rPr>
                <w:rFonts w:cstheme="minorHAnsi"/>
                <w:i/>
                <w:iCs/>
                <w:color w:val="00B050"/>
                <w:sz w:val="18"/>
                <w:szCs w:val="18"/>
              </w:rPr>
              <w:t>Doplňte,</w:t>
            </w:r>
            <w:r w:rsidR="00D0545F">
              <w:rPr>
                <w:rFonts w:cstheme="minorHAnsi"/>
                <w:i/>
                <w:iCs/>
                <w:color w:val="00B050"/>
                <w:sz w:val="18"/>
                <w:szCs w:val="18"/>
              </w:rPr>
              <w:t xml:space="preserve"> </w:t>
            </w:r>
            <w:r w:rsidRPr="00DA4ACD">
              <w:rPr>
                <w:rFonts w:cstheme="minorHAnsi"/>
                <w:i/>
                <w:iCs/>
                <w:color w:val="00B050"/>
                <w:sz w:val="18"/>
                <w:szCs w:val="18"/>
              </w:rPr>
              <w:t xml:space="preserve">jak </w:t>
            </w:r>
            <w:r>
              <w:rPr>
                <w:rFonts w:cstheme="minorHAnsi"/>
                <w:i/>
                <w:iCs/>
                <w:color w:val="00B050"/>
                <w:sz w:val="18"/>
                <w:szCs w:val="18"/>
              </w:rPr>
              <w:t>konkrétně</w:t>
            </w:r>
            <w:r w:rsidR="00D0545F">
              <w:rPr>
                <w:rFonts w:cstheme="minorHAnsi"/>
                <w:i/>
                <w:iCs/>
                <w:color w:val="00B050"/>
                <w:sz w:val="18"/>
                <w:szCs w:val="18"/>
              </w:rPr>
              <w:t xml:space="preserve"> </w:t>
            </w:r>
            <w:r w:rsidR="00D0545F" w:rsidRPr="00DA4ACD">
              <w:rPr>
                <w:rFonts w:cstheme="minorHAnsi"/>
                <w:i/>
                <w:iCs/>
                <w:color w:val="00B050"/>
                <w:sz w:val="18"/>
                <w:szCs w:val="18"/>
              </w:rPr>
              <w:t>uplatňujete zásadu DNSH</w:t>
            </w:r>
            <w:r w:rsidR="00D0545F">
              <w:rPr>
                <w:rFonts w:cstheme="minorHAnsi"/>
                <w:i/>
                <w:iCs/>
                <w:color w:val="00B050"/>
                <w:sz w:val="18"/>
                <w:szCs w:val="18"/>
              </w:rPr>
              <w:t xml:space="preserve"> v souvislosti s tímto cílem a v souladu s výše uvedeným.</w:t>
            </w:r>
          </w:p>
        </w:tc>
        <w:tc>
          <w:tcPr>
            <w:tcW w:w="2969" w:type="dxa"/>
          </w:tcPr>
          <w:p w14:paraId="7D260589" w14:textId="0A76409C" w:rsidR="00D0545F" w:rsidRPr="00AD53BC" w:rsidRDefault="00D0545F" w:rsidP="00615EE2">
            <w:pPr>
              <w:rPr>
                <w:rFonts w:cstheme="minorHAnsi"/>
              </w:rPr>
            </w:pPr>
            <w:r w:rsidRPr="00AD53BC">
              <w:rPr>
                <w:rFonts w:cstheme="minorHAnsi"/>
              </w:rPr>
              <w:t xml:space="preserve">V případě fyzických stavebních investic s </w:t>
            </w:r>
            <w:r w:rsidR="00983C09" w:rsidRPr="00AD53BC">
              <w:rPr>
                <w:rFonts w:cstheme="minorHAnsi"/>
              </w:rPr>
              <w:t>vyšší,</w:t>
            </w:r>
            <w:r w:rsidRPr="00AD53BC">
              <w:rPr>
                <w:rFonts w:cstheme="minorHAnsi"/>
              </w:rPr>
              <w:t xml:space="preserve"> než </w:t>
            </w:r>
            <w:r w:rsidR="00983C09" w:rsidRPr="00AD53BC">
              <w:rPr>
                <w:rFonts w:cstheme="minorHAnsi"/>
              </w:rPr>
              <w:t>10letou</w:t>
            </w:r>
            <w:r w:rsidRPr="00AD53BC">
              <w:rPr>
                <w:rFonts w:cstheme="minorHAnsi"/>
              </w:rPr>
              <w:t xml:space="preserve"> životností je proveden screening klimatických rizik </w:t>
            </w:r>
            <w:r w:rsidR="00EF5F1B">
              <w:rPr>
                <w:rFonts w:cstheme="minorHAnsi"/>
              </w:rPr>
              <w:br/>
            </w:r>
            <w:r w:rsidRPr="00AD53BC">
              <w:rPr>
                <w:rFonts w:cstheme="minorHAnsi"/>
              </w:rPr>
              <w:t xml:space="preserve">a zohledněna opatření pro zajištění odolnosti investice vůči těmto rizikům v souladu </w:t>
            </w:r>
            <w:r w:rsidR="00EF5F1B">
              <w:rPr>
                <w:rFonts w:cstheme="minorHAnsi"/>
              </w:rPr>
              <w:br/>
            </w:r>
            <w:r w:rsidRPr="00AD53BC">
              <w:rPr>
                <w:rFonts w:cstheme="minorHAnsi"/>
              </w:rPr>
              <w:t xml:space="preserve">s Národním akčním plánem adaptace na změnu klimatu. Investice budou zohledňovat riziko sucha a nebudou vystavena riziku snížené dostupnosti vody, eroze </w:t>
            </w:r>
            <w:r w:rsidR="00EF5F1B">
              <w:rPr>
                <w:rFonts w:cstheme="minorHAnsi"/>
              </w:rPr>
              <w:br/>
            </w:r>
            <w:r w:rsidRPr="00AD53BC">
              <w:rPr>
                <w:rFonts w:cstheme="minorHAnsi"/>
              </w:rPr>
              <w:t>a nebudou z</w:t>
            </w:r>
            <w:r>
              <w:rPr>
                <w:rFonts w:cstheme="minorHAnsi"/>
              </w:rPr>
              <w:t>v</w:t>
            </w:r>
            <w:r w:rsidRPr="00AD53BC">
              <w:rPr>
                <w:rFonts w:cstheme="minorHAnsi"/>
              </w:rPr>
              <w:t>yšovat tlak na spotřebu vody v místě. Investice budou mít vysokou úroveň protipožární ochrany.</w:t>
            </w:r>
          </w:p>
          <w:p w14:paraId="36AF5347" w14:textId="7599600F" w:rsidR="00D0545F" w:rsidRPr="00AD53BC" w:rsidRDefault="00D0545F" w:rsidP="00615EE2">
            <w:pPr>
              <w:rPr>
                <w:rFonts w:cstheme="minorHAnsi"/>
              </w:rPr>
            </w:pPr>
            <w:r w:rsidRPr="00AD53BC">
              <w:rPr>
                <w:rFonts w:cstheme="minorHAnsi"/>
              </w:rPr>
              <w:t xml:space="preserve">Stavby budou používat vhodné materiály a konstrukci pro omezení vlivu povětrnostních podmínek </w:t>
            </w:r>
            <w:r w:rsidR="00EF5F1B">
              <w:rPr>
                <w:rFonts w:cstheme="minorHAnsi"/>
              </w:rPr>
              <w:br/>
            </w:r>
            <w:r w:rsidRPr="00AD53BC">
              <w:rPr>
                <w:rFonts w:cstheme="minorHAnsi"/>
              </w:rPr>
              <w:t xml:space="preserve">a riziko poškození vlivem silného větru. </w:t>
            </w:r>
          </w:p>
          <w:p w14:paraId="7F1AA407" w14:textId="77777777" w:rsidR="00D0545F" w:rsidRDefault="00D0545F" w:rsidP="00615EE2">
            <w:pPr>
              <w:rPr>
                <w:rFonts w:cstheme="minorHAnsi"/>
              </w:rPr>
            </w:pPr>
            <w:r w:rsidRPr="00AD53BC">
              <w:rPr>
                <w:rFonts w:cstheme="minorHAnsi"/>
              </w:rPr>
              <w:t>Investice budou obsahovat systém varování před rizikem pro zabránění škod vlivem projevu změny klimatu.</w:t>
            </w:r>
          </w:p>
          <w:p w14:paraId="3C13AD8F" w14:textId="77777777" w:rsidR="00D0545F" w:rsidRDefault="00D0545F" w:rsidP="00615EE2">
            <w:pPr>
              <w:rPr>
                <w:rFonts w:cstheme="minorHAnsi"/>
                <w:highlight w:val="magenta"/>
              </w:rPr>
            </w:pPr>
          </w:p>
          <w:p w14:paraId="59F61B18" w14:textId="0A075534" w:rsidR="00D0545F" w:rsidRPr="000D1A0C" w:rsidRDefault="00983C09" w:rsidP="00615EE2">
            <w:pPr>
              <w:rPr>
                <w:rFonts w:cstheme="minorHAnsi"/>
                <w:highlight w:val="magenta"/>
              </w:rPr>
            </w:pPr>
            <w:r w:rsidRPr="00DA4ACD">
              <w:rPr>
                <w:rFonts w:cstheme="minorHAnsi"/>
                <w:i/>
                <w:iCs/>
                <w:color w:val="00B050"/>
                <w:sz w:val="18"/>
                <w:szCs w:val="18"/>
              </w:rPr>
              <w:t>Doplňte,</w:t>
            </w:r>
            <w:r w:rsidR="00D0545F">
              <w:rPr>
                <w:rFonts w:cstheme="minorHAnsi"/>
                <w:i/>
                <w:iCs/>
                <w:color w:val="00B050"/>
                <w:sz w:val="18"/>
                <w:szCs w:val="18"/>
              </w:rPr>
              <w:t xml:space="preserve"> </w:t>
            </w:r>
            <w:r w:rsidRPr="00DA4ACD">
              <w:rPr>
                <w:rFonts w:cstheme="minorHAnsi"/>
                <w:i/>
                <w:iCs/>
                <w:color w:val="00B050"/>
                <w:sz w:val="18"/>
                <w:szCs w:val="18"/>
              </w:rPr>
              <w:t xml:space="preserve">jak </w:t>
            </w:r>
            <w:r>
              <w:rPr>
                <w:rFonts w:cstheme="minorHAnsi"/>
                <w:i/>
                <w:iCs/>
                <w:color w:val="00B050"/>
                <w:sz w:val="18"/>
                <w:szCs w:val="18"/>
              </w:rPr>
              <w:t>konkrétně</w:t>
            </w:r>
            <w:r w:rsidR="00D0545F">
              <w:rPr>
                <w:rFonts w:cstheme="minorHAnsi"/>
                <w:i/>
                <w:iCs/>
                <w:color w:val="00B050"/>
                <w:sz w:val="18"/>
                <w:szCs w:val="18"/>
              </w:rPr>
              <w:t xml:space="preserve"> </w:t>
            </w:r>
            <w:r w:rsidR="00D0545F" w:rsidRPr="00DA4ACD">
              <w:rPr>
                <w:rFonts w:cstheme="minorHAnsi"/>
                <w:i/>
                <w:iCs/>
                <w:color w:val="00B050"/>
                <w:sz w:val="18"/>
                <w:szCs w:val="18"/>
              </w:rPr>
              <w:t>uplatňujete zásadu DNSH</w:t>
            </w:r>
            <w:r w:rsidR="00D0545F">
              <w:rPr>
                <w:rFonts w:cstheme="minorHAnsi"/>
                <w:i/>
                <w:iCs/>
                <w:color w:val="00B050"/>
                <w:sz w:val="18"/>
                <w:szCs w:val="18"/>
              </w:rPr>
              <w:t xml:space="preserve"> v souvislosti s tímto cílem a v souladu s výše uvedeným</w:t>
            </w:r>
          </w:p>
        </w:tc>
      </w:tr>
      <w:tr w:rsidR="00D0545F" w:rsidRPr="004B7A0E" w14:paraId="48F53813" w14:textId="77777777" w:rsidTr="00615EE2">
        <w:tc>
          <w:tcPr>
            <w:tcW w:w="2546" w:type="dxa"/>
            <w:shd w:val="clear" w:color="auto" w:fill="auto"/>
          </w:tcPr>
          <w:p w14:paraId="5A17FDC9" w14:textId="77777777" w:rsidR="00D0545F" w:rsidRPr="004B7A0E" w:rsidRDefault="00D0545F" w:rsidP="00615EE2">
            <w:pPr>
              <w:rPr>
                <w:rFonts w:cstheme="minorHAnsi"/>
              </w:rPr>
            </w:pPr>
            <w:r w:rsidRPr="004B7A0E">
              <w:rPr>
                <w:rFonts w:cstheme="minorHAnsi"/>
              </w:rPr>
              <w:t>Udržitelné využívání a ochrana vodních a mořských zdrojů</w:t>
            </w:r>
          </w:p>
        </w:tc>
        <w:tc>
          <w:tcPr>
            <w:tcW w:w="693" w:type="dxa"/>
            <w:shd w:val="clear" w:color="auto" w:fill="auto"/>
          </w:tcPr>
          <w:p w14:paraId="656FE022" w14:textId="77777777" w:rsidR="00D0545F" w:rsidRPr="004B7A0E" w:rsidRDefault="00D0545F" w:rsidP="00615EE2">
            <w:pPr>
              <w:rPr>
                <w:rFonts w:cstheme="minorHAnsi"/>
              </w:rPr>
            </w:pPr>
          </w:p>
        </w:tc>
        <w:tc>
          <w:tcPr>
            <w:tcW w:w="644" w:type="dxa"/>
            <w:shd w:val="clear" w:color="auto" w:fill="auto"/>
          </w:tcPr>
          <w:p w14:paraId="0FF66992" w14:textId="77777777" w:rsidR="00D0545F" w:rsidRPr="004B7A0E" w:rsidRDefault="00D0545F" w:rsidP="00615EE2">
            <w:pPr>
              <w:rPr>
                <w:rFonts w:cstheme="minorHAnsi"/>
              </w:rPr>
            </w:pPr>
          </w:p>
        </w:tc>
        <w:tc>
          <w:tcPr>
            <w:tcW w:w="2916" w:type="dxa"/>
            <w:shd w:val="clear" w:color="auto" w:fill="auto"/>
          </w:tcPr>
          <w:p w14:paraId="7B3CCB1F" w14:textId="28BEA283" w:rsidR="00D0545F" w:rsidRDefault="00D0545F" w:rsidP="00D0545F">
            <w:pPr>
              <w:pStyle w:val="Odstavecseseznamem"/>
              <w:widowControl/>
              <w:numPr>
                <w:ilvl w:val="0"/>
                <w:numId w:val="8"/>
              </w:numPr>
              <w:autoSpaceDE/>
              <w:autoSpaceDN/>
              <w:spacing w:after="120" w:line="264" w:lineRule="auto"/>
              <w:jc w:val="both"/>
              <w:rPr>
                <w:rFonts w:asciiTheme="minorHAnsi" w:hAnsiTheme="minorHAnsi" w:cstheme="minorHAnsi"/>
              </w:rPr>
            </w:pPr>
            <w:r w:rsidRPr="00DA4ACD">
              <w:rPr>
                <w:rFonts w:asciiTheme="minorHAnsi" w:hAnsiTheme="minorHAnsi" w:cstheme="minorHAnsi"/>
              </w:rPr>
              <w:t xml:space="preserve">Renovace </w:t>
            </w:r>
            <w:r w:rsidR="00983C09" w:rsidRPr="00DA4ACD">
              <w:rPr>
                <w:rFonts w:asciiTheme="minorHAnsi" w:hAnsiTheme="minorHAnsi" w:cstheme="minorHAnsi"/>
              </w:rPr>
              <w:t>budov – spotřebiče</w:t>
            </w:r>
            <w:r w:rsidRPr="00DA4ACD">
              <w:rPr>
                <w:rFonts w:asciiTheme="minorHAnsi" w:hAnsiTheme="minorHAnsi" w:cstheme="minorHAnsi"/>
              </w:rPr>
              <w:t xml:space="preserve"> vody budou v souladu </w:t>
            </w:r>
            <w:r w:rsidR="00EF5F1B">
              <w:rPr>
                <w:rFonts w:asciiTheme="minorHAnsi" w:hAnsiTheme="minorHAnsi" w:cstheme="minorHAnsi"/>
              </w:rPr>
              <w:br/>
            </w:r>
            <w:r w:rsidRPr="00DA4ACD">
              <w:rPr>
                <w:rFonts w:asciiTheme="minorHAnsi" w:hAnsiTheme="minorHAnsi" w:cstheme="minorHAnsi"/>
              </w:rPr>
              <w:t xml:space="preserve">s aktuálními standardy, které zajišťují, že se nebude jednat o nešetrné nakládání s vodami </w:t>
            </w:r>
            <w:r w:rsidR="00EF5F1B">
              <w:rPr>
                <w:rFonts w:asciiTheme="minorHAnsi" w:hAnsiTheme="minorHAnsi" w:cstheme="minorHAnsi"/>
              </w:rPr>
              <w:br/>
            </w:r>
            <w:r w:rsidRPr="00DA4ACD">
              <w:rPr>
                <w:rFonts w:asciiTheme="minorHAnsi" w:hAnsiTheme="minorHAnsi" w:cstheme="minorHAnsi"/>
              </w:rPr>
              <w:t xml:space="preserve">a toto řešení nepovede ke zhoršení </w:t>
            </w:r>
            <w:r w:rsidRPr="00DA4ACD">
              <w:rPr>
                <w:rFonts w:asciiTheme="minorHAnsi" w:hAnsiTheme="minorHAnsi" w:cstheme="minorHAnsi"/>
              </w:rPr>
              <w:lastRenderedPageBreak/>
              <w:t xml:space="preserve">oproti stávajícímu stavu. </w:t>
            </w:r>
          </w:p>
          <w:p w14:paraId="6649503B" w14:textId="3A763A55" w:rsidR="00D0545F" w:rsidRPr="00DA4ACD" w:rsidRDefault="00D0545F" w:rsidP="00D0545F">
            <w:pPr>
              <w:pStyle w:val="Odstavecseseznamem"/>
              <w:widowControl/>
              <w:numPr>
                <w:ilvl w:val="0"/>
                <w:numId w:val="8"/>
              </w:numPr>
              <w:autoSpaceDE/>
              <w:autoSpaceDN/>
              <w:spacing w:after="120" w:line="264" w:lineRule="auto"/>
              <w:jc w:val="both"/>
              <w:rPr>
                <w:rFonts w:asciiTheme="minorHAnsi" w:hAnsiTheme="minorHAnsi" w:cstheme="minorHAnsi"/>
              </w:rPr>
            </w:pPr>
            <w:r w:rsidRPr="00DA4ACD">
              <w:rPr>
                <w:rFonts w:asciiTheme="minorHAnsi" w:hAnsiTheme="minorHAnsi" w:cstheme="minorHAnsi"/>
              </w:rPr>
              <w:t xml:space="preserve"> Stavby </w:t>
            </w:r>
            <w:r w:rsidR="00983C09" w:rsidRPr="00DA4ACD">
              <w:rPr>
                <w:rFonts w:asciiTheme="minorHAnsi" w:hAnsiTheme="minorHAnsi" w:cstheme="minorHAnsi"/>
              </w:rPr>
              <w:t>budov – spotřebiče</w:t>
            </w:r>
            <w:r w:rsidRPr="00DA4ACD">
              <w:rPr>
                <w:rFonts w:asciiTheme="minorHAnsi" w:hAnsiTheme="minorHAnsi" w:cstheme="minorHAnsi"/>
              </w:rPr>
              <w:t xml:space="preserve"> vody budou v souladu </w:t>
            </w:r>
            <w:r w:rsidR="00EF5F1B">
              <w:rPr>
                <w:rFonts w:asciiTheme="minorHAnsi" w:hAnsiTheme="minorHAnsi" w:cstheme="minorHAnsi"/>
              </w:rPr>
              <w:br/>
            </w:r>
            <w:r w:rsidRPr="00DA4ACD">
              <w:rPr>
                <w:rFonts w:asciiTheme="minorHAnsi" w:hAnsiTheme="minorHAnsi" w:cstheme="minorHAnsi"/>
              </w:rPr>
              <w:t xml:space="preserve">s aktuálními standardy, které zajišťují, že se nebude jednat o nešetrné nakládání s vodami </w:t>
            </w:r>
            <w:r w:rsidR="00EF5F1B">
              <w:rPr>
                <w:rFonts w:asciiTheme="minorHAnsi" w:hAnsiTheme="minorHAnsi" w:cstheme="minorHAnsi"/>
              </w:rPr>
              <w:br/>
            </w:r>
            <w:r w:rsidRPr="00DA4ACD">
              <w:rPr>
                <w:rFonts w:asciiTheme="minorHAnsi" w:hAnsiTheme="minorHAnsi" w:cstheme="minorHAnsi"/>
              </w:rPr>
              <w:t>a toto řešení nepovede ke zhoršení oproti stávajícímu stavu.</w:t>
            </w:r>
          </w:p>
          <w:p w14:paraId="2597DDE6" w14:textId="4963AFE5" w:rsidR="00D0545F" w:rsidRPr="00DA4ACD" w:rsidRDefault="00983C09" w:rsidP="00615EE2">
            <w:pPr>
              <w:rPr>
                <w:rFonts w:cstheme="minorHAnsi"/>
              </w:rPr>
            </w:pPr>
            <w:r w:rsidRPr="00DA4ACD">
              <w:rPr>
                <w:rFonts w:cstheme="minorHAnsi"/>
                <w:i/>
                <w:iCs/>
                <w:color w:val="00B050"/>
                <w:sz w:val="18"/>
                <w:szCs w:val="18"/>
              </w:rPr>
              <w:t>Doplňte,</w:t>
            </w:r>
            <w:r w:rsidR="00D0545F">
              <w:rPr>
                <w:rFonts w:cstheme="minorHAnsi"/>
                <w:i/>
                <w:iCs/>
                <w:color w:val="00B050"/>
                <w:sz w:val="18"/>
                <w:szCs w:val="18"/>
              </w:rPr>
              <w:t xml:space="preserve"> </w:t>
            </w:r>
            <w:r w:rsidRPr="00DA4ACD">
              <w:rPr>
                <w:rFonts w:cstheme="minorHAnsi"/>
                <w:i/>
                <w:iCs/>
                <w:color w:val="00B050"/>
                <w:sz w:val="18"/>
                <w:szCs w:val="18"/>
              </w:rPr>
              <w:t xml:space="preserve">jak </w:t>
            </w:r>
            <w:r>
              <w:rPr>
                <w:rFonts w:cstheme="minorHAnsi"/>
                <w:i/>
                <w:iCs/>
                <w:color w:val="00B050"/>
                <w:sz w:val="18"/>
                <w:szCs w:val="18"/>
              </w:rPr>
              <w:t>konkrétně</w:t>
            </w:r>
            <w:r w:rsidR="00D0545F">
              <w:rPr>
                <w:rFonts w:cstheme="minorHAnsi"/>
                <w:i/>
                <w:iCs/>
                <w:color w:val="00B050"/>
                <w:sz w:val="18"/>
                <w:szCs w:val="18"/>
              </w:rPr>
              <w:t xml:space="preserve"> </w:t>
            </w:r>
            <w:r w:rsidR="00D0545F" w:rsidRPr="00DA4ACD">
              <w:rPr>
                <w:rFonts w:cstheme="minorHAnsi"/>
                <w:i/>
                <w:iCs/>
                <w:color w:val="00B050"/>
                <w:sz w:val="18"/>
                <w:szCs w:val="18"/>
              </w:rPr>
              <w:t>uplatňujete zásadu DNSH</w:t>
            </w:r>
            <w:r w:rsidR="00D0545F">
              <w:rPr>
                <w:rFonts w:cstheme="minorHAnsi"/>
                <w:i/>
                <w:iCs/>
                <w:color w:val="00B050"/>
                <w:sz w:val="18"/>
                <w:szCs w:val="18"/>
              </w:rPr>
              <w:t xml:space="preserve"> v souvislosti s tímto cílem a v souladu s výše uvedeným</w:t>
            </w:r>
          </w:p>
        </w:tc>
        <w:tc>
          <w:tcPr>
            <w:tcW w:w="2969" w:type="dxa"/>
          </w:tcPr>
          <w:p w14:paraId="4E287AB3" w14:textId="346D4FE3" w:rsidR="00D0545F" w:rsidRDefault="00D0545F" w:rsidP="00D0545F">
            <w:pPr>
              <w:pStyle w:val="Odstavecseseznamem"/>
              <w:widowControl/>
              <w:numPr>
                <w:ilvl w:val="0"/>
                <w:numId w:val="9"/>
              </w:numPr>
              <w:autoSpaceDE/>
              <w:autoSpaceDN/>
              <w:spacing w:after="120" w:line="264" w:lineRule="auto"/>
              <w:jc w:val="both"/>
              <w:rPr>
                <w:rFonts w:asciiTheme="minorHAnsi" w:hAnsiTheme="minorHAnsi" w:cstheme="minorHAnsi"/>
              </w:rPr>
            </w:pPr>
            <w:r w:rsidRPr="00DA4ACD">
              <w:rPr>
                <w:rFonts w:asciiTheme="minorHAnsi" w:hAnsiTheme="minorHAnsi" w:cstheme="minorHAnsi"/>
              </w:rPr>
              <w:lastRenderedPageBreak/>
              <w:t xml:space="preserve">Renovace </w:t>
            </w:r>
            <w:r w:rsidR="00983C09" w:rsidRPr="00DA4ACD">
              <w:rPr>
                <w:rFonts w:asciiTheme="minorHAnsi" w:hAnsiTheme="minorHAnsi" w:cstheme="minorHAnsi"/>
              </w:rPr>
              <w:t>budov – spotřebiče</w:t>
            </w:r>
            <w:r w:rsidRPr="00DA4ACD">
              <w:rPr>
                <w:rFonts w:asciiTheme="minorHAnsi" w:hAnsiTheme="minorHAnsi" w:cstheme="minorHAnsi"/>
              </w:rPr>
              <w:t xml:space="preserve"> vody budou v souladu s aktuálními standardy, které zajišťují, že se nebude jednat o nešetrné nakládání s vodami </w:t>
            </w:r>
            <w:r w:rsidR="00EF5F1B">
              <w:rPr>
                <w:rFonts w:asciiTheme="minorHAnsi" w:hAnsiTheme="minorHAnsi" w:cstheme="minorHAnsi"/>
              </w:rPr>
              <w:br/>
            </w:r>
            <w:r w:rsidRPr="00DA4ACD">
              <w:rPr>
                <w:rFonts w:asciiTheme="minorHAnsi" w:hAnsiTheme="minorHAnsi" w:cstheme="minorHAnsi"/>
              </w:rPr>
              <w:t>a toto řešení nepovede ke zhoršení oproti stávajícímu stavu.</w:t>
            </w:r>
          </w:p>
          <w:p w14:paraId="01F7FD12" w14:textId="64A8A7BE" w:rsidR="00D0545F" w:rsidRPr="00DA4ACD" w:rsidRDefault="00D0545F" w:rsidP="00D0545F">
            <w:pPr>
              <w:pStyle w:val="Odstavecseseznamem"/>
              <w:widowControl/>
              <w:numPr>
                <w:ilvl w:val="0"/>
                <w:numId w:val="9"/>
              </w:numPr>
              <w:autoSpaceDE/>
              <w:autoSpaceDN/>
              <w:spacing w:after="120" w:line="264" w:lineRule="auto"/>
              <w:jc w:val="both"/>
              <w:rPr>
                <w:rFonts w:asciiTheme="minorHAnsi" w:hAnsiTheme="minorHAnsi" w:cstheme="minorHAnsi"/>
              </w:rPr>
            </w:pPr>
            <w:r w:rsidRPr="00DA4ACD">
              <w:rPr>
                <w:rFonts w:asciiTheme="minorHAnsi" w:hAnsiTheme="minorHAnsi" w:cstheme="minorHAnsi"/>
              </w:rPr>
              <w:lastRenderedPageBreak/>
              <w:t xml:space="preserve"> Stavby </w:t>
            </w:r>
            <w:r w:rsidR="00983C09" w:rsidRPr="00DA4ACD">
              <w:rPr>
                <w:rFonts w:asciiTheme="minorHAnsi" w:hAnsiTheme="minorHAnsi" w:cstheme="minorHAnsi"/>
              </w:rPr>
              <w:t>budov – spotřebiče</w:t>
            </w:r>
            <w:r w:rsidRPr="00DA4ACD">
              <w:rPr>
                <w:rFonts w:asciiTheme="minorHAnsi" w:hAnsiTheme="minorHAnsi" w:cstheme="minorHAnsi"/>
              </w:rPr>
              <w:t xml:space="preserve"> vody budou v souladu s aktuálními standardy, které zajišťují, že se nebude jednat o nešetrné nakládání s vodami </w:t>
            </w:r>
            <w:r w:rsidR="00EF5F1B">
              <w:rPr>
                <w:rFonts w:asciiTheme="minorHAnsi" w:hAnsiTheme="minorHAnsi" w:cstheme="minorHAnsi"/>
              </w:rPr>
              <w:br/>
            </w:r>
            <w:r w:rsidRPr="00DA4ACD">
              <w:rPr>
                <w:rFonts w:asciiTheme="minorHAnsi" w:hAnsiTheme="minorHAnsi" w:cstheme="minorHAnsi"/>
              </w:rPr>
              <w:t>a toto řešení nepovede ke zhoršení oproti stávajícímu stavu.</w:t>
            </w:r>
          </w:p>
          <w:p w14:paraId="21B45F6D" w14:textId="77777777" w:rsidR="00D0545F" w:rsidRDefault="00D0545F" w:rsidP="00615EE2">
            <w:pPr>
              <w:rPr>
                <w:rFonts w:cstheme="minorHAnsi"/>
                <w:i/>
                <w:iCs/>
                <w:color w:val="00B050"/>
                <w:sz w:val="18"/>
                <w:szCs w:val="18"/>
              </w:rPr>
            </w:pPr>
          </w:p>
          <w:p w14:paraId="1FBDA1CF" w14:textId="0909BC63" w:rsidR="00D0545F" w:rsidRPr="00DA4ACD" w:rsidRDefault="00983C09" w:rsidP="00615EE2">
            <w:pPr>
              <w:rPr>
                <w:rFonts w:cstheme="minorHAnsi"/>
              </w:rPr>
            </w:pPr>
            <w:r w:rsidRPr="00DA4ACD">
              <w:rPr>
                <w:rFonts w:cstheme="minorHAnsi"/>
                <w:i/>
                <w:iCs/>
                <w:color w:val="00B050"/>
                <w:sz w:val="18"/>
                <w:szCs w:val="18"/>
              </w:rPr>
              <w:t>Doplňte,</w:t>
            </w:r>
            <w:r w:rsidR="00D0545F">
              <w:rPr>
                <w:rFonts w:cstheme="minorHAnsi"/>
                <w:i/>
                <w:iCs/>
                <w:color w:val="00B050"/>
                <w:sz w:val="18"/>
                <w:szCs w:val="18"/>
              </w:rPr>
              <w:t xml:space="preserve"> </w:t>
            </w:r>
            <w:r w:rsidRPr="00DA4ACD">
              <w:rPr>
                <w:rFonts w:cstheme="minorHAnsi"/>
                <w:i/>
                <w:iCs/>
                <w:color w:val="00B050"/>
                <w:sz w:val="18"/>
                <w:szCs w:val="18"/>
              </w:rPr>
              <w:t xml:space="preserve">jak </w:t>
            </w:r>
            <w:r>
              <w:rPr>
                <w:rFonts w:cstheme="minorHAnsi"/>
                <w:i/>
                <w:iCs/>
                <w:color w:val="00B050"/>
                <w:sz w:val="18"/>
                <w:szCs w:val="18"/>
              </w:rPr>
              <w:t>konkrétně</w:t>
            </w:r>
            <w:r w:rsidR="00D0545F">
              <w:rPr>
                <w:rFonts w:cstheme="minorHAnsi"/>
                <w:i/>
                <w:iCs/>
                <w:color w:val="00B050"/>
                <w:sz w:val="18"/>
                <w:szCs w:val="18"/>
              </w:rPr>
              <w:t xml:space="preserve"> </w:t>
            </w:r>
            <w:r w:rsidR="00D0545F" w:rsidRPr="00DA4ACD">
              <w:rPr>
                <w:rFonts w:cstheme="minorHAnsi"/>
                <w:i/>
                <w:iCs/>
                <w:color w:val="00B050"/>
                <w:sz w:val="18"/>
                <w:szCs w:val="18"/>
              </w:rPr>
              <w:t>uplatňujete zásadu DNSH</w:t>
            </w:r>
            <w:r w:rsidR="00D0545F">
              <w:rPr>
                <w:rFonts w:cstheme="minorHAnsi"/>
                <w:i/>
                <w:iCs/>
                <w:color w:val="00B050"/>
                <w:sz w:val="18"/>
                <w:szCs w:val="18"/>
              </w:rPr>
              <w:t xml:space="preserve"> v souvislosti s tímto cílem a v souladu s výše uvedeným</w:t>
            </w:r>
          </w:p>
        </w:tc>
      </w:tr>
      <w:tr w:rsidR="00D0545F" w:rsidRPr="004B7A0E" w14:paraId="1DC6E2BE" w14:textId="77777777" w:rsidTr="00615EE2">
        <w:tc>
          <w:tcPr>
            <w:tcW w:w="2546" w:type="dxa"/>
            <w:shd w:val="clear" w:color="auto" w:fill="auto"/>
          </w:tcPr>
          <w:p w14:paraId="0274FB63" w14:textId="77777777" w:rsidR="00D0545F" w:rsidRPr="004B7A0E" w:rsidRDefault="00D0545F" w:rsidP="00615EE2">
            <w:pPr>
              <w:rPr>
                <w:rFonts w:cstheme="minorHAnsi"/>
              </w:rPr>
            </w:pPr>
            <w:r w:rsidRPr="004B7A0E">
              <w:rPr>
                <w:rFonts w:cstheme="minorHAnsi"/>
              </w:rPr>
              <w:lastRenderedPageBreak/>
              <w:t>Oběhové hospodářství včetně předcházení vzniku odpadů a recyklace</w:t>
            </w:r>
          </w:p>
        </w:tc>
        <w:tc>
          <w:tcPr>
            <w:tcW w:w="693" w:type="dxa"/>
            <w:shd w:val="clear" w:color="auto" w:fill="auto"/>
          </w:tcPr>
          <w:p w14:paraId="5CDCA735" w14:textId="77777777" w:rsidR="00D0545F" w:rsidRPr="004B7A0E" w:rsidRDefault="00D0545F" w:rsidP="00615EE2">
            <w:pPr>
              <w:rPr>
                <w:rFonts w:cstheme="minorHAnsi"/>
              </w:rPr>
            </w:pPr>
          </w:p>
        </w:tc>
        <w:tc>
          <w:tcPr>
            <w:tcW w:w="644" w:type="dxa"/>
            <w:shd w:val="clear" w:color="auto" w:fill="auto"/>
          </w:tcPr>
          <w:p w14:paraId="18077679" w14:textId="77777777" w:rsidR="00D0545F" w:rsidRPr="004B7A0E" w:rsidRDefault="00D0545F" w:rsidP="00615EE2">
            <w:pPr>
              <w:rPr>
                <w:rFonts w:cstheme="minorHAnsi"/>
              </w:rPr>
            </w:pPr>
          </w:p>
        </w:tc>
        <w:tc>
          <w:tcPr>
            <w:tcW w:w="2916" w:type="dxa"/>
            <w:shd w:val="clear" w:color="auto" w:fill="auto"/>
          </w:tcPr>
          <w:p w14:paraId="7158BEBF" w14:textId="24733B41" w:rsidR="00D0545F" w:rsidRDefault="00D0545F" w:rsidP="00615EE2">
            <w:pPr>
              <w:rPr>
                <w:rFonts w:cstheme="minorHAnsi"/>
              </w:rPr>
            </w:pPr>
            <w:r w:rsidRPr="00AD53BC">
              <w:rPr>
                <w:rFonts w:cstheme="minorHAnsi"/>
              </w:rPr>
              <w:t>a)</w:t>
            </w:r>
            <w:r w:rsidR="000D6569">
              <w:rPr>
                <w:rFonts w:cstheme="minorHAnsi"/>
              </w:rPr>
              <w:t xml:space="preserve"> </w:t>
            </w:r>
            <w:r w:rsidRPr="00AD53BC">
              <w:rPr>
                <w:rFonts w:cstheme="minorHAnsi"/>
              </w:rPr>
              <w:t>Renovace budov-</w:t>
            </w:r>
            <w:r w:rsidR="000D6569">
              <w:rPr>
                <w:rFonts w:cstheme="minorHAnsi"/>
              </w:rPr>
              <w:br/>
            </w:r>
            <w:r w:rsidRPr="00AD53BC">
              <w:rPr>
                <w:rFonts w:cstheme="minorHAnsi"/>
              </w:rPr>
              <w:t>v projektech bude využit také recyklovaný stavební</w:t>
            </w:r>
            <w:r w:rsidR="009836C2">
              <w:rPr>
                <w:rFonts w:cstheme="minorHAnsi"/>
              </w:rPr>
              <w:t xml:space="preserve"> </w:t>
            </w:r>
            <w:r w:rsidRPr="00AD53BC">
              <w:rPr>
                <w:rFonts w:cstheme="minorHAnsi"/>
              </w:rPr>
              <w:t xml:space="preserve">materiál, bude zajištěno, že stavební materiál bude recyklovatelný po ukončení investice.   </w:t>
            </w:r>
          </w:p>
          <w:p w14:paraId="749A8777" w14:textId="77A7392B" w:rsidR="00D0545F" w:rsidRDefault="00D0545F" w:rsidP="00615EE2">
            <w:pPr>
              <w:rPr>
                <w:rFonts w:cstheme="minorHAnsi"/>
              </w:rPr>
            </w:pPr>
            <w:r w:rsidRPr="00AD53BC">
              <w:rPr>
                <w:rFonts w:cstheme="minorHAnsi"/>
              </w:rPr>
              <w:t xml:space="preserve">  b) Stavby budov</w:t>
            </w:r>
            <w:r w:rsidR="009836C2">
              <w:rPr>
                <w:rFonts w:cstheme="minorHAnsi"/>
              </w:rPr>
              <w:t xml:space="preserve"> </w:t>
            </w:r>
            <w:r w:rsidRPr="00AD53BC">
              <w:rPr>
                <w:rFonts w:cstheme="minorHAnsi"/>
              </w:rPr>
              <w:t>v projektech bude využit také recyklovaný stavební materiál, bude</w:t>
            </w:r>
            <w:r w:rsidR="009836C2">
              <w:rPr>
                <w:rFonts w:cstheme="minorHAnsi"/>
              </w:rPr>
              <w:t xml:space="preserve"> </w:t>
            </w:r>
            <w:r w:rsidRPr="00AD53BC">
              <w:rPr>
                <w:rFonts w:cstheme="minorHAnsi"/>
              </w:rPr>
              <w:t xml:space="preserve">zajištěno, že stavební materiál bude recyklovatelný po ukončení investice.    </w:t>
            </w:r>
          </w:p>
          <w:p w14:paraId="674BD797" w14:textId="77777777" w:rsidR="00D0545F" w:rsidRDefault="00D0545F" w:rsidP="00615EE2">
            <w:pPr>
              <w:rPr>
                <w:rFonts w:cstheme="minorHAnsi"/>
              </w:rPr>
            </w:pPr>
          </w:p>
          <w:p w14:paraId="639AA354" w14:textId="77777777" w:rsidR="00D0545F" w:rsidRDefault="00D0545F" w:rsidP="00615EE2">
            <w:pPr>
              <w:rPr>
                <w:rFonts w:cstheme="minorHAnsi"/>
              </w:rPr>
            </w:pPr>
          </w:p>
          <w:p w14:paraId="0EA9BB9E" w14:textId="77777777" w:rsidR="00B132E0" w:rsidRDefault="00B132E0" w:rsidP="00615EE2">
            <w:pPr>
              <w:rPr>
                <w:rFonts w:cstheme="minorHAnsi"/>
                <w:i/>
                <w:iCs/>
                <w:color w:val="00B050"/>
                <w:sz w:val="18"/>
                <w:szCs w:val="18"/>
              </w:rPr>
            </w:pPr>
          </w:p>
          <w:p w14:paraId="339F2591" w14:textId="77777777" w:rsidR="00B132E0" w:rsidRDefault="00B132E0" w:rsidP="00615EE2">
            <w:pPr>
              <w:rPr>
                <w:rFonts w:cstheme="minorHAnsi"/>
                <w:i/>
                <w:iCs/>
                <w:color w:val="00B050"/>
                <w:sz w:val="18"/>
                <w:szCs w:val="18"/>
              </w:rPr>
            </w:pPr>
          </w:p>
          <w:p w14:paraId="393B32A5" w14:textId="77777777" w:rsidR="00B132E0" w:rsidRDefault="00B132E0" w:rsidP="00615EE2">
            <w:pPr>
              <w:rPr>
                <w:rFonts w:cstheme="minorHAnsi"/>
                <w:i/>
                <w:iCs/>
                <w:color w:val="00B050"/>
                <w:sz w:val="18"/>
                <w:szCs w:val="18"/>
              </w:rPr>
            </w:pPr>
          </w:p>
          <w:p w14:paraId="3E78C7CD" w14:textId="7B7100DE" w:rsidR="00D0545F" w:rsidRPr="004B7A0E" w:rsidRDefault="00983C09" w:rsidP="00615EE2">
            <w:pPr>
              <w:rPr>
                <w:rFonts w:cstheme="minorHAnsi"/>
              </w:rPr>
            </w:pPr>
            <w:r w:rsidRPr="00DA4ACD">
              <w:rPr>
                <w:rFonts w:cstheme="minorHAnsi"/>
                <w:i/>
                <w:iCs/>
                <w:color w:val="00B050"/>
                <w:sz w:val="18"/>
                <w:szCs w:val="18"/>
              </w:rPr>
              <w:t>Doplňte,</w:t>
            </w:r>
            <w:r w:rsidR="00D0545F">
              <w:rPr>
                <w:rFonts w:cstheme="minorHAnsi"/>
                <w:i/>
                <w:iCs/>
                <w:color w:val="00B050"/>
                <w:sz w:val="18"/>
                <w:szCs w:val="18"/>
              </w:rPr>
              <w:t xml:space="preserve"> </w:t>
            </w:r>
            <w:r w:rsidRPr="00DA4ACD">
              <w:rPr>
                <w:rFonts w:cstheme="minorHAnsi"/>
                <w:i/>
                <w:iCs/>
                <w:color w:val="00B050"/>
                <w:sz w:val="18"/>
                <w:szCs w:val="18"/>
              </w:rPr>
              <w:t xml:space="preserve">jak </w:t>
            </w:r>
            <w:r>
              <w:rPr>
                <w:rFonts w:cstheme="minorHAnsi"/>
                <w:i/>
                <w:iCs/>
                <w:color w:val="00B050"/>
                <w:sz w:val="18"/>
                <w:szCs w:val="18"/>
              </w:rPr>
              <w:t>konkrétně</w:t>
            </w:r>
            <w:r w:rsidR="00D0545F">
              <w:rPr>
                <w:rFonts w:cstheme="minorHAnsi"/>
                <w:i/>
                <w:iCs/>
                <w:color w:val="00B050"/>
                <w:sz w:val="18"/>
                <w:szCs w:val="18"/>
              </w:rPr>
              <w:t xml:space="preserve"> </w:t>
            </w:r>
            <w:r w:rsidR="00D0545F" w:rsidRPr="00DA4ACD">
              <w:rPr>
                <w:rFonts w:cstheme="minorHAnsi"/>
                <w:i/>
                <w:iCs/>
                <w:color w:val="00B050"/>
                <w:sz w:val="18"/>
                <w:szCs w:val="18"/>
              </w:rPr>
              <w:t>uplatňujete zásadu DNSH</w:t>
            </w:r>
            <w:r w:rsidR="00D0545F">
              <w:rPr>
                <w:rFonts w:cstheme="minorHAnsi"/>
                <w:i/>
                <w:iCs/>
                <w:color w:val="00B050"/>
                <w:sz w:val="18"/>
                <w:szCs w:val="18"/>
              </w:rPr>
              <w:t xml:space="preserve"> v souvislosti s tímto cílem a v souladu s výše uvedeným</w:t>
            </w:r>
            <w:r w:rsidR="00D0545F" w:rsidRPr="00AD53BC">
              <w:rPr>
                <w:rFonts w:cstheme="minorHAnsi"/>
              </w:rPr>
              <w:t xml:space="preserve"> </w:t>
            </w:r>
          </w:p>
        </w:tc>
        <w:tc>
          <w:tcPr>
            <w:tcW w:w="2969" w:type="dxa"/>
          </w:tcPr>
          <w:p w14:paraId="3A95C7BC" w14:textId="6AD7006B" w:rsidR="00D0545F" w:rsidRDefault="00D0545F" w:rsidP="00615EE2">
            <w:pPr>
              <w:rPr>
                <w:rFonts w:cstheme="minorHAnsi"/>
              </w:rPr>
            </w:pPr>
            <w:r w:rsidRPr="00AD53BC">
              <w:rPr>
                <w:rFonts w:cstheme="minorHAnsi"/>
              </w:rPr>
              <w:t>a) Renovace budov</w:t>
            </w:r>
            <w:r w:rsidR="009836C2">
              <w:rPr>
                <w:rFonts w:cstheme="minorHAnsi"/>
              </w:rPr>
              <w:t xml:space="preserve"> -</w:t>
            </w:r>
            <w:r w:rsidR="009836C2">
              <w:rPr>
                <w:rFonts w:cstheme="minorHAnsi"/>
              </w:rPr>
              <w:br/>
            </w:r>
            <w:r w:rsidRPr="00AD53BC">
              <w:rPr>
                <w:rFonts w:cstheme="minorHAnsi"/>
              </w:rPr>
              <w:t xml:space="preserve">v projektech bude využit také recyklovaný stavební materiál, bude zajištěno, že stavební materiál bude recyklovatelný po ukončení investice.   </w:t>
            </w:r>
          </w:p>
          <w:p w14:paraId="1F1C3CFC" w14:textId="5BD6BA27" w:rsidR="00D0545F" w:rsidRDefault="00D0545F" w:rsidP="00615EE2">
            <w:pPr>
              <w:rPr>
                <w:rFonts w:cstheme="minorHAnsi"/>
              </w:rPr>
            </w:pPr>
            <w:r w:rsidRPr="00AD53BC">
              <w:rPr>
                <w:rFonts w:cstheme="minorHAnsi"/>
              </w:rPr>
              <w:t xml:space="preserve">  b) Stavby budov</w:t>
            </w:r>
            <w:r w:rsidR="009836C2">
              <w:rPr>
                <w:rFonts w:cstheme="minorHAnsi"/>
              </w:rPr>
              <w:t xml:space="preserve"> - </w:t>
            </w:r>
            <w:r w:rsidR="009836C2">
              <w:rPr>
                <w:rFonts w:cstheme="minorHAnsi"/>
              </w:rPr>
              <w:br/>
            </w:r>
            <w:r w:rsidRPr="00AD53BC">
              <w:rPr>
                <w:rFonts w:cstheme="minorHAnsi"/>
              </w:rPr>
              <w:t xml:space="preserve">v projektech bude využit také recyklovaný stavební materiál, bude zajištěno, že stavební materiál bude recyklovatelný po ukončení investice.  </w:t>
            </w:r>
          </w:p>
          <w:p w14:paraId="195C402E" w14:textId="74909CA9" w:rsidR="00D0545F" w:rsidRDefault="00D0545F" w:rsidP="00615EE2">
            <w:pPr>
              <w:rPr>
                <w:rFonts w:cstheme="minorHAnsi"/>
              </w:rPr>
            </w:pPr>
            <w:r w:rsidRPr="00AD53BC">
              <w:rPr>
                <w:rFonts w:cstheme="minorHAnsi"/>
              </w:rPr>
              <w:t xml:space="preserve">  c)</w:t>
            </w:r>
            <w:r w:rsidR="009836C2">
              <w:rPr>
                <w:rFonts w:cstheme="minorHAnsi"/>
              </w:rPr>
              <w:t xml:space="preserve"> </w:t>
            </w:r>
            <w:r w:rsidRPr="00AD53BC">
              <w:rPr>
                <w:rFonts w:cstheme="minorHAnsi"/>
              </w:rPr>
              <w:t xml:space="preserve">Nákup elektromobilů a aut na vodíkový pohon-investice zajistí řádnou likvidaci vozidel dle požadavků daných legislativou na autovraky, </w:t>
            </w:r>
            <w:r w:rsidR="00EF5F1B">
              <w:rPr>
                <w:rFonts w:cstheme="minorHAnsi"/>
              </w:rPr>
              <w:br/>
            </w:r>
            <w:r w:rsidRPr="00AD53BC">
              <w:rPr>
                <w:rFonts w:cstheme="minorHAnsi"/>
              </w:rPr>
              <w:t xml:space="preserve">a tedy i řádnou recyklaci daných částí vozidel, a řádnou likvidaci např. baterií.  </w:t>
            </w:r>
          </w:p>
          <w:p w14:paraId="0316D3C5" w14:textId="3E3DE7B2" w:rsidR="00D0545F" w:rsidRPr="004B7A0E" w:rsidRDefault="00983C09" w:rsidP="00615EE2">
            <w:pPr>
              <w:rPr>
                <w:rFonts w:cstheme="minorHAnsi"/>
              </w:rPr>
            </w:pPr>
            <w:r w:rsidRPr="00DA4ACD">
              <w:rPr>
                <w:rFonts w:cstheme="minorHAnsi"/>
                <w:i/>
                <w:iCs/>
                <w:color w:val="00B050"/>
                <w:sz w:val="18"/>
                <w:szCs w:val="18"/>
              </w:rPr>
              <w:t>Doplňte,</w:t>
            </w:r>
            <w:r w:rsidR="00D0545F">
              <w:rPr>
                <w:rFonts w:cstheme="minorHAnsi"/>
                <w:i/>
                <w:iCs/>
                <w:color w:val="00B050"/>
                <w:sz w:val="18"/>
                <w:szCs w:val="18"/>
              </w:rPr>
              <w:t xml:space="preserve"> </w:t>
            </w:r>
            <w:r w:rsidRPr="00DA4ACD">
              <w:rPr>
                <w:rFonts w:cstheme="minorHAnsi"/>
                <w:i/>
                <w:iCs/>
                <w:color w:val="00B050"/>
                <w:sz w:val="18"/>
                <w:szCs w:val="18"/>
              </w:rPr>
              <w:t xml:space="preserve">jak </w:t>
            </w:r>
            <w:r>
              <w:rPr>
                <w:rFonts w:cstheme="minorHAnsi"/>
                <w:i/>
                <w:iCs/>
                <w:color w:val="00B050"/>
                <w:sz w:val="18"/>
                <w:szCs w:val="18"/>
              </w:rPr>
              <w:t>konkrétně</w:t>
            </w:r>
            <w:r w:rsidR="00D0545F">
              <w:rPr>
                <w:rFonts w:cstheme="minorHAnsi"/>
                <w:i/>
                <w:iCs/>
                <w:color w:val="00B050"/>
                <w:sz w:val="18"/>
                <w:szCs w:val="18"/>
              </w:rPr>
              <w:t xml:space="preserve"> </w:t>
            </w:r>
            <w:r w:rsidR="00D0545F" w:rsidRPr="00DA4ACD">
              <w:rPr>
                <w:rFonts w:cstheme="minorHAnsi"/>
                <w:i/>
                <w:iCs/>
                <w:color w:val="00B050"/>
                <w:sz w:val="18"/>
                <w:szCs w:val="18"/>
              </w:rPr>
              <w:t>uplatňujete zásadu DNSH</w:t>
            </w:r>
            <w:r w:rsidR="00D0545F">
              <w:rPr>
                <w:rFonts w:cstheme="minorHAnsi"/>
                <w:i/>
                <w:iCs/>
                <w:color w:val="00B050"/>
                <w:sz w:val="18"/>
                <w:szCs w:val="18"/>
              </w:rPr>
              <w:t xml:space="preserve"> v souvislosti s tímto cílem a v souladu s výše uvedeným</w:t>
            </w:r>
          </w:p>
        </w:tc>
      </w:tr>
      <w:tr w:rsidR="00D0545F" w:rsidRPr="004B7A0E" w14:paraId="25420A14" w14:textId="77777777" w:rsidTr="00615EE2">
        <w:tc>
          <w:tcPr>
            <w:tcW w:w="2546" w:type="dxa"/>
            <w:shd w:val="clear" w:color="auto" w:fill="auto"/>
          </w:tcPr>
          <w:p w14:paraId="71F55303" w14:textId="77777777" w:rsidR="00D0545F" w:rsidRPr="004B7A0E" w:rsidRDefault="00D0545F" w:rsidP="00615EE2">
            <w:pPr>
              <w:rPr>
                <w:rFonts w:cstheme="minorHAnsi"/>
              </w:rPr>
            </w:pPr>
            <w:r w:rsidRPr="004B7A0E">
              <w:rPr>
                <w:rFonts w:cstheme="minorHAnsi"/>
              </w:rPr>
              <w:t>Prevence a omezování znečištění ovzduší, vody nebo krajiny</w:t>
            </w:r>
          </w:p>
        </w:tc>
        <w:tc>
          <w:tcPr>
            <w:tcW w:w="693" w:type="dxa"/>
            <w:shd w:val="clear" w:color="auto" w:fill="auto"/>
          </w:tcPr>
          <w:p w14:paraId="6B7E8F93" w14:textId="77777777" w:rsidR="00D0545F" w:rsidRPr="004B7A0E" w:rsidRDefault="00D0545F" w:rsidP="00615EE2">
            <w:pPr>
              <w:rPr>
                <w:rFonts w:cstheme="minorHAnsi"/>
              </w:rPr>
            </w:pPr>
          </w:p>
        </w:tc>
        <w:tc>
          <w:tcPr>
            <w:tcW w:w="644" w:type="dxa"/>
            <w:shd w:val="clear" w:color="auto" w:fill="auto"/>
          </w:tcPr>
          <w:p w14:paraId="7156F369" w14:textId="77777777" w:rsidR="00D0545F" w:rsidRPr="004B7A0E" w:rsidRDefault="00D0545F" w:rsidP="00615EE2">
            <w:pPr>
              <w:rPr>
                <w:rFonts w:cstheme="minorHAnsi"/>
              </w:rPr>
            </w:pPr>
          </w:p>
        </w:tc>
        <w:tc>
          <w:tcPr>
            <w:tcW w:w="2916" w:type="dxa"/>
            <w:shd w:val="clear" w:color="auto" w:fill="auto"/>
          </w:tcPr>
          <w:p w14:paraId="2FC4EA79" w14:textId="61427E7A" w:rsidR="00D0545F" w:rsidRPr="00384DD8" w:rsidRDefault="00D0545F" w:rsidP="00D0545F">
            <w:pPr>
              <w:pStyle w:val="Odstavecseseznamem"/>
              <w:widowControl/>
              <w:numPr>
                <w:ilvl w:val="0"/>
                <w:numId w:val="10"/>
              </w:numPr>
              <w:autoSpaceDE/>
              <w:autoSpaceDN/>
              <w:spacing w:after="120" w:line="264" w:lineRule="auto"/>
              <w:jc w:val="both"/>
              <w:rPr>
                <w:rFonts w:asciiTheme="minorHAnsi" w:hAnsiTheme="minorHAnsi" w:cstheme="minorHAnsi"/>
              </w:rPr>
            </w:pPr>
            <w:r w:rsidRPr="00384DD8">
              <w:rPr>
                <w:rFonts w:asciiTheme="minorHAnsi" w:hAnsiTheme="minorHAnsi" w:cstheme="minorHAnsi"/>
              </w:rPr>
              <w:t xml:space="preserve">Rekonstrukce budov-Investice neobsahuje a nebude využívat nebezpečné látky </w:t>
            </w:r>
            <w:r w:rsidR="00EF5F1B">
              <w:rPr>
                <w:rFonts w:asciiTheme="minorHAnsi" w:hAnsiTheme="minorHAnsi" w:cstheme="minorHAnsi"/>
              </w:rPr>
              <w:br/>
            </w:r>
            <w:r w:rsidRPr="00384DD8">
              <w:rPr>
                <w:rFonts w:asciiTheme="minorHAnsi" w:hAnsiTheme="minorHAnsi" w:cstheme="minorHAnsi"/>
              </w:rPr>
              <w:t xml:space="preserve">a chemikálie a látky </w:t>
            </w:r>
            <w:r w:rsidRPr="00384DD8">
              <w:rPr>
                <w:rFonts w:asciiTheme="minorHAnsi" w:hAnsiTheme="minorHAnsi" w:cstheme="minorHAnsi"/>
              </w:rPr>
              <w:lastRenderedPageBreak/>
              <w:t>vzbuzující</w:t>
            </w:r>
            <w:r w:rsidR="009836C2">
              <w:rPr>
                <w:rFonts w:asciiTheme="minorHAnsi" w:hAnsiTheme="minorHAnsi" w:cstheme="minorHAnsi"/>
              </w:rPr>
              <w:t xml:space="preserve"> </w:t>
            </w:r>
            <w:r w:rsidRPr="00384DD8">
              <w:rPr>
                <w:rFonts w:asciiTheme="minorHAnsi" w:hAnsiTheme="minorHAnsi" w:cstheme="minorHAnsi"/>
              </w:rPr>
              <w:t xml:space="preserve">mimořádnou obavu dle REACH. Zejména nebude využit azbest při výstavbě </w:t>
            </w:r>
            <w:r w:rsidR="00EF5F1B">
              <w:rPr>
                <w:rFonts w:asciiTheme="minorHAnsi" w:hAnsiTheme="minorHAnsi" w:cstheme="minorHAnsi"/>
              </w:rPr>
              <w:br/>
            </w:r>
            <w:r w:rsidRPr="00384DD8">
              <w:rPr>
                <w:rFonts w:asciiTheme="minorHAnsi" w:hAnsiTheme="minorHAnsi" w:cstheme="minorHAnsi"/>
              </w:rPr>
              <w:t xml:space="preserve">a rekonstrukcích budov a bude zajištěna jeho řádné odstranění u starších staveb. Zároveň </w:t>
            </w:r>
            <w:r w:rsidR="00EF5F1B">
              <w:rPr>
                <w:rFonts w:asciiTheme="minorHAnsi" w:hAnsiTheme="minorHAnsi" w:cstheme="minorHAnsi"/>
              </w:rPr>
              <w:br/>
            </w:r>
            <w:r w:rsidRPr="00384DD8">
              <w:rPr>
                <w:rFonts w:asciiTheme="minorHAnsi" w:hAnsiTheme="minorHAnsi" w:cstheme="minorHAnsi"/>
              </w:rPr>
              <w:t>v případě renovací nebudou materiály vypouštět do obývaného prostředí více než 0,06 mg formaldehydu na m3 a 0,001 mg na m3 karcinogenních těkavých</w:t>
            </w:r>
            <w:r w:rsidR="009836C2">
              <w:rPr>
                <w:rFonts w:asciiTheme="minorHAnsi" w:hAnsiTheme="minorHAnsi" w:cstheme="minorHAnsi"/>
              </w:rPr>
              <w:t xml:space="preserve"> </w:t>
            </w:r>
            <w:r w:rsidRPr="00384DD8">
              <w:rPr>
                <w:rFonts w:asciiTheme="minorHAnsi" w:hAnsiTheme="minorHAnsi" w:cstheme="minorHAnsi"/>
              </w:rPr>
              <w:t xml:space="preserve">organických látek kategorie </w:t>
            </w:r>
            <w:proofErr w:type="gramStart"/>
            <w:r w:rsidRPr="00384DD8">
              <w:rPr>
                <w:rFonts w:asciiTheme="minorHAnsi" w:hAnsiTheme="minorHAnsi" w:cstheme="minorHAnsi"/>
              </w:rPr>
              <w:t>1A</w:t>
            </w:r>
            <w:proofErr w:type="gramEnd"/>
            <w:r w:rsidRPr="00384DD8">
              <w:rPr>
                <w:rFonts w:asciiTheme="minorHAnsi" w:hAnsiTheme="minorHAnsi" w:cstheme="minorHAnsi"/>
              </w:rPr>
              <w:t xml:space="preserve"> a 1B. </w:t>
            </w:r>
          </w:p>
          <w:p w14:paraId="3063EA04" w14:textId="3DB874C6" w:rsidR="00D0545F" w:rsidRPr="00384DD8" w:rsidRDefault="00D0545F" w:rsidP="00D0545F">
            <w:pPr>
              <w:pStyle w:val="Odstavecseseznamem"/>
              <w:widowControl/>
              <w:numPr>
                <w:ilvl w:val="0"/>
                <w:numId w:val="10"/>
              </w:numPr>
              <w:autoSpaceDE/>
              <w:autoSpaceDN/>
              <w:spacing w:after="120" w:line="264" w:lineRule="auto"/>
              <w:jc w:val="both"/>
              <w:rPr>
                <w:rFonts w:asciiTheme="minorHAnsi" w:hAnsiTheme="minorHAnsi" w:cstheme="minorHAnsi"/>
              </w:rPr>
            </w:pPr>
            <w:r w:rsidRPr="00384DD8">
              <w:rPr>
                <w:rFonts w:asciiTheme="minorHAnsi" w:hAnsiTheme="minorHAnsi" w:cstheme="minorHAnsi"/>
              </w:rPr>
              <w:t xml:space="preserve">Stavba </w:t>
            </w:r>
            <w:r w:rsidR="00983C09" w:rsidRPr="00384DD8">
              <w:rPr>
                <w:rFonts w:asciiTheme="minorHAnsi" w:hAnsiTheme="minorHAnsi" w:cstheme="minorHAnsi"/>
              </w:rPr>
              <w:t>budov – Investice</w:t>
            </w:r>
            <w:r w:rsidRPr="00384DD8">
              <w:rPr>
                <w:rFonts w:asciiTheme="minorHAnsi" w:hAnsiTheme="minorHAnsi" w:cstheme="minorHAnsi"/>
              </w:rPr>
              <w:t xml:space="preserve"> neobsahuje a nebude využívat nebezpečné látky </w:t>
            </w:r>
            <w:r w:rsidR="00EF5F1B">
              <w:rPr>
                <w:rFonts w:asciiTheme="minorHAnsi" w:hAnsiTheme="minorHAnsi" w:cstheme="minorHAnsi"/>
              </w:rPr>
              <w:br/>
            </w:r>
            <w:r w:rsidRPr="00384DD8">
              <w:rPr>
                <w:rFonts w:asciiTheme="minorHAnsi" w:hAnsiTheme="minorHAnsi" w:cstheme="minorHAnsi"/>
              </w:rPr>
              <w:t xml:space="preserve">a chemikálie a látky vzbuzující mimořádnou obavu dle REACH. Zejména nebude využit azbest při výstavbě </w:t>
            </w:r>
            <w:r w:rsidR="00EF5F1B">
              <w:rPr>
                <w:rFonts w:asciiTheme="minorHAnsi" w:hAnsiTheme="minorHAnsi" w:cstheme="minorHAnsi"/>
              </w:rPr>
              <w:br/>
            </w:r>
            <w:r w:rsidRPr="00384DD8">
              <w:rPr>
                <w:rFonts w:asciiTheme="minorHAnsi" w:hAnsiTheme="minorHAnsi" w:cstheme="minorHAnsi"/>
              </w:rPr>
              <w:t xml:space="preserve">a rekonstrukcích budov a bude zajištěna jeho řádné odstranění u starších staveb. Zároveň v případě renovací nebudou materiály vypouštět do obývaného prostředí více než 0,06 mg formaldehydu na m3 a 0,001 mg na m3 karcinogenních těkavých </w:t>
            </w:r>
            <w:r w:rsidRPr="00384DD8">
              <w:rPr>
                <w:rFonts w:asciiTheme="minorHAnsi" w:hAnsiTheme="minorHAnsi" w:cstheme="minorHAnsi"/>
              </w:rPr>
              <w:lastRenderedPageBreak/>
              <w:t xml:space="preserve">organických látek kategorie </w:t>
            </w:r>
            <w:proofErr w:type="gramStart"/>
            <w:r w:rsidRPr="00384DD8">
              <w:rPr>
                <w:rFonts w:asciiTheme="minorHAnsi" w:hAnsiTheme="minorHAnsi" w:cstheme="minorHAnsi"/>
              </w:rPr>
              <w:t>1A</w:t>
            </w:r>
            <w:proofErr w:type="gramEnd"/>
            <w:r w:rsidRPr="00384DD8">
              <w:rPr>
                <w:rFonts w:asciiTheme="minorHAnsi" w:hAnsiTheme="minorHAnsi" w:cstheme="minorHAnsi"/>
              </w:rPr>
              <w:t xml:space="preserve"> a 1B.</w:t>
            </w:r>
          </w:p>
          <w:p w14:paraId="04156EED" w14:textId="7EE3DA87" w:rsidR="00D0545F" w:rsidRPr="00384DD8" w:rsidRDefault="00D0545F" w:rsidP="00615EE2">
            <w:pPr>
              <w:ind w:left="360"/>
              <w:rPr>
                <w:rFonts w:cstheme="minorHAnsi"/>
              </w:rPr>
            </w:pPr>
            <w:r w:rsidRPr="00384DD8">
              <w:rPr>
                <w:rFonts w:cstheme="minorHAnsi"/>
              </w:rPr>
              <w:t xml:space="preserve">Tam, kde se nová stavba nachází na potenciálně kontaminovaném místě (brownfield </w:t>
            </w:r>
            <w:r w:rsidR="00983C09" w:rsidRPr="00384DD8">
              <w:rPr>
                <w:rFonts w:cstheme="minorHAnsi"/>
              </w:rPr>
              <w:t>sítě</w:t>
            </w:r>
            <w:r w:rsidRPr="00384DD8">
              <w:rPr>
                <w:rFonts w:cstheme="minorHAnsi"/>
              </w:rPr>
              <w:t xml:space="preserve">), bylo toto místo podrobeno šetření na potenciální kontaminanty, například pomocí normy ISO 18400. Jsou přijata opatření ke snížení hluku, prachu </w:t>
            </w:r>
            <w:r w:rsidR="00EF5F1B">
              <w:rPr>
                <w:rFonts w:cstheme="minorHAnsi"/>
              </w:rPr>
              <w:br/>
            </w:r>
            <w:r w:rsidRPr="00384DD8">
              <w:rPr>
                <w:rFonts w:cstheme="minorHAnsi"/>
              </w:rPr>
              <w:t>a emisí znečišťujících látek během výstavby nebo údržby.</w:t>
            </w:r>
          </w:p>
          <w:p w14:paraId="454D3AE9" w14:textId="242C45F4" w:rsidR="00D0545F" w:rsidRPr="00384DD8" w:rsidRDefault="00D0545F" w:rsidP="00615EE2">
            <w:pPr>
              <w:rPr>
                <w:rFonts w:cstheme="minorHAnsi"/>
              </w:rPr>
            </w:pPr>
            <w:r w:rsidRPr="00384DD8">
              <w:rPr>
                <w:rFonts w:cstheme="minorHAnsi"/>
              </w:rPr>
              <w:t xml:space="preserve"> </w:t>
            </w:r>
            <w:r w:rsidR="00983C09" w:rsidRPr="00DA4ACD">
              <w:rPr>
                <w:rFonts w:cstheme="minorHAnsi"/>
                <w:i/>
                <w:iCs/>
                <w:color w:val="00B050"/>
                <w:sz w:val="18"/>
                <w:szCs w:val="18"/>
              </w:rPr>
              <w:t>Doplňte,</w:t>
            </w:r>
            <w:r>
              <w:rPr>
                <w:rFonts w:cstheme="minorHAnsi"/>
                <w:i/>
                <w:iCs/>
                <w:color w:val="00B050"/>
                <w:sz w:val="18"/>
                <w:szCs w:val="18"/>
              </w:rPr>
              <w:t xml:space="preserve"> </w:t>
            </w:r>
            <w:r w:rsidR="00983C09" w:rsidRPr="00DA4ACD">
              <w:rPr>
                <w:rFonts w:cstheme="minorHAnsi"/>
                <w:i/>
                <w:iCs/>
                <w:color w:val="00B050"/>
                <w:sz w:val="18"/>
                <w:szCs w:val="18"/>
              </w:rPr>
              <w:t xml:space="preserve">jak </w:t>
            </w:r>
            <w:r w:rsidR="00983C09">
              <w:rPr>
                <w:rFonts w:cstheme="minorHAnsi"/>
                <w:i/>
                <w:iCs/>
                <w:color w:val="00B050"/>
                <w:sz w:val="18"/>
                <w:szCs w:val="18"/>
              </w:rPr>
              <w:t>konkrétně</w:t>
            </w:r>
            <w:r>
              <w:rPr>
                <w:rFonts w:cstheme="minorHAnsi"/>
                <w:i/>
                <w:iCs/>
                <w:color w:val="00B050"/>
                <w:sz w:val="18"/>
                <w:szCs w:val="18"/>
              </w:rPr>
              <w:t xml:space="preserve"> </w:t>
            </w:r>
            <w:r w:rsidRPr="00DA4ACD">
              <w:rPr>
                <w:rFonts w:cstheme="minorHAnsi"/>
                <w:i/>
                <w:iCs/>
                <w:color w:val="00B050"/>
                <w:sz w:val="18"/>
                <w:szCs w:val="18"/>
              </w:rPr>
              <w:t>uplatňujete zásadu DNSH</w:t>
            </w:r>
            <w:r>
              <w:rPr>
                <w:rFonts w:cstheme="minorHAnsi"/>
                <w:i/>
                <w:iCs/>
                <w:color w:val="00B050"/>
                <w:sz w:val="18"/>
                <w:szCs w:val="18"/>
              </w:rPr>
              <w:t xml:space="preserve"> v souvislosti s tímto cílem a v souladu s výše uvedeným</w:t>
            </w:r>
          </w:p>
        </w:tc>
        <w:tc>
          <w:tcPr>
            <w:tcW w:w="2969" w:type="dxa"/>
          </w:tcPr>
          <w:p w14:paraId="3ED9DB0E" w14:textId="0A658AF5" w:rsidR="00D0545F" w:rsidRDefault="00D0545F" w:rsidP="00615EE2">
            <w:pPr>
              <w:rPr>
                <w:rFonts w:cstheme="minorHAnsi"/>
              </w:rPr>
            </w:pPr>
            <w:r w:rsidRPr="00384DD8">
              <w:rPr>
                <w:rFonts w:cstheme="minorHAnsi"/>
              </w:rPr>
              <w:lastRenderedPageBreak/>
              <w:t xml:space="preserve">a) Rekonstrukce </w:t>
            </w:r>
            <w:proofErr w:type="gramStart"/>
            <w:r w:rsidRPr="00384DD8">
              <w:rPr>
                <w:rFonts w:cstheme="minorHAnsi"/>
              </w:rPr>
              <w:t>budov</w:t>
            </w:r>
            <w:r w:rsidR="009836C2">
              <w:rPr>
                <w:rFonts w:cstheme="minorHAnsi"/>
              </w:rPr>
              <w:t xml:space="preserve"> </w:t>
            </w:r>
            <w:r w:rsidRPr="00384DD8">
              <w:rPr>
                <w:rFonts w:cstheme="minorHAnsi"/>
              </w:rPr>
              <w:t>-Investice</w:t>
            </w:r>
            <w:proofErr w:type="gramEnd"/>
            <w:r w:rsidRPr="00384DD8">
              <w:rPr>
                <w:rFonts w:cstheme="minorHAnsi"/>
              </w:rPr>
              <w:t xml:space="preserve"> neobsahuje </w:t>
            </w:r>
            <w:r w:rsidR="00EF5F1B">
              <w:rPr>
                <w:rFonts w:cstheme="minorHAnsi"/>
              </w:rPr>
              <w:br/>
            </w:r>
            <w:r w:rsidRPr="00384DD8">
              <w:rPr>
                <w:rFonts w:cstheme="minorHAnsi"/>
              </w:rPr>
              <w:t xml:space="preserve">a nebude využívat nebezpečné látky a chemikálie a látky vzbuzující mimořádnou obavu </w:t>
            </w:r>
            <w:r w:rsidRPr="00384DD8">
              <w:rPr>
                <w:rFonts w:cstheme="minorHAnsi"/>
              </w:rPr>
              <w:lastRenderedPageBreak/>
              <w:t xml:space="preserve">dle REACH. Zejména nebude využit azbest při výstavbě </w:t>
            </w:r>
            <w:r w:rsidR="00EF5F1B">
              <w:rPr>
                <w:rFonts w:cstheme="minorHAnsi"/>
              </w:rPr>
              <w:br/>
            </w:r>
            <w:r w:rsidRPr="00384DD8">
              <w:rPr>
                <w:rFonts w:cstheme="minorHAnsi"/>
              </w:rPr>
              <w:t xml:space="preserve">a rekonstrukcích budov a bude zajištěna jeho řádné odstranění u starších staveb. Zároveň v případě renovací nebudou materiály vypouštět do obývaného prostředí více než 0,06 mg formaldehydu na m3 a 0,001 mg na m3 karcinogenních těkavých organických látek kategorie </w:t>
            </w:r>
            <w:proofErr w:type="gramStart"/>
            <w:r w:rsidRPr="00384DD8">
              <w:rPr>
                <w:rFonts w:cstheme="minorHAnsi"/>
              </w:rPr>
              <w:t>1A</w:t>
            </w:r>
            <w:proofErr w:type="gramEnd"/>
            <w:r w:rsidRPr="00384DD8">
              <w:rPr>
                <w:rFonts w:cstheme="minorHAnsi"/>
              </w:rPr>
              <w:t xml:space="preserve"> a 1B. </w:t>
            </w:r>
          </w:p>
          <w:p w14:paraId="46B57CD4" w14:textId="10E39B2C" w:rsidR="00D0545F" w:rsidRDefault="00D0545F" w:rsidP="00615EE2">
            <w:pPr>
              <w:rPr>
                <w:rFonts w:cstheme="minorHAnsi"/>
              </w:rPr>
            </w:pPr>
            <w:r w:rsidRPr="00384DD8">
              <w:rPr>
                <w:rFonts w:cstheme="minorHAnsi"/>
              </w:rPr>
              <w:t xml:space="preserve"> b) Stavba </w:t>
            </w:r>
            <w:r w:rsidR="00983C09" w:rsidRPr="00384DD8">
              <w:rPr>
                <w:rFonts w:cstheme="minorHAnsi"/>
              </w:rPr>
              <w:t>budov – Investice</w:t>
            </w:r>
            <w:r w:rsidRPr="00384DD8">
              <w:rPr>
                <w:rFonts w:cstheme="minorHAnsi"/>
              </w:rPr>
              <w:t xml:space="preserve"> neobsahuje a nebude využívat nebezpečné látky a chemikálie a látky vzbuzující mimořádnou obavu dle REACH. Zejména nebude využit azbest při výstavbě a rekonstrukcích budov a bude zajištěna jeho řádné odstranění u starších staveb. Zároveň v případě renovací nebudou materiály vypouštět do obývaného prostředí více než 0,06 mg formaldehydu na m3 a 0,001 mg na m3 karcinogenních těkavých organických látek kategorie </w:t>
            </w:r>
            <w:proofErr w:type="gramStart"/>
            <w:r w:rsidRPr="00384DD8">
              <w:rPr>
                <w:rFonts w:cstheme="minorHAnsi"/>
              </w:rPr>
              <w:t>1A</w:t>
            </w:r>
            <w:proofErr w:type="gramEnd"/>
            <w:r w:rsidRPr="00384DD8">
              <w:rPr>
                <w:rFonts w:cstheme="minorHAnsi"/>
              </w:rPr>
              <w:t xml:space="preserve"> a 1B.</w:t>
            </w:r>
          </w:p>
          <w:p w14:paraId="3B82BB90" w14:textId="68649456" w:rsidR="00D0545F" w:rsidRPr="00384DD8" w:rsidRDefault="00D0545F" w:rsidP="00615EE2">
            <w:pPr>
              <w:ind w:left="360"/>
              <w:rPr>
                <w:rFonts w:cstheme="minorHAnsi"/>
              </w:rPr>
            </w:pPr>
            <w:r w:rsidRPr="00384DD8">
              <w:rPr>
                <w:rFonts w:cstheme="minorHAnsi"/>
              </w:rPr>
              <w:t xml:space="preserve"> Tam, kde se nová stavba nachází na potenciálně kontaminovaném místě (brownfield </w:t>
            </w:r>
            <w:r w:rsidR="00983C09" w:rsidRPr="00384DD8">
              <w:rPr>
                <w:rFonts w:cstheme="minorHAnsi"/>
              </w:rPr>
              <w:t>sítě</w:t>
            </w:r>
            <w:r w:rsidRPr="00384DD8">
              <w:rPr>
                <w:rFonts w:cstheme="minorHAnsi"/>
              </w:rPr>
              <w:t xml:space="preserve">), bylo toto místo podrobeno šetření na potenciální kontaminanty, například pomocí normy ISO 18400. Jsou přijata opatření ke snížení hluku, prachu </w:t>
            </w:r>
            <w:r w:rsidR="00EF5F1B">
              <w:rPr>
                <w:rFonts w:cstheme="minorHAnsi"/>
              </w:rPr>
              <w:br/>
            </w:r>
            <w:r w:rsidRPr="00384DD8">
              <w:rPr>
                <w:rFonts w:cstheme="minorHAnsi"/>
              </w:rPr>
              <w:t>a emisí znečišťujících látek během výstavby nebo údržby.</w:t>
            </w:r>
          </w:p>
          <w:p w14:paraId="21626865" w14:textId="77777777" w:rsidR="00D0545F" w:rsidRPr="009A44CD" w:rsidRDefault="00D0545F" w:rsidP="00615EE2">
            <w:pPr>
              <w:rPr>
                <w:rFonts w:cstheme="minorHAnsi"/>
                <w:color w:val="000000" w:themeColor="text1"/>
              </w:rPr>
            </w:pPr>
          </w:p>
          <w:p w14:paraId="574B9F71" w14:textId="6E84FCD1" w:rsidR="00D0545F" w:rsidRPr="009A44CD" w:rsidRDefault="00D0545F" w:rsidP="00D0545F">
            <w:pPr>
              <w:pStyle w:val="Bezmezer"/>
              <w:numPr>
                <w:ilvl w:val="0"/>
                <w:numId w:val="10"/>
              </w:numPr>
              <w:rPr>
                <w:rFonts w:asciiTheme="minorHAnsi" w:hAnsiTheme="minorHAnsi" w:cstheme="minorHAnsi"/>
                <w:color w:val="000000" w:themeColor="text1"/>
                <w:sz w:val="22"/>
                <w:szCs w:val="22"/>
              </w:rPr>
            </w:pPr>
            <w:r w:rsidRPr="009A44CD">
              <w:rPr>
                <w:rFonts w:asciiTheme="minorHAnsi" w:hAnsiTheme="minorHAnsi" w:cstheme="minorHAnsi"/>
                <w:color w:val="000000" w:themeColor="text1"/>
                <w:sz w:val="22"/>
                <w:szCs w:val="22"/>
              </w:rPr>
              <w:t xml:space="preserve">Nákup elektromobilů a aut na vodíkový </w:t>
            </w:r>
            <w:r w:rsidRPr="009A44CD">
              <w:rPr>
                <w:rFonts w:asciiTheme="minorHAnsi" w:hAnsiTheme="minorHAnsi" w:cstheme="minorHAnsi"/>
                <w:color w:val="000000" w:themeColor="text1"/>
                <w:sz w:val="22"/>
                <w:szCs w:val="22"/>
              </w:rPr>
              <w:lastRenderedPageBreak/>
              <w:t xml:space="preserve">pohon-v případě potřeby vozidla splňují požadavky nejnovější platné etapy schválení typu Euro VI pro těžké nákladní automobily stanovené v souladu </w:t>
            </w:r>
            <w:r w:rsidR="00EF5F1B">
              <w:rPr>
                <w:rFonts w:asciiTheme="minorHAnsi" w:hAnsiTheme="minorHAnsi" w:cstheme="minorHAnsi"/>
                <w:color w:val="000000" w:themeColor="text1"/>
                <w:sz w:val="22"/>
                <w:szCs w:val="22"/>
              </w:rPr>
              <w:br/>
            </w:r>
            <w:r w:rsidRPr="009A44CD">
              <w:rPr>
                <w:rFonts w:asciiTheme="minorHAnsi" w:hAnsiTheme="minorHAnsi" w:cstheme="minorHAnsi"/>
                <w:color w:val="000000" w:themeColor="text1"/>
                <w:sz w:val="22"/>
                <w:szCs w:val="22"/>
              </w:rPr>
              <w:t xml:space="preserve">s nařízením (ES) </w:t>
            </w:r>
            <w:r w:rsidR="00EF5F1B">
              <w:rPr>
                <w:rFonts w:asciiTheme="minorHAnsi" w:hAnsiTheme="minorHAnsi" w:cstheme="minorHAnsi"/>
                <w:color w:val="000000" w:themeColor="text1"/>
                <w:sz w:val="22"/>
                <w:szCs w:val="22"/>
              </w:rPr>
              <w:br/>
            </w:r>
            <w:r w:rsidRPr="009A44CD">
              <w:rPr>
                <w:rFonts w:asciiTheme="minorHAnsi" w:hAnsiTheme="minorHAnsi" w:cstheme="minorHAnsi"/>
                <w:color w:val="000000" w:themeColor="text1"/>
                <w:sz w:val="22"/>
                <w:szCs w:val="22"/>
              </w:rPr>
              <w:t>č. 595/2009.</w:t>
            </w:r>
          </w:p>
          <w:p w14:paraId="0B308719" w14:textId="77777777" w:rsidR="00D0545F" w:rsidRPr="00652A9E" w:rsidRDefault="00D0545F" w:rsidP="00615EE2">
            <w:pPr>
              <w:pStyle w:val="Bezmezer"/>
              <w:ind w:left="816"/>
            </w:pPr>
          </w:p>
          <w:p w14:paraId="5FBB83C6" w14:textId="77777777" w:rsidR="00D0545F" w:rsidRDefault="00D0545F" w:rsidP="00615EE2">
            <w:pPr>
              <w:rPr>
                <w:rFonts w:cstheme="minorHAnsi"/>
              </w:rPr>
            </w:pPr>
            <w:r w:rsidRPr="00384DD8">
              <w:rPr>
                <w:rFonts w:cstheme="minorHAnsi"/>
              </w:rPr>
              <w:t xml:space="preserve"> Pořízená vozidla budou v každém případě odpovídat požadavkům platné legislativy.</w:t>
            </w:r>
          </w:p>
          <w:p w14:paraId="37BB3DE3" w14:textId="7704BE3D" w:rsidR="00D0545F" w:rsidRPr="004B7A0E" w:rsidRDefault="00983C09" w:rsidP="00615EE2">
            <w:pPr>
              <w:rPr>
                <w:rFonts w:cstheme="minorHAnsi"/>
              </w:rPr>
            </w:pPr>
            <w:r w:rsidRPr="00DA4ACD">
              <w:rPr>
                <w:rFonts w:cstheme="minorHAnsi"/>
                <w:i/>
                <w:iCs/>
                <w:color w:val="00B050"/>
                <w:sz w:val="18"/>
                <w:szCs w:val="18"/>
              </w:rPr>
              <w:t>Doplňte,</w:t>
            </w:r>
            <w:r w:rsidR="00D0545F">
              <w:rPr>
                <w:rFonts w:cstheme="minorHAnsi"/>
                <w:i/>
                <w:iCs/>
                <w:color w:val="00B050"/>
                <w:sz w:val="18"/>
                <w:szCs w:val="18"/>
              </w:rPr>
              <w:t xml:space="preserve"> </w:t>
            </w:r>
            <w:r w:rsidRPr="00DA4ACD">
              <w:rPr>
                <w:rFonts w:cstheme="minorHAnsi"/>
                <w:i/>
                <w:iCs/>
                <w:color w:val="00B050"/>
                <w:sz w:val="18"/>
                <w:szCs w:val="18"/>
              </w:rPr>
              <w:t xml:space="preserve">jak </w:t>
            </w:r>
            <w:r>
              <w:rPr>
                <w:rFonts w:cstheme="minorHAnsi"/>
                <w:i/>
                <w:iCs/>
                <w:color w:val="00B050"/>
                <w:sz w:val="18"/>
                <w:szCs w:val="18"/>
              </w:rPr>
              <w:t>konkrétně</w:t>
            </w:r>
            <w:r w:rsidR="00D0545F">
              <w:rPr>
                <w:rFonts w:cstheme="minorHAnsi"/>
                <w:i/>
                <w:iCs/>
                <w:color w:val="00B050"/>
                <w:sz w:val="18"/>
                <w:szCs w:val="18"/>
              </w:rPr>
              <w:t xml:space="preserve"> </w:t>
            </w:r>
            <w:r w:rsidR="00D0545F" w:rsidRPr="00DA4ACD">
              <w:rPr>
                <w:rFonts w:cstheme="minorHAnsi"/>
                <w:i/>
                <w:iCs/>
                <w:color w:val="00B050"/>
                <w:sz w:val="18"/>
                <w:szCs w:val="18"/>
              </w:rPr>
              <w:t>uplatňujete zásadu DNSH</w:t>
            </w:r>
            <w:r w:rsidR="00D0545F">
              <w:rPr>
                <w:rFonts w:cstheme="minorHAnsi"/>
                <w:i/>
                <w:iCs/>
                <w:color w:val="00B050"/>
                <w:sz w:val="18"/>
                <w:szCs w:val="18"/>
              </w:rPr>
              <w:t xml:space="preserve"> v souvislosti s tímto cílem a v souladu s výše uvedeným</w:t>
            </w:r>
          </w:p>
        </w:tc>
      </w:tr>
      <w:tr w:rsidR="00D0545F" w:rsidRPr="004B7A0E" w14:paraId="346FB27A" w14:textId="77777777" w:rsidTr="00615EE2">
        <w:tc>
          <w:tcPr>
            <w:tcW w:w="2546" w:type="dxa"/>
            <w:shd w:val="clear" w:color="auto" w:fill="auto"/>
          </w:tcPr>
          <w:p w14:paraId="71896838" w14:textId="77777777" w:rsidR="00D0545F" w:rsidRPr="004B7A0E" w:rsidRDefault="00D0545F" w:rsidP="00615EE2">
            <w:pPr>
              <w:rPr>
                <w:rFonts w:cstheme="minorHAnsi"/>
              </w:rPr>
            </w:pPr>
            <w:r w:rsidRPr="004B7A0E">
              <w:rPr>
                <w:rFonts w:cstheme="minorHAnsi"/>
              </w:rPr>
              <w:lastRenderedPageBreak/>
              <w:t>Ochrana a obnova biologické rozmanitosti a ekosystémů</w:t>
            </w:r>
          </w:p>
        </w:tc>
        <w:tc>
          <w:tcPr>
            <w:tcW w:w="693" w:type="dxa"/>
            <w:shd w:val="clear" w:color="auto" w:fill="auto"/>
          </w:tcPr>
          <w:p w14:paraId="3F702D12" w14:textId="77777777" w:rsidR="00D0545F" w:rsidRPr="004B7A0E" w:rsidRDefault="00D0545F" w:rsidP="00615EE2">
            <w:pPr>
              <w:rPr>
                <w:rFonts w:cstheme="minorHAnsi"/>
              </w:rPr>
            </w:pPr>
          </w:p>
        </w:tc>
        <w:tc>
          <w:tcPr>
            <w:tcW w:w="644" w:type="dxa"/>
            <w:shd w:val="clear" w:color="auto" w:fill="auto"/>
          </w:tcPr>
          <w:p w14:paraId="4D7DE7C6" w14:textId="77777777" w:rsidR="00D0545F" w:rsidRPr="004B7A0E" w:rsidRDefault="00D0545F" w:rsidP="00615EE2">
            <w:pPr>
              <w:rPr>
                <w:rFonts w:cstheme="minorHAnsi"/>
              </w:rPr>
            </w:pPr>
          </w:p>
        </w:tc>
        <w:tc>
          <w:tcPr>
            <w:tcW w:w="2916" w:type="dxa"/>
            <w:shd w:val="clear" w:color="auto" w:fill="auto"/>
          </w:tcPr>
          <w:p w14:paraId="723187C5" w14:textId="06C64706" w:rsidR="00D0545F" w:rsidRDefault="00D0545F" w:rsidP="00615EE2">
            <w:pPr>
              <w:rPr>
                <w:rFonts w:cstheme="minorHAnsi"/>
              </w:rPr>
            </w:pPr>
            <w:r w:rsidRPr="00AD53BC">
              <w:rPr>
                <w:rFonts w:cstheme="minorHAnsi"/>
              </w:rPr>
              <w:t xml:space="preserve">a) Rekonstrukce </w:t>
            </w:r>
            <w:proofErr w:type="gramStart"/>
            <w:r w:rsidRPr="00AD53BC">
              <w:rPr>
                <w:rFonts w:cstheme="minorHAnsi"/>
              </w:rPr>
              <w:t>budov- Investice</w:t>
            </w:r>
            <w:proofErr w:type="gramEnd"/>
            <w:r w:rsidRPr="00AD53BC">
              <w:rPr>
                <w:rFonts w:cstheme="minorHAnsi"/>
              </w:rPr>
              <w:t xml:space="preserve"> nespadají do působnosti hodnocení EIA, neovlivňují předměty ochrany přírody a krajiny, nedochází </w:t>
            </w:r>
            <w:r w:rsidR="00EF5F1B">
              <w:rPr>
                <w:rFonts w:cstheme="minorHAnsi"/>
              </w:rPr>
              <w:br/>
            </w:r>
            <w:r w:rsidRPr="00AD53BC">
              <w:rPr>
                <w:rFonts w:cstheme="minorHAnsi"/>
              </w:rPr>
              <w:t xml:space="preserve">k záboru zemědělské půdy </w:t>
            </w:r>
            <w:r w:rsidR="00EF5F1B">
              <w:rPr>
                <w:rFonts w:cstheme="minorHAnsi"/>
              </w:rPr>
              <w:br/>
            </w:r>
            <w:r w:rsidRPr="00AD53BC">
              <w:rPr>
                <w:rFonts w:cstheme="minorHAnsi"/>
              </w:rPr>
              <w:t xml:space="preserve">a nejsou realizovány </w:t>
            </w:r>
            <w:r w:rsidR="00EF5F1B">
              <w:rPr>
                <w:rFonts w:cstheme="minorHAnsi"/>
              </w:rPr>
              <w:br/>
            </w:r>
            <w:r w:rsidRPr="00AD53BC">
              <w:rPr>
                <w:rFonts w:cstheme="minorHAnsi"/>
              </w:rPr>
              <w:t xml:space="preserve">v chráněných územích </w:t>
            </w:r>
            <w:r w:rsidR="00EF5F1B">
              <w:rPr>
                <w:rFonts w:cstheme="minorHAnsi"/>
              </w:rPr>
              <w:br/>
            </w:r>
            <w:r w:rsidRPr="00AD53BC">
              <w:rPr>
                <w:rFonts w:cstheme="minorHAnsi"/>
              </w:rPr>
              <w:t xml:space="preserve">a </w:t>
            </w:r>
            <w:proofErr w:type="spellStart"/>
            <w:r w:rsidRPr="00AD53BC">
              <w:rPr>
                <w:rFonts w:cstheme="minorHAnsi"/>
              </w:rPr>
              <w:t>biodiverzitně</w:t>
            </w:r>
            <w:proofErr w:type="spellEnd"/>
            <w:r w:rsidRPr="00AD53BC">
              <w:rPr>
                <w:rFonts w:cstheme="minorHAnsi"/>
              </w:rPr>
              <w:t xml:space="preserve"> hodnotných oblastech.</w:t>
            </w:r>
          </w:p>
          <w:p w14:paraId="71327F88" w14:textId="04ED0896" w:rsidR="00D0545F" w:rsidRDefault="00D0545F" w:rsidP="00615EE2">
            <w:pPr>
              <w:rPr>
                <w:rFonts w:cstheme="minorHAnsi"/>
              </w:rPr>
            </w:pPr>
            <w:r w:rsidRPr="00AD53BC">
              <w:rPr>
                <w:rFonts w:cstheme="minorHAnsi"/>
              </w:rPr>
              <w:t xml:space="preserve"> B) Stavby </w:t>
            </w:r>
            <w:r w:rsidR="009A44CD" w:rsidRPr="00AD53BC">
              <w:rPr>
                <w:rFonts w:cstheme="minorHAnsi"/>
              </w:rPr>
              <w:t>budov – Investice</w:t>
            </w:r>
            <w:r w:rsidRPr="00AD53BC">
              <w:rPr>
                <w:rFonts w:cstheme="minorHAnsi"/>
              </w:rPr>
              <w:t xml:space="preserve"> nespadají do působnosti hodnocení EIA, neovlivňují předměty ochrany přírody </w:t>
            </w:r>
            <w:r w:rsidR="00EF5F1B">
              <w:rPr>
                <w:rFonts w:cstheme="minorHAnsi"/>
              </w:rPr>
              <w:br/>
            </w:r>
            <w:r w:rsidRPr="00AD53BC">
              <w:rPr>
                <w:rFonts w:cstheme="minorHAnsi"/>
              </w:rPr>
              <w:t xml:space="preserve">a krajiny, nedochází k záboru zemědělské půdy a nejsou realizovány v chráněných územích a </w:t>
            </w:r>
            <w:proofErr w:type="spellStart"/>
            <w:r w:rsidRPr="00AD53BC">
              <w:rPr>
                <w:rFonts w:cstheme="minorHAnsi"/>
              </w:rPr>
              <w:t>biodiverzitně</w:t>
            </w:r>
            <w:proofErr w:type="spellEnd"/>
            <w:r w:rsidRPr="00AD53BC">
              <w:rPr>
                <w:rFonts w:cstheme="minorHAnsi"/>
              </w:rPr>
              <w:t xml:space="preserve"> hodnotných oblastech.</w:t>
            </w:r>
          </w:p>
          <w:p w14:paraId="3953850F" w14:textId="12C7ECE0" w:rsidR="00D0545F" w:rsidRPr="004B7A0E" w:rsidRDefault="009A44CD" w:rsidP="00615EE2">
            <w:pPr>
              <w:rPr>
                <w:rFonts w:cstheme="minorHAnsi"/>
              </w:rPr>
            </w:pPr>
            <w:r w:rsidRPr="00DA4ACD">
              <w:rPr>
                <w:rFonts w:cstheme="minorHAnsi"/>
                <w:i/>
                <w:iCs/>
                <w:color w:val="00B050"/>
                <w:sz w:val="18"/>
                <w:szCs w:val="18"/>
              </w:rPr>
              <w:t>Doplňte,</w:t>
            </w:r>
            <w:r w:rsidR="00D0545F">
              <w:rPr>
                <w:rFonts w:cstheme="minorHAnsi"/>
                <w:i/>
                <w:iCs/>
                <w:color w:val="00B050"/>
                <w:sz w:val="18"/>
                <w:szCs w:val="18"/>
              </w:rPr>
              <w:t xml:space="preserve"> </w:t>
            </w:r>
            <w:r w:rsidRPr="00DA4ACD">
              <w:rPr>
                <w:rFonts w:cstheme="minorHAnsi"/>
                <w:i/>
                <w:iCs/>
                <w:color w:val="00B050"/>
                <w:sz w:val="18"/>
                <w:szCs w:val="18"/>
              </w:rPr>
              <w:t xml:space="preserve">jak </w:t>
            </w:r>
            <w:r>
              <w:rPr>
                <w:rFonts w:cstheme="minorHAnsi"/>
                <w:i/>
                <w:iCs/>
                <w:color w:val="00B050"/>
                <w:sz w:val="18"/>
                <w:szCs w:val="18"/>
              </w:rPr>
              <w:t>konkrétně</w:t>
            </w:r>
            <w:r w:rsidR="00D0545F">
              <w:rPr>
                <w:rFonts w:cstheme="minorHAnsi"/>
                <w:i/>
                <w:iCs/>
                <w:color w:val="00B050"/>
                <w:sz w:val="18"/>
                <w:szCs w:val="18"/>
              </w:rPr>
              <w:t xml:space="preserve"> </w:t>
            </w:r>
            <w:r w:rsidR="00D0545F" w:rsidRPr="00DA4ACD">
              <w:rPr>
                <w:rFonts w:cstheme="minorHAnsi"/>
                <w:i/>
                <w:iCs/>
                <w:color w:val="00B050"/>
                <w:sz w:val="18"/>
                <w:szCs w:val="18"/>
              </w:rPr>
              <w:t>uplatňujete zásadu DNSH</w:t>
            </w:r>
            <w:r w:rsidR="00D0545F">
              <w:rPr>
                <w:rFonts w:cstheme="minorHAnsi"/>
                <w:i/>
                <w:iCs/>
                <w:color w:val="00B050"/>
                <w:sz w:val="18"/>
                <w:szCs w:val="18"/>
              </w:rPr>
              <w:t xml:space="preserve"> v souvislosti s tímto cílem a v souladu s výše uvedeným</w:t>
            </w:r>
          </w:p>
        </w:tc>
        <w:tc>
          <w:tcPr>
            <w:tcW w:w="2969" w:type="dxa"/>
          </w:tcPr>
          <w:p w14:paraId="542465A4" w14:textId="6BFA85D4" w:rsidR="00D0545F" w:rsidRDefault="00D0545F" w:rsidP="00615EE2">
            <w:pPr>
              <w:rPr>
                <w:rFonts w:cstheme="minorHAnsi"/>
              </w:rPr>
            </w:pPr>
            <w:r w:rsidRPr="00AD53BC">
              <w:rPr>
                <w:rFonts w:cstheme="minorHAnsi"/>
              </w:rPr>
              <w:t xml:space="preserve">a) Rekonstrukce </w:t>
            </w:r>
            <w:r w:rsidR="009A44CD" w:rsidRPr="00AD53BC">
              <w:rPr>
                <w:rFonts w:cstheme="minorHAnsi"/>
              </w:rPr>
              <w:t>budov – Investice</w:t>
            </w:r>
            <w:r w:rsidRPr="00AD53BC">
              <w:rPr>
                <w:rFonts w:cstheme="minorHAnsi"/>
              </w:rPr>
              <w:t xml:space="preserve"> nespadají do působnosti hodnocení EIA, neovlivňují předměty ochrany přírody a krajiny, nedochází </w:t>
            </w:r>
            <w:r w:rsidR="00EF5F1B">
              <w:rPr>
                <w:rFonts w:cstheme="minorHAnsi"/>
              </w:rPr>
              <w:br/>
            </w:r>
            <w:r w:rsidRPr="00AD53BC">
              <w:rPr>
                <w:rFonts w:cstheme="minorHAnsi"/>
              </w:rPr>
              <w:t xml:space="preserve">k záboru zemědělské půdy </w:t>
            </w:r>
            <w:r w:rsidR="00EF5F1B">
              <w:rPr>
                <w:rFonts w:cstheme="minorHAnsi"/>
              </w:rPr>
              <w:br/>
            </w:r>
            <w:r w:rsidRPr="00AD53BC">
              <w:rPr>
                <w:rFonts w:cstheme="minorHAnsi"/>
              </w:rPr>
              <w:t xml:space="preserve">a nejsou realizovány </w:t>
            </w:r>
            <w:r w:rsidR="00EF5F1B">
              <w:rPr>
                <w:rFonts w:cstheme="minorHAnsi"/>
              </w:rPr>
              <w:br/>
            </w:r>
            <w:r w:rsidRPr="00AD53BC">
              <w:rPr>
                <w:rFonts w:cstheme="minorHAnsi"/>
              </w:rPr>
              <w:t xml:space="preserve">v chráněných územích </w:t>
            </w:r>
            <w:r w:rsidR="00EF5F1B">
              <w:rPr>
                <w:rFonts w:cstheme="minorHAnsi"/>
              </w:rPr>
              <w:br/>
            </w:r>
            <w:r w:rsidRPr="00AD53BC">
              <w:rPr>
                <w:rFonts w:cstheme="minorHAnsi"/>
              </w:rPr>
              <w:t xml:space="preserve">a </w:t>
            </w:r>
            <w:proofErr w:type="spellStart"/>
            <w:r w:rsidRPr="00AD53BC">
              <w:rPr>
                <w:rFonts w:cstheme="minorHAnsi"/>
              </w:rPr>
              <w:t>biodiverzitně</w:t>
            </w:r>
            <w:proofErr w:type="spellEnd"/>
            <w:r w:rsidRPr="00AD53BC">
              <w:rPr>
                <w:rFonts w:cstheme="minorHAnsi"/>
              </w:rPr>
              <w:t xml:space="preserve"> hodnotných oblastech.</w:t>
            </w:r>
          </w:p>
          <w:p w14:paraId="135C3293" w14:textId="146F0BA1" w:rsidR="00D0545F" w:rsidRDefault="00D0545F" w:rsidP="00615EE2">
            <w:pPr>
              <w:rPr>
                <w:rFonts w:cstheme="minorHAnsi"/>
              </w:rPr>
            </w:pPr>
            <w:r w:rsidRPr="00AD53BC">
              <w:rPr>
                <w:rFonts w:cstheme="minorHAnsi"/>
              </w:rPr>
              <w:t xml:space="preserve"> B) Stavby </w:t>
            </w:r>
            <w:r w:rsidR="009A44CD" w:rsidRPr="00AD53BC">
              <w:rPr>
                <w:rFonts w:cstheme="minorHAnsi"/>
              </w:rPr>
              <w:t>budov – Investice</w:t>
            </w:r>
            <w:r w:rsidRPr="00AD53BC">
              <w:rPr>
                <w:rFonts w:cstheme="minorHAnsi"/>
              </w:rPr>
              <w:t xml:space="preserve"> nespadají do působnosti hodnocení EIA, neovlivňují předměty ochrany přírody </w:t>
            </w:r>
            <w:r w:rsidR="00EF5F1B">
              <w:rPr>
                <w:rFonts w:cstheme="minorHAnsi"/>
              </w:rPr>
              <w:br/>
            </w:r>
            <w:r w:rsidRPr="00AD53BC">
              <w:rPr>
                <w:rFonts w:cstheme="minorHAnsi"/>
              </w:rPr>
              <w:t xml:space="preserve">a krajiny, nedochází k záboru zemědělské půdy a nejsou realizovány v chráněných územích a </w:t>
            </w:r>
            <w:proofErr w:type="spellStart"/>
            <w:r w:rsidRPr="00AD53BC">
              <w:rPr>
                <w:rFonts w:cstheme="minorHAnsi"/>
              </w:rPr>
              <w:t>biodiverzitně</w:t>
            </w:r>
            <w:proofErr w:type="spellEnd"/>
            <w:r w:rsidRPr="00AD53BC">
              <w:rPr>
                <w:rFonts w:cstheme="minorHAnsi"/>
              </w:rPr>
              <w:t xml:space="preserve"> hodnotných oblastech.</w:t>
            </w:r>
          </w:p>
          <w:p w14:paraId="530CFDC1" w14:textId="278D62BC" w:rsidR="00D0545F" w:rsidRPr="004B7A0E" w:rsidRDefault="009A44CD" w:rsidP="00615EE2">
            <w:pPr>
              <w:rPr>
                <w:rFonts w:cstheme="minorHAnsi"/>
              </w:rPr>
            </w:pPr>
            <w:r w:rsidRPr="00DA4ACD">
              <w:rPr>
                <w:rFonts w:cstheme="minorHAnsi"/>
                <w:i/>
                <w:iCs/>
                <w:color w:val="00B050"/>
                <w:sz w:val="18"/>
                <w:szCs w:val="18"/>
              </w:rPr>
              <w:t>Doplňte,</w:t>
            </w:r>
            <w:r w:rsidR="00D0545F">
              <w:rPr>
                <w:rFonts w:cstheme="minorHAnsi"/>
                <w:i/>
                <w:iCs/>
                <w:color w:val="00B050"/>
                <w:sz w:val="18"/>
                <w:szCs w:val="18"/>
              </w:rPr>
              <w:t xml:space="preserve"> </w:t>
            </w:r>
            <w:r w:rsidRPr="00DA4ACD">
              <w:rPr>
                <w:rFonts w:cstheme="minorHAnsi"/>
                <w:i/>
                <w:iCs/>
                <w:color w:val="00B050"/>
                <w:sz w:val="18"/>
                <w:szCs w:val="18"/>
              </w:rPr>
              <w:t xml:space="preserve">jak </w:t>
            </w:r>
            <w:r>
              <w:rPr>
                <w:rFonts w:cstheme="minorHAnsi"/>
                <w:i/>
                <w:iCs/>
                <w:color w:val="00B050"/>
                <w:sz w:val="18"/>
                <w:szCs w:val="18"/>
              </w:rPr>
              <w:t>konkrétně</w:t>
            </w:r>
            <w:r w:rsidR="00D0545F">
              <w:rPr>
                <w:rFonts w:cstheme="minorHAnsi"/>
                <w:i/>
                <w:iCs/>
                <w:color w:val="00B050"/>
                <w:sz w:val="18"/>
                <w:szCs w:val="18"/>
              </w:rPr>
              <w:t xml:space="preserve"> </w:t>
            </w:r>
            <w:r w:rsidR="00D0545F" w:rsidRPr="00DA4ACD">
              <w:rPr>
                <w:rFonts w:cstheme="minorHAnsi"/>
                <w:i/>
                <w:iCs/>
                <w:color w:val="00B050"/>
                <w:sz w:val="18"/>
                <w:szCs w:val="18"/>
              </w:rPr>
              <w:t>uplatňujete zásadu DNSH</w:t>
            </w:r>
            <w:r w:rsidR="00D0545F">
              <w:rPr>
                <w:rFonts w:cstheme="minorHAnsi"/>
                <w:i/>
                <w:iCs/>
                <w:color w:val="00B050"/>
                <w:sz w:val="18"/>
                <w:szCs w:val="18"/>
              </w:rPr>
              <w:t xml:space="preserve"> v souvislosti s tímto cílem a v souladu s výše uvedeným</w:t>
            </w:r>
          </w:p>
        </w:tc>
      </w:tr>
    </w:tbl>
    <w:p w14:paraId="3C1EB23C" w14:textId="77777777" w:rsidR="00D0545F" w:rsidRPr="004B7A0E" w:rsidRDefault="00D0545F" w:rsidP="00D0545F">
      <w:pPr>
        <w:rPr>
          <w:rFonts w:cstheme="minorHAnsi"/>
          <w:i/>
          <w:iCs/>
        </w:rPr>
      </w:pPr>
    </w:p>
    <w:p w14:paraId="00A87F51" w14:textId="77777777" w:rsidR="00D0545F" w:rsidRPr="004B7A0E" w:rsidRDefault="00D0545F" w:rsidP="00D0545F">
      <w:pPr>
        <w:rPr>
          <w:rFonts w:cstheme="minorHAnsi"/>
        </w:rPr>
      </w:pPr>
    </w:p>
    <w:p w14:paraId="5B28FFE5" w14:textId="77777777" w:rsidR="00D0545F" w:rsidRPr="004B7A0E" w:rsidRDefault="00D0545F" w:rsidP="00D0545F">
      <w:pPr>
        <w:rPr>
          <w:rFonts w:cstheme="minorHAnsi"/>
        </w:rPr>
      </w:pPr>
    </w:p>
    <w:p w14:paraId="0F4C4846" w14:textId="77777777" w:rsidR="009A44CD" w:rsidRDefault="009A44CD" w:rsidP="00D0545F">
      <w:pPr>
        <w:rPr>
          <w:rFonts w:cstheme="minorHAnsi"/>
        </w:rPr>
      </w:pPr>
    </w:p>
    <w:p w14:paraId="0E4E7491" w14:textId="77777777" w:rsidR="006875C0" w:rsidRDefault="006875C0" w:rsidP="00D0545F">
      <w:pPr>
        <w:rPr>
          <w:rFonts w:cstheme="minorHAnsi"/>
        </w:rPr>
      </w:pPr>
    </w:p>
    <w:p w14:paraId="4EEDDA3F" w14:textId="64F7B7AE" w:rsidR="00D0545F" w:rsidRPr="004B7A0E" w:rsidRDefault="00D0545F" w:rsidP="00D0545F">
      <w:pPr>
        <w:rPr>
          <w:rFonts w:cstheme="minorHAnsi"/>
        </w:rPr>
      </w:pPr>
      <w:r w:rsidRPr="004B7A0E">
        <w:rPr>
          <w:rFonts w:cstheme="minorHAnsi"/>
        </w:rPr>
        <w:t>Tabulka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829"/>
        <w:gridCol w:w="4257"/>
      </w:tblGrid>
      <w:tr w:rsidR="00D0545F" w:rsidRPr="004B7A0E" w14:paraId="7463CB65" w14:textId="77777777" w:rsidTr="00615EE2">
        <w:tc>
          <w:tcPr>
            <w:tcW w:w="3974" w:type="dxa"/>
            <w:shd w:val="clear" w:color="auto" w:fill="auto"/>
          </w:tcPr>
          <w:p w14:paraId="15DA70F7" w14:textId="77777777" w:rsidR="00D0545F" w:rsidRPr="004B7A0E" w:rsidRDefault="00D0545F" w:rsidP="00615EE2">
            <w:pPr>
              <w:rPr>
                <w:rFonts w:cstheme="minorHAnsi"/>
              </w:rPr>
            </w:pPr>
            <w:r w:rsidRPr="004B7A0E">
              <w:rPr>
                <w:rFonts w:cstheme="minorHAnsi"/>
              </w:rPr>
              <w:t>Otázka</w:t>
            </w:r>
          </w:p>
        </w:tc>
        <w:tc>
          <w:tcPr>
            <w:tcW w:w="829" w:type="dxa"/>
            <w:shd w:val="clear" w:color="auto" w:fill="auto"/>
          </w:tcPr>
          <w:p w14:paraId="782C718B" w14:textId="77777777" w:rsidR="00D0545F" w:rsidRPr="004B7A0E" w:rsidRDefault="00D0545F" w:rsidP="00615EE2">
            <w:pPr>
              <w:rPr>
                <w:rFonts w:cstheme="minorHAnsi"/>
                <w:u w:val="single"/>
              </w:rPr>
            </w:pPr>
          </w:p>
        </w:tc>
        <w:tc>
          <w:tcPr>
            <w:tcW w:w="4257" w:type="dxa"/>
            <w:shd w:val="clear" w:color="auto" w:fill="auto"/>
          </w:tcPr>
          <w:p w14:paraId="5C0CDC14" w14:textId="77777777" w:rsidR="00D0545F" w:rsidRPr="004B7A0E" w:rsidRDefault="00D0545F" w:rsidP="00615EE2">
            <w:pPr>
              <w:rPr>
                <w:rFonts w:cstheme="minorHAnsi"/>
              </w:rPr>
            </w:pPr>
            <w:r w:rsidRPr="004B7A0E">
              <w:rPr>
                <w:rFonts w:cstheme="minorHAnsi"/>
              </w:rPr>
              <w:t>Věcné odůvodnění</w:t>
            </w:r>
          </w:p>
        </w:tc>
      </w:tr>
      <w:tr w:rsidR="00D0545F" w:rsidRPr="004B7A0E" w14:paraId="7DF9D78B" w14:textId="77777777" w:rsidTr="00615EE2">
        <w:tc>
          <w:tcPr>
            <w:tcW w:w="3974" w:type="dxa"/>
            <w:shd w:val="clear" w:color="auto" w:fill="auto"/>
          </w:tcPr>
          <w:p w14:paraId="337EE39E" w14:textId="77777777" w:rsidR="00D0545F" w:rsidRPr="004B7A0E" w:rsidRDefault="00D0545F" w:rsidP="00615EE2">
            <w:pPr>
              <w:rPr>
                <w:rFonts w:cstheme="minorHAnsi"/>
                <w:i/>
                <w:iCs/>
              </w:rPr>
            </w:pPr>
            <w:r w:rsidRPr="004B7A0E">
              <w:rPr>
                <w:rFonts w:cstheme="minorHAnsi"/>
                <w:i/>
                <w:iCs/>
              </w:rPr>
              <w:t>Zmírňování změny klimatu</w:t>
            </w:r>
          </w:p>
          <w:p w14:paraId="25EEFD0A" w14:textId="79C72D76" w:rsidR="00D0545F" w:rsidRPr="004B7A0E" w:rsidRDefault="00D0545F" w:rsidP="00615EE2">
            <w:pPr>
              <w:rPr>
                <w:rFonts w:cstheme="minorHAnsi"/>
              </w:rPr>
            </w:pPr>
            <w:r w:rsidRPr="004B7A0E">
              <w:rPr>
                <w:rFonts w:cstheme="minorHAnsi"/>
              </w:rPr>
              <w:t xml:space="preserve">Očekává se, že </w:t>
            </w:r>
            <w:r>
              <w:rPr>
                <w:rFonts w:cstheme="minorHAnsi"/>
              </w:rPr>
              <w:t>činnost</w:t>
            </w:r>
            <w:r w:rsidRPr="004B7A0E">
              <w:rPr>
                <w:rFonts w:cstheme="minorHAnsi"/>
              </w:rPr>
              <w:t xml:space="preserve"> povede </w:t>
            </w:r>
            <w:r w:rsidR="00EF5F1B">
              <w:rPr>
                <w:rFonts w:cstheme="minorHAnsi"/>
              </w:rPr>
              <w:br/>
            </w:r>
            <w:r w:rsidRPr="004B7A0E">
              <w:rPr>
                <w:rFonts w:cstheme="minorHAnsi"/>
              </w:rPr>
              <w:t xml:space="preserve">k významným emisím skleníkových plynů? </w:t>
            </w:r>
          </w:p>
        </w:tc>
        <w:tc>
          <w:tcPr>
            <w:tcW w:w="829" w:type="dxa"/>
            <w:shd w:val="clear" w:color="auto" w:fill="auto"/>
          </w:tcPr>
          <w:p w14:paraId="5C6E3DE6" w14:textId="77777777" w:rsidR="00D0545F" w:rsidRPr="004B7A0E" w:rsidRDefault="00D0545F" w:rsidP="00615EE2">
            <w:pPr>
              <w:rPr>
                <w:rFonts w:cstheme="minorHAnsi"/>
              </w:rPr>
            </w:pPr>
            <w:r w:rsidRPr="004B7A0E">
              <w:rPr>
                <w:rFonts w:cstheme="minorHAnsi"/>
              </w:rPr>
              <w:t>ne</w:t>
            </w:r>
          </w:p>
        </w:tc>
        <w:tc>
          <w:tcPr>
            <w:tcW w:w="4257" w:type="dxa"/>
            <w:shd w:val="clear" w:color="auto" w:fill="auto"/>
          </w:tcPr>
          <w:p w14:paraId="0C499585" w14:textId="77777777" w:rsidR="00D0545F" w:rsidRPr="004B7A0E" w:rsidRDefault="00D0545F" w:rsidP="00615EE2">
            <w:pPr>
              <w:rPr>
                <w:rFonts w:cstheme="minorHAnsi"/>
                <w:u w:val="single"/>
              </w:rPr>
            </w:pPr>
          </w:p>
        </w:tc>
      </w:tr>
      <w:tr w:rsidR="00D0545F" w:rsidRPr="004B7A0E" w14:paraId="57CE5666" w14:textId="77777777" w:rsidTr="00615EE2">
        <w:tc>
          <w:tcPr>
            <w:tcW w:w="3974" w:type="dxa"/>
            <w:shd w:val="clear" w:color="auto" w:fill="auto"/>
          </w:tcPr>
          <w:p w14:paraId="74CEF397" w14:textId="77777777" w:rsidR="00D0545F" w:rsidRPr="004B7A0E" w:rsidRDefault="00D0545F" w:rsidP="00615EE2">
            <w:pPr>
              <w:rPr>
                <w:rFonts w:cstheme="minorHAnsi"/>
                <w:u w:val="single"/>
              </w:rPr>
            </w:pPr>
            <w:r w:rsidRPr="004B7A0E">
              <w:rPr>
                <w:rFonts w:cstheme="minorHAnsi"/>
                <w:i/>
                <w:iCs/>
              </w:rPr>
              <w:t xml:space="preserve">Přizpůsobování se změně klimatu </w:t>
            </w:r>
            <w:r w:rsidRPr="004B7A0E">
              <w:rPr>
                <w:rFonts w:cstheme="minorHAnsi"/>
              </w:rPr>
              <w:t xml:space="preserve">Očekává se, že </w:t>
            </w:r>
            <w:r>
              <w:rPr>
                <w:rFonts w:cstheme="minorHAnsi"/>
              </w:rPr>
              <w:t>činnost</w:t>
            </w:r>
            <w:r w:rsidRPr="004B7A0E">
              <w:rPr>
                <w:rFonts w:cstheme="minorHAnsi"/>
              </w:rPr>
              <w:t xml:space="preserve"> povede ke zvýšenému nepříznivému dopadu stávajícího nebo očekávaného budoucího klimatu na samotné opatření nebo na osoby, přírodu nebo aktiva?</w:t>
            </w:r>
          </w:p>
        </w:tc>
        <w:tc>
          <w:tcPr>
            <w:tcW w:w="829" w:type="dxa"/>
            <w:shd w:val="clear" w:color="auto" w:fill="auto"/>
          </w:tcPr>
          <w:p w14:paraId="4263F10D" w14:textId="77777777" w:rsidR="00D0545F" w:rsidRPr="004B7A0E" w:rsidRDefault="00D0545F" w:rsidP="00615EE2">
            <w:pPr>
              <w:rPr>
                <w:rFonts w:cstheme="minorHAnsi"/>
              </w:rPr>
            </w:pPr>
            <w:r w:rsidRPr="004B7A0E">
              <w:rPr>
                <w:rFonts w:cstheme="minorHAnsi"/>
              </w:rPr>
              <w:t>ne</w:t>
            </w:r>
          </w:p>
        </w:tc>
        <w:tc>
          <w:tcPr>
            <w:tcW w:w="4257" w:type="dxa"/>
            <w:shd w:val="clear" w:color="auto" w:fill="auto"/>
          </w:tcPr>
          <w:p w14:paraId="0F2349AE" w14:textId="77777777" w:rsidR="00D0545F" w:rsidRPr="004B7A0E" w:rsidRDefault="00D0545F" w:rsidP="00615EE2">
            <w:pPr>
              <w:rPr>
                <w:rFonts w:cstheme="minorHAnsi"/>
                <w:u w:val="single"/>
              </w:rPr>
            </w:pPr>
          </w:p>
        </w:tc>
      </w:tr>
      <w:tr w:rsidR="00D0545F" w:rsidRPr="004B7A0E" w14:paraId="2CF94AD9" w14:textId="77777777" w:rsidTr="00615EE2">
        <w:tc>
          <w:tcPr>
            <w:tcW w:w="3974" w:type="dxa"/>
            <w:shd w:val="clear" w:color="auto" w:fill="auto"/>
          </w:tcPr>
          <w:p w14:paraId="21D57E1E" w14:textId="6928043F" w:rsidR="00D0545F" w:rsidRPr="004B7A0E" w:rsidRDefault="00D0545F" w:rsidP="00615EE2">
            <w:pPr>
              <w:rPr>
                <w:rFonts w:cstheme="minorHAnsi"/>
                <w:i/>
                <w:iCs/>
              </w:rPr>
            </w:pPr>
            <w:r w:rsidRPr="004B7A0E">
              <w:rPr>
                <w:rFonts w:cstheme="minorHAnsi"/>
                <w:i/>
                <w:iCs/>
              </w:rPr>
              <w:t xml:space="preserve">Udržitelné využívání a ochrana vodních </w:t>
            </w:r>
            <w:r w:rsidR="00EF5F1B">
              <w:rPr>
                <w:rFonts w:cstheme="minorHAnsi"/>
                <w:i/>
                <w:iCs/>
              </w:rPr>
              <w:br/>
            </w:r>
            <w:r w:rsidRPr="004B7A0E">
              <w:rPr>
                <w:rFonts w:cstheme="minorHAnsi"/>
                <w:i/>
                <w:iCs/>
              </w:rPr>
              <w:t>a mořských zdrojů</w:t>
            </w:r>
          </w:p>
          <w:p w14:paraId="1654106E" w14:textId="77777777" w:rsidR="00D0545F" w:rsidRPr="004B7A0E" w:rsidRDefault="00D0545F" w:rsidP="00615EE2">
            <w:pPr>
              <w:rPr>
                <w:rFonts w:cstheme="minorHAnsi"/>
              </w:rPr>
            </w:pPr>
            <w:r w:rsidRPr="004B7A0E">
              <w:rPr>
                <w:rFonts w:cstheme="minorHAnsi"/>
              </w:rPr>
              <w:t xml:space="preserve">Očekává se, že </w:t>
            </w:r>
            <w:r>
              <w:rPr>
                <w:rFonts w:cstheme="minorHAnsi"/>
              </w:rPr>
              <w:t>činnost</w:t>
            </w:r>
            <w:r w:rsidRPr="004B7A0E">
              <w:rPr>
                <w:rFonts w:cstheme="minorHAnsi"/>
              </w:rPr>
              <w:t xml:space="preserve"> poškodí:</w:t>
            </w:r>
          </w:p>
          <w:p w14:paraId="32070309" w14:textId="77777777" w:rsidR="00D0545F" w:rsidRPr="004B7A0E" w:rsidRDefault="00D0545F" w:rsidP="00D0545F">
            <w:pPr>
              <w:numPr>
                <w:ilvl w:val="0"/>
                <w:numId w:val="5"/>
              </w:numPr>
              <w:spacing w:after="0" w:line="240" w:lineRule="auto"/>
              <w:ind w:left="284" w:hanging="284"/>
              <w:rPr>
                <w:rFonts w:cstheme="minorHAnsi"/>
                <w:u w:val="single"/>
              </w:rPr>
            </w:pPr>
            <w:r w:rsidRPr="004B7A0E">
              <w:rPr>
                <w:rFonts w:cstheme="minorHAnsi"/>
              </w:rPr>
              <w:t xml:space="preserve">dobrý stav nebo dobrý ekologický potenciál vodních útvarů, včetně povrchových a podzemních vod, nebo </w:t>
            </w:r>
          </w:p>
          <w:p w14:paraId="520C3727" w14:textId="77777777" w:rsidR="00D0545F" w:rsidRPr="004B7A0E" w:rsidRDefault="00D0545F" w:rsidP="00D0545F">
            <w:pPr>
              <w:numPr>
                <w:ilvl w:val="0"/>
                <w:numId w:val="5"/>
              </w:numPr>
              <w:spacing w:after="0" w:line="240" w:lineRule="auto"/>
              <w:ind w:left="284" w:hanging="284"/>
              <w:rPr>
                <w:rFonts w:cstheme="minorHAnsi"/>
                <w:u w:val="single"/>
              </w:rPr>
            </w:pPr>
            <w:r w:rsidRPr="004B7A0E">
              <w:rPr>
                <w:rFonts w:cstheme="minorHAnsi"/>
              </w:rPr>
              <w:t>dobrý stav prostředí mořských vod?</w:t>
            </w:r>
          </w:p>
        </w:tc>
        <w:tc>
          <w:tcPr>
            <w:tcW w:w="829" w:type="dxa"/>
            <w:shd w:val="clear" w:color="auto" w:fill="auto"/>
          </w:tcPr>
          <w:p w14:paraId="39ACA690" w14:textId="77777777" w:rsidR="00D0545F" w:rsidRPr="004B7A0E" w:rsidRDefault="00D0545F" w:rsidP="00615EE2">
            <w:pPr>
              <w:rPr>
                <w:rFonts w:cstheme="minorHAnsi"/>
              </w:rPr>
            </w:pPr>
            <w:r w:rsidRPr="004B7A0E">
              <w:rPr>
                <w:rFonts w:cstheme="minorHAnsi"/>
              </w:rPr>
              <w:t>ne</w:t>
            </w:r>
          </w:p>
        </w:tc>
        <w:tc>
          <w:tcPr>
            <w:tcW w:w="4257" w:type="dxa"/>
            <w:shd w:val="clear" w:color="auto" w:fill="auto"/>
          </w:tcPr>
          <w:p w14:paraId="2F7EC286" w14:textId="77777777" w:rsidR="00D0545F" w:rsidRPr="004B7A0E" w:rsidRDefault="00D0545F" w:rsidP="00615EE2">
            <w:pPr>
              <w:rPr>
                <w:rFonts w:cstheme="minorHAnsi"/>
                <w:u w:val="single"/>
              </w:rPr>
            </w:pPr>
          </w:p>
        </w:tc>
      </w:tr>
      <w:tr w:rsidR="00D0545F" w:rsidRPr="004B7A0E" w14:paraId="31058309" w14:textId="77777777" w:rsidTr="00615EE2">
        <w:tc>
          <w:tcPr>
            <w:tcW w:w="3974" w:type="dxa"/>
            <w:shd w:val="clear" w:color="auto" w:fill="auto"/>
          </w:tcPr>
          <w:p w14:paraId="72B93B33" w14:textId="031DEE9E" w:rsidR="00D0545F" w:rsidRPr="004B7A0E" w:rsidRDefault="00D0545F" w:rsidP="00615EE2">
            <w:pPr>
              <w:rPr>
                <w:rFonts w:cstheme="minorHAnsi"/>
                <w:i/>
                <w:iCs/>
              </w:rPr>
            </w:pPr>
            <w:r w:rsidRPr="004B7A0E">
              <w:rPr>
                <w:rFonts w:cstheme="minorHAnsi"/>
                <w:i/>
                <w:iCs/>
              </w:rPr>
              <w:t xml:space="preserve">Přechod k oběhovému hospodářství, včetně předcházení vzniku odpadů </w:t>
            </w:r>
            <w:r w:rsidR="00EF5F1B">
              <w:rPr>
                <w:rFonts w:cstheme="minorHAnsi"/>
                <w:i/>
                <w:iCs/>
              </w:rPr>
              <w:br/>
            </w:r>
            <w:r w:rsidRPr="004B7A0E">
              <w:rPr>
                <w:rFonts w:cstheme="minorHAnsi"/>
                <w:i/>
                <w:iCs/>
              </w:rPr>
              <w:t>a recyklace</w:t>
            </w:r>
          </w:p>
          <w:p w14:paraId="47210199" w14:textId="77777777" w:rsidR="00D0545F" w:rsidRPr="004B7A0E" w:rsidRDefault="00D0545F" w:rsidP="00615EE2">
            <w:pPr>
              <w:rPr>
                <w:rFonts w:cstheme="minorHAnsi"/>
              </w:rPr>
            </w:pPr>
            <w:r w:rsidRPr="004B7A0E">
              <w:rPr>
                <w:rFonts w:cstheme="minorHAnsi"/>
              </w:rPr>
              <w:t xml:space="preserve">Očekává se, že </w:t>
            </w:r>
            <w:r>
              <w:rPr>
                <w:rFonts w:cstheme="minorHAnsi"/>
              </w:rPr>
              <w:t>činnost</w:t>
            </w:r>
            <w:r w:rsidRPr="004B7A0E">
              <w:rPr>
                <w:rFonts w:cstheme="minorHAnsi"/>
              </w:rPr>
              <w:t>í:</w:t>
            </w:r>
          </w:p>
          <w:p w14:paraId="58471DFA" w14:textId="77777777" w:rsidR="00D0545F" w:rsidRPr="004B7A0E" w:rsidRDefault="00D0545F" w:rsidP="00D0545F">
            <w:pPr>
              <w:numPr>
                <w:ilvl w:val="0"/>
                <w:numId w:val="4"/>
              </w:numPr>
              <w:spacing w:after="0" w:line="240" w:lineRule="auto"/>
              <w:ind w:left="284" w:hanging="284"/>
              <w:rPr>
                <w:rFonts w:cstheme="minorHAnsi"/>
              </w:rPr>
            </w:pPr>
            <w:r w:rsidRPr="004B7A0E">
              <w:rPr>
                <w:rFonts w:cstheme="minorHAnsi"/>
              </w:rPr>
              <w:t>povede k významnému zvýšení vzniku, spalování nebo odstraňování odpadu, s výjimkou spalování nerecyklovatelného nebezpečného odpadu nebo</w:t>
            </w:r>
          </w:p>
          <w:p w14:paraId="3B55E007" w14:textId="2E57CFAF" w:rsidR="00D0545F" w:rsidRPr="004B7A0E" w:rsidRDefault="00D0545F" w:rsidP="00D0545F">
            <w:pPr>
              <w:numPr>
                <w:ilvl w:val="0"/>
                <w:numId w:val="4"/>
              </w:numPr>
              <w:spacing w:after="0" w:line="240" w:lineRule="auto"/>
              <w:ind w:left="284" w:hanging="284"/>
              <w:rPr>
                <w:rFonts w:cstheme="minorHAnsi"/>
              </w:rPr>
            </w:pPr>
            <w:r w:rsidRPr="004B7A0E">
              <w:rPr>
                <w:rFonts w:cstheme="minorHAnsi"/>
              </w:rPr>
              <w:t xml:space="preserve">povede k významné nehospodárnosti při přímém nebo nepřímém využívání jakéhokoli přírodního zdroje (1) </w:t>
            </w:r>
            <w:r w:rsidR="00EF5F1B">
              <w:rPr>
                <w:rFonts w:cstheme="minorHAnsi"/>
              </w:rPr>
              <w:br/>
            </w:r>
            <w:r w:rsidRPr="004B7A0E">
              <w:rPr>
                <w:rFonts w:cstheme="minorHAnsi"/>
              </w:rPr>
              <w:t xml:space="preserve">v jakékoli fázi jeho životního cyklu, která není vhodnými opatřeními minimalizována (2), nebo </w:t>
            </w:r>
          </w:p>
          <w:p w14:paraId="68804F12" w14:textId="77777777" w:rsidR="00D0545F" w:rsidRPr="004B7A0E" w:rsidRDefault="00D0545F" w:rsidP="00D0545F">
            <w:pPr>
              <w:numPr>
                <w:ilvl w:val="0"/>
                <w:numId w:val="4"/>
              </w:numPr>
              <w:spacing w:after="0" w:line="240" w:lineRule="auto"/>
              <w:ind w:left="284" w:hanging="284"/>
              <w:rPr>
                <w:rFonts w:cstheme="minorHAnsi"/>
              </w:rPr>
            </w:pPr>
            <w:r w:rsidRPr="004B7A0E">
              <w:rPr>
                <w:rFonts w:cstheme="minorHAnsi"/>
              </w:rPr>
              <w:t xml:space="preserve">způsobí významné a dlouhodobé škody na životním prostředí v souvislosti s oběhovým hospodářstvím (3)? </w:t>
            </w:r>
          </w:p>
        </w:tc>
        <w:tc>
          <w:tcPr>
            <w:tcW w:w="829" w:type="dxa"/>
            <w:shd w:val="clear" w:color="auto" w:fill="auto"/>
          </w:tcPr>
          <w:p w14:paraId="1D666046" w14:textId="77777777" w:rsidR="00D0545F" w:rsidRPr="004B7A0E" w:rsidRDefault="00D0545F" w:rsidP="00615EE2">
            <w:pPr>
              <w:rPr>
                <w:rFonts w:cstheme="minorHAnsi"/>
              </w:rPr>
            </w:pPr>
            <w:r w:rsidRPr="004B7A0E">
              <w:rPr>
                <w:rFonts w:cstheme="minorHAnsi"/>
              </w:rPr>
              <w:t>ne</w:t>
            </w:r>
          </w:p>
        </w:tc>
        <w:tc>
          <w:tcPr>
            <w:tcW w:w="4257" w:type="dxa"/>
            <w:shd w:val="clear" w:color="auto" w:fill="auto"/>
          </w:tcPr>
          <w:p w14:paraId="7B882522" w14:textId="77777777" w:rsidR="00D0545F" w:rsidRPr="004B7A0E" w:rsidRDefault="00D0545F" w:rsidP="00615EE2">
            <w:pPr>
              <w:rPr>
                <w:rFonts w:cstheme="minorHAnsi"/>
                <w:u w:val="single"/>
              </w:rPr>
            </w:pPr>
          </w:p>
        </w:tc>
      </w:tr>
      <w:tr w:rsidR="00D0545F" w:rsidRPr="004B7A0E" w14:paraId="68488C86" w14:textId="77777777" w:rsidTr="00615EE2">
        <w:tc>
          <w:tcPr>
            <w:tcW w:w="3974" w:type="dxa"/>
            <w:shd w:val="clear" w:color="auto" w:fill="auto"/>
          </w:tcPr>
          <w:p w14:paraId="3B80C982" w14:textId="3F37D2CF" w:rsidR="00D0545F" w:rsidRPr="004B7A0E" w:rsidRDefault="00D0545F" w:rsidP="00615EE2">
            <w:pPr>
              <w:rPr>
                <w:rFonts w:cstheme="minorHAnsi"/>
                <w:u w:val="single"/>
              </w:rPr>
            </w:pPr>
            <w:r w:rsidRPr="004B7A0E">
              <w:rPr>
                <w:rFonts w:cstheme="minorHAnsi"/>
              </w:rPr>
              <w:t xml:space="preserve">Prevence a omezování znečištění: Očekává se, že </w:t>
            </w:r>
            <w:r>
              <w:rPr>
                <w:rFonts w:cstheme="minorHAnsi"/>
              </w:rPr>
              <w:t>činnost</w:t>
            </w:r>
            <w:r w:rsidRPr="004B7A0E">
              <w:rPr>
                <w:rFonts w:cstheme="minorHAnsi"/>
              </w:rPr>
              <w:t xml:space="preserve"> povede </w:t>
            </w:r>
            <w:r w:rsidR="00EF5F1B">
              <w:rPr>
                <w:rFonts w:cstheme="minorHAnsi"/>
              </w:rPr>
              <w:br/>
            </w:r>
            <w:r w:rsidRPr="004B7A0E">
              <w:rPr>
                <w:rFonts w:cstheme="minorHAnsi"/>
              </w:rPr>
              <w:t>k významnému zvýšení emisí znečišťujících látek (4) do ovzduší, vody nebo krajiny?</w:t>
            </w:r>
          </w:p>
        </w:tc>
        <w:tc>
          <w:tcPr>
            <w:tcW w:w="829" w:type="dxa"/>
            <w:shd w:val="clear" w:color="auto" w:fill="auto"/>
          </w:tcPr>
          <w:p w14:paraId="56BF66E1" w14:textId="77777777" w:rsidR="00D0545F" w:rsidRPr="004B7A0E" w:rsidRDefault="00D0545F" w:rsidP="00615EE2">
            <w:pPr>
              <w:rPr>
                <w:rFonts w:cstheme="minorHAnsi"/>
              </w:rPr>
            </w:pPr>
            <w:r w:rsidRPr="004B7A0E">
              <w:rPr>
                <w:rFonts w:cstheme="minorHAnsi"/>
              </w:rPr>
              <w:t>ne</w:t>
            </w:r>
          </w:p>
        </w:tc>
        <w:tc>
          <w:tcPr>
            <w:tcW w:w="4257" w:type="dxa"/>
            <w:shd w:val="clear" w:color="auto" w:fill="auto"/>
          </w:tcPr>
          <w:p w14:paraId="07DA99BD" w14:textId="77777777" w:rsidR="00D0545F" w:rsidRPr="004B7A0E" w:rsidRDefault="00D0545F" w:rsidP="00615EE2">
            <w:pPr>
              <w:rPr>
                <w:rFonts w:cstheme="minorHAnsi"/>
                <w:u w:val="single"/>
              </w:rPr>
            </w:pPr>
          </w:p>
        </w:tc>
      </w:tr>
      <w:tr w:rsidR="00D0545F" w:rsidRPr="004B7A0E" w14:paraId="4F53FC45" w14:textId="77777777" w:rsidTr="00615EE2">
        <w:tc>
          <w:tcPr>
            <w:tcW w:w="3974" w:type="dxa"/>
            <w:shd w:val="clear" w:color="auto" w:fill="auto"/>
          </w:tcPr>
          <w:p w14:paraId="4243D89B" w14:textId="77777777" w:rsidR="00D0545F" w:rsidRPr="004B7A0E" w:rsidRDefault="00D0545F" w:rsidP="00615EE2">
            <w:pPr>
              <w:rPr>
                <w:rFonts w:cstheme="minorHAnsi"/>
              </w:rPr>
            </w:pPr>
            <w:r w:rsidRPr="004B7A0E">
              <w:rPr>
                <w:rFonts w:cstheme="minorHAnsi"/>
                <w:i/>
                <w:iCs/>
              </w:rPr>
              <w:lastRenderedPageBreak/>
              <w:t>Ochrana a obnova biologické rozmanitosti a ekosystémů</w:t>
            </w:r>
            <w:r w:rsidRPr="004B7A0E">
              <w:rPr>
                <w:rFonts w:cstheme="minorHAnsi"/>
              </w:rPr>
              <w:t xml:space="preserve"> </w:t>
            </w:r>
          </w:p>
          <w:p w14:paraId="3FD989AD" w14:textId="77777777" w:rsidR="00D0545F" w:rsidRPr="004B7A0E" w:rsidRDefault="00D0545F" w:rsidP="00615EE2">
            <w:pPr>
              <w:rPr>
                <w:rFonts w:cstheme="minorHAnsi"/>
              </w:rPr>
            </w:pPr>
            <w:r w:rsidRPr="004B7A0E">
              <w:rPr>
                <w:rFonts w:cstheme="minorHAnsi"/>
              </w:rPr>
              <w:t xml:space="preserve">Očekává se, že </w:t>
            </w:r>
            <w:r>
              <w:rPr>
                <w:rFonts w:cstheme="minorHAnsi"/>
              </w:rPr>
              <w:t>činnost</w:t>
            </w:r>
            <w:r w:rsidRPr="004B7A0E">
              <w:rPr>
                <w:rFonts w:cstheme="minorHAnsi"/>
              </w:rPr>
              <w:t xml:space="preserve">: </w:t>
            </w:r>
          </w:p>
          <w:p w14:paraId="178383BF" w14:textId="77777777" w:rsidR="00D0545F" w:rsidRPr="004B7A0E" w:rsidRDefault="00D0545F" w:rsidP="00D0545F">
            <w:pPr>
              <w:numPr>
                <w:ilvl w:val="0"/>
                <w:numId w:val="6"/>
              </w:numPr>
              <w:spacing w:after="0" w:line="240" w:lineRule="auto"/>
              <w:ind w:left="426" w:hanging="426"/>
              <w:rPr>
                <w:rFonts w:cstheme="minorHAnsi"/>
              </w:rPr>
            </w:pPr>
            <w:r w:rsidRPr="004B7A0E">
              <w:rPr>
                <w:rFonts w:cstheme="minorHAnsi"/>
              </w:rPr>
              <w:t>ve významné míře poškodí dobrý stav (5) a odolnost ekosystémů nebo</w:t>
            </w:r>
          </w:p>
          <w:p w14:paraId="2B61FE52" w14:textId="77777777" w:rsidR="00D0545F" w:rsidRPr="004B7A0E" w:rsidRDefault="00D0545F" w:rsidP="00D0545F">
            <w:pPr>
              <w:numPr>
                <w:ilvl w:val="0"/>
                <w:numId w:val="6"/>
              </w:numPr>
              <w:spacing w:after="0" w:line="240" w:lineRule="auto"/>
              <w:ind w:left="426" w:hanging="426"/>
              <w:rPr>
                <w:rFonts w:cstheme="minorHAnsi"/>
                <w:u w:val="single"/>
              </w:rPr>
            </w:pPr>
            <w:r w:rsidRPr="004B7A0E">
              <w:rPr>
                <w:rFonts w:cstheme="minorHAnsi"/>
              </w:rPr>
              <w:t>poškodí stav stanovišť a druhů, včetně stanovišť a druhů v zájmu Unie, z hlediska jejich ochrany?</w:t>
            </w:r>
          </w:p>
        </w:tc>
        <w:tc>
          <w:tcPr>
            <w:tcW w:w="829" w:type="dxa"/>
            <w:shd w:val="clear" w:color="auto" w:fill="auto"/>
          </w:tcPr>
          <w:p w14:paraId="696651A6" w14:textId="77777777" w:rsidR="00D0545F" w:rsidRPr="004B7A0E" w:rsidRDefault="00D0545F" w:rsidP="00615EE2">
            <w:pPr>
              <w:rPr>
                <w:rFonts w:cstheme="minorHAnsi"/>
              </w:rPr>
            </w:pPr>
            <w:r w:rsidRPr="004B7A0E">
              <w:rPr>
                <w:rFonts w:cstheme="minorHAnsi"/>
              </w:rPr>
              <w:t>ne</w:t>
            </w:r>
          </w:p>
        </w:tc>
        <w:tc>
          <w:tcPr>
            <w:tcW w:w="4257" w:type="dxa"/>
            <w:shd w:val="clear" w:color="auto" w:fill="auto"/>
          </w:tcPr>
          <w:p w14:paraId="1557408C" w14:textId="77777777" w:rsidR="00D0545F" w:rsidRPr="004B7A0E" w:rsidRDefault="00D0545F" w:rsidP="00615EE2">
            <w:pPr>
              <w:rPr>
                <w:rFonts w:cstheme="minorHAnsi"/>
                <w:u w:val="single"/>
              </w:rPr>
            </w:pPr>
          </w:p>
        </w:tc>
      </w:tr>
    </w:tbl>
    <w:p w14:paraId="35031C10" w14:textId="72DA96CB" w:rsidR="00D0545F" w:rsidRPr="004B7A0E" w:rsidRDefault="00D0545F" w:rsidP="006875C0">
      <w:pPr>
        <w:spacing w:before="120"/>
        <w:rPr>
          <w:rFonts w:cstheme="minorHAnsi"/>
          <w:i/>
          <w:iCs/>
        </w:rPr>
      </w:pPr>
      <w:r w:rsidRPr="004B7A0E">
        <w:rPr>
          <w:rFonts w:cstheme="minorHAnsi"/>
          <w:i/>
          <w:iCs/>
        </w:rPr>
        <w:t>Vysvětlivky:</w:t>
      </w:r>
    </w:p>
    <w:p w14:paraId="535858FE" w14:textId="77777777" w:rsidR="00D0545F" w:rsidRPr="004B7A0E" w:rsidRDefault="00D0545F" w:rsidP="00D0545F">
      <w:pPr>
        <w:numPr>
          <w:ilvl w:val="0"/>
          <w:numId w:val="7"/>
        </w:numPr>
        <w:spacing w:after="0" w:line="240" w:lineRule="auto"/>
        <w:rPr>
          <w:rFonts w:cstheme="minorHAnsi"/>
          <w:i/>
          <w:iCs/>
        </w:rPr>
      </w:pPr>
      <w:r w:rsidRPr="004B7A0E">
        <w:rPr>
          <w:rFonts w:cstheme="minorHAnsi"/>
          <w:i/>
          <w:iCs/>
        </w:rPr>
        <w:t>Přírodní zdroje zahrnují energii, materiály, kovy, vodu, biomasu, vzduch a půdu.</w:t>
      </w:r>
    </w:p>
    <w:p w14:paraId="7F5AF78A" w14:textId="00E5799D" w:rsidR="00D0545F" w:rsidRPr="004B7A0E" w:rsidRDefault="00D0545F" w:rsidP="00D0545F">
      <w:pPr>
        <w:numPr>
          <w:ilvl w:val="0"/>
          <w:numId w:val="7"/>
        </w:numPr>
        <w:spacing w:after="0" w:line="240" w:lineRule="auto"/>
        <w:jc w:val="both"/>
        <w:rPr>
          <w:rFonts w:cstheme="minorHAnsi"/>
          <w:i/>
          <w:iCs/>
        </w:rPr>
      </w:pPr>
      <w:r w:rsidRPr="004B7A0E">
        <w:rPr>
          <w:rFonts w:cstheme="minorHAnsi"/>
          <w:i/>
          <w:iCs/>
        </w:rPr>
        <w:t xml:space="preserve">Nehospodárnost lze například minimalizovat výrazným zvýšením trvanlivosti, opravitelnosti, </w:t>
      </w:r>
      <w:proofErr w:type="spellStart"/>
      <w:r w:rsidRPr="004B7A0E">
        <w:rPr>
          <w:rFonts w:cstheme="minorHAnsi"/>
          <w:i/>
          <w:iCs/>
        </w:rPr>
        <w:t>modernizovatelnosti</w:t>
      </w:r>
      <w:proofErr w:type="spellEnd"/>
      <w:r w:rsidRPr="004B7A0E">
        <w:rPr>
          <w:rFonts w:cstheme="minorHAnsi"/>
          <w:i/>
          <w:iCs/>
        </w:rPr>
        <w:t xml:space="preserve"> a opětovné použitelnosti výrobků nebo výrazným snížením zdrojů prostřednictvím konstrukčního řešení a výběru materiálů, usnadněním opětovného použití, demontáží a rozebráním, zejména s cílem omezit používání nových stavebních materiálů </w:t>
      </w:r>
      <w:r w:rsidR="00EF5F1B">
        <w:rPr>
          <w:rFonts w:cstheme="minorHAnsi"/>
          <w:i/>
          <w:iCs/>
        </w:rPr>
        <w:br/>
      </w:r>
      <w:r w:rsidRPr="004B7A0E">
        <w:rPr>
          <w:rFonts w:cstheme="minorHAnsi"/>
          <w:i/>
          <w:iCs/>
        </w:rPr>
        <w:t xml:space="preserve">a podpořit opětovné použití stavebních materiálů. Přechod na podnikatelský model typu „produkt jako služba“ a oběhové hodnotové řetězce s cílem zajistit, aby si výrobky, součástky </w:t>
      </w:r>
      <w:r w:rsidR="00EF5F1B">
        <w:rPr>
          <w:rFonts w:cstheme="minorHAnsi"/>
          <w:i/>
          <w:iCs/>
        </w:rPr>
        <w:br/>
      </w:r>
      <w:r w:rsidRPr="004B7A0E">
        <w:rPr>
          <w:rFonts w:cstheme="minorHAnsi"/>
          <w:i/>
          <w:iCs/>
        </w:rPr>
        <w:t>a materiály zachovaly po co nejdelší dobu nejvyšší možnou využitelnost a hodnotu. Součástí je i významné snižování obsahu nebezpečných látek v materiálech a výrobcích během celého životního cyklu, a to i jejich nahrazováním bezpečnějšími alternativami. Dále pak také výrazné omezování potravinového odpadu při produkci, zpracovávání, výrobě či distribuci potravin.</w:t>
      </w:r>
    </w:p>
    <w:p w14:paraId="5FD75F38" w14:textId="7E773B92" w:rsidR="00D0545F" w:rsidRPr="004B7A0E" w:rsidRDefault="00D0545F" w:rsidP="00D0545F">
      <w:pPr>
        <w:numPr>
          <w:ilvl w:val="0"/>
          <w:numId w:val="7"/>
        </w:numPr>
        <w:spacing w:after="0" w:line="240" w:lineRule="auto"/>
        <w:jc w:val="both"/>
        <w:rPr>
          <w:rFonts w:cstheme="minorHAnsi"/>
          <w:i/>
          <w:iCs/>
        </w:rPr>
      </w:pPr>
      <w:r w:rsidRPr="004B7A0E">
        <w:rPr>
          <w:rFonts w:cstheme="minorHAnsi"/>
          <w:i/>
          <w:iCs/>
        </w:rPr>
        <w:t xml:space="preserve">Více informací o cíli oběhového hospodářství naleznete v 27. bodě odůvodnění nařízení </w:t>
      </w:r>
      <w:r w:rsidR="00EF5F1B">
        <w:rPr>
          <w:rFonts w:cstheme="minorHAnsi"/>
          <w:i/>
          <w:iCs/>
        </w:rPr>
        <w:br/>
      </w:r>
      <w:r w:rsidRPr="004B7A0E">
        <w:rPr>
          <w:rFonts w:cstheme="minorHAnsi"/>
          <w:i/>
          <w:iCs/>
        </w:rPr>
        <w:t>o taxonomii.</w:t>
      </w:r>
    </w:p>
    <w:p w14:paraId="646CCB5F" w14:textId="77777777" w:rsidR="00D0545F" w:rsidRPr="004B7A0E" w:rsidRDefault="00D0545F" w:rsidP="00D0545F">
      <w:pPr>
        <w:numPr>
          <w:ilvl w:val="0"/>
          <w:numId w:val="7"/>
        </w:numPr>
        <w:spacing w:after="0" w:line="240" w:lineRule="auto"/>
        <w:jc w:val="both"/>
        <w:rPr>
          <w:rFonts w:cstheme="minorHAnsi"/>
          <w:i/>
          <w:iCs/>
        </w:rPr>
      </w:pPr>
      <w:r w:rsidRPr="004B7A0E">
        <w:rPr>
          <w:rFonts w:cstheme="minorHAnsi"/>
          <w:i/>
          <w:iCs/>
        </w:rPr>
        <w:t>Znečišťujícími látkami se rozumí látky, vibrace, teplo, hluk, světlo nebo jiné kontaminující látky přítomné v ovzduší, ve vodě nebo v krajině, které mohou být škodlivé pro lidské zdraví nebo pro životní prostředí.</w:t>
      </w:r>
    </w:p>
    <w:p w14:paraId="3CC2E829" w14:textId="77777777" w:rsidR="00D0545F" w:rsidRDefault="00D0545F" w:rsidP="00D0545F">
      <w:pPr>
        <w:numPr>
          <w:ilvl w:val="0"/>
          <w:numId w:val="7"/>
        </w:numPr>
        <w:spacing w:after="0" w:line="240" w:lineRule="auto"/>
        <w:jc w:val="both"/>
        <w:rPr>
          <w:rFonts w:cstheme="minorHAnsi"/>
        </w:rPr>
      </w:pPr>
      <w:r w:rsidRPr="004B7A0E">
        <w:rPr>
          <w:rFonts w:cstheme="minorHAnsi"/>
          <w:i/>
          <w:iCs/>
        </w:rPr>
        <w:t xml:space="preserve">V souladu s čl. 2 bodem 16 nařízení o taxonomii se „dobrým stavem ekosystému“ rozumí skutečnost, že je ekosystém v dobrém fyzickém, chemickém a biologickém stavu nebo je dobré fyzikální, chemické a biologické kvality se schopností </w:t>
      </w:r>
      <w:proofErr w:type="spellStart"/>
      <w:r w:rsidRPr="004B7A0E">
        <w:rPr>
          <w:rFonts w:cstheme="minorHAnsi"/>
          <w:i/>
          <w:iCs/>
        </w:rPr>
        <w:t>samoreprodukce</w:t>
      </w:r>
      <w:proofErr w:type="spellEnd"/>
      <w:r w:rsidRPr="004B7A0E">
        <w:rPr>
          <w:rFonts w:cstheme="minorHAnsi"/>
          <w:i/>
          <w:iCs/>
        </w:rPr>
        <w:t xml:space="preserve"> nebo obnovy vlastní rovnováhy, ve kterém není ohrožena druhová skladba, struktura ekosystému a ekologické funkce</w:t>
      </w:r>
      <w:r w:rsidRPr="004B7A0E">
        <w:rPr>
          <w:rFonts w:cstheme="minorHAnsi"/>
        </w:rPr>
        <w:t>“.</w:t>
      </w:r>
    </w:p>
    <w:p w14:paraId="09AA5942" w14:textId="77777777" w:rsidR="00D0545F" w:rsidRDefault="00D0545F" w:rsidP="00D0545F">
      <w:pPr>
        <w:spacing w:after="0" w:line="240" w:lineRule="auto"/>
        <w:rPr>
          <w:rFonts w:cstheme="minorHAnsi"/>
          <w:sz w:val="24"/>
          <w:szCs w:val="24"/>
        </w:rPr>
      </w:pPr>
    </w:p>
    <w:p w14:paraId="32B7360E" w14:textId="258B6748" w:rsidR="00C11F31" w:rsidRDefault="00C11F31" w:rsidP="00D0545F">
      <w:pPr>
        <w:rPr>
          <w:sz w:val="24"/>
          <w:szCs w:val="24"/>
        </w:rPr>
      </w:pPr>
      <w:r>
        <w:rPr>
          <w:sz w:val="24"/>
          <w:szCs w:val="24"/>
        </w:rPr>
        <w:t>Já níže podepsaný, ……… jako Technický dozor investora (</w:t>
      </w:r>
      <w:r w:rsidR="009A44CD">
        <w:rPr>
          <w:sz w:val="24"/>
          <w:szCs w:val="24"/>
        </w:rPr>
        <w:t>TDI) potvrzuji</w:t>
      </w:r>
      <w:r w:rsidR="00D0545F" w:rsidRPr="00A312AB">
        <w:rPr>
          <w:sz w:val="24"/>
          <w:szCs w:val="24"/>
        </w:rPr>
        <w:t xml:space="preserve">, jakým způsobem </w:t>
      </w:r>
      <w:r w:rsidR="00572524">
        <w:rPr>
          <w:sz w:val="24"/>
          <w:szCs w:val="24"/>
        </w:rPr>
        <w:t xml:space="preserve">jsem </w:t>
      </w:r>
      <w:r w:rsidR="00D0545F" w:rsidRPr="00A312AB">
        <w:rPr>
          <w:sz w:val="24"/>
          <w:szCs w:val="24"/>
        </w:rPr>
        <w:t>u jednotlivých environmentálních cílů</w:t>
      </w:r>
      <w:r w:rsidR="00545C85">
        <w:rPr>
          <w:sz w:val="24"/>
          <w:szCs w:val="24"/>
        </w:rPr>
        <w:t xml:space="preserve"> v rámci projektu</w:t>
      </w:r>
      <w:r w:rsidR="00D0545F" w:rsidRPr="00A312AB">
        <w:rPr>
          <w:sz w:val="24"/>
          <w:szCs w:val="24"/>
        </w:rPr>
        <w:t xml:space="preserve"> postupoval, aby </w:t>
      </w:r>
      <w:r w:rsidR="00545C85">
        <w:rPr>
          <w:sz w:val="24"/>
          <w:szCs w:val="24"/>
        </w:rPr>
        <w:t xml:space="preserve">stavba </w:t>
      </w:r>
      <w:r w:rsidR="00D0545F" w:rsidRPr="00A312AB">
        <w:rPr>
          <w:sz w:val="24"/>
          <w:szCs w:val="24"/>
        </w:rPr>
        <w:t>významně nepoškodil</w:t>
      </w:r>
      <w:r w:rsidR="00545C85">
        <w:rPr>
          <w:sz w:val="24"/>
          <w:szCs w:val="24"/>
        </w:rPr>
        <w:t>a</w:t>
      </w:r>
      <w:r w:rsidR="00D0545F" w:rsidRPr="00A312AB">
        <w:rPr>
          <w:sz w:val="24"/>
          <w:szCs w:val="24"/>
        </w:rPr>
        <w:t xml:space="preserve"> životní prostředí</w:t>
      </w:r>
      <w:r w:rsidR="00D0545F">
        <w:rPr>
          <w:sz w:val="24"/>
          <w:szCs w:val="24"/>
        </w:rPr>
        <w:t>.</w:t>
      </w:r>
    </w:p>
    <w:p w14:paraId="03564766" w14:textId="7B8235BD" w:rsidR="00C11F31" w:rsidRPr="00C70B23" w:rsidRDefault="00C11F31" w:rsidP="00615EE2">
      <w:pPr>
        <w:jc w:val="both"/>
        <w:rPr>
          <w:sz w:val="24"/>
          <w:szCs w:val="24"/>
        </w:rPr>
      </w:pPr>
      <w:bookmarkStart w:id="2" w:name="_Hlk96547944"/>
      <w:r w:rsidRPr="00C11F31">
        <w:rPr>
          <w:sz w:val="24"/>
          <w:szCs w:val="24"/>
        </w:rPr>
        <w:t xml:space="preserve">Potvrzuji, </w:t>
      </w:r>
      <w:r w:rsidR="009A44CD" w:rsidRPr="00C11F31">
        <w:rPr>
          <w:sz w:val="24"/>
          <w:szCs w:val="24"/>
        </w:rPr>
        <w:t>že činnosti</w:t>
      </w:r>
      <w:r w:rsidRPr="00C11F31">
        <w:rPr>
          <w:sz w:val="24"/>
          <w:szCs w:val="24"/>
        </w:rPr>
        <w:t xml:space="preserve"> v projektu jsou v souladu s technickými pokyny k uplatňování zásady „významně nepoškozovat“ (2021/C58/01), a splňují kritéria způsobilosti uvedená v zadávacích podmínkách výzvy k předkládání projektů.  Všechny činnosti jsou v souladu s příslušnými právními předpisy EU a vnitrostátními právními předpisy v oblasti životního prostředí, konkrétně s rámcovou směrnicí o vodě, směrnicí o povodních, směrnicí o stanovištích </w:t>
      </w:r>
      <w:r w:rsidR="00EF5F1B">
        <w:rPr>
          <w:sz w:val="24"/>
          <w:szCs w:val="24"/>
        </w:rPr>
        <w:br/>
      </w:r>
      <w:r w:rsidRPr="00C11F31">
        <w:rPr>
          <w:sz w:val="24"/>
          <w:szCs w:val="24"/>
        </w:rPr>
        <w:t>a směrnicí o ochraně ptáků, směrnicemi o posuzování vlivů na životní prostředí a strategickém posuzování vlivů na životní prostředí.“</w:t>
      </w:r>
      <w:bookmarkEnd w:id="2"/>
    </w:p>
    <w:p w14:paraId="492BC841" w14:textId="0C023316" w:rsidR="003F2687" w:rsidRDefault="003F2687" w:rsidP="00D0545F">
      <w:pPr>
        <w:rPr>
          <w:b/>
          <w:bCs/>
          <w:sz w:val="24"/>
          <w:szCs w:val="24"/>
        </w:rPr>
      </w:pPr>
      <w:r w:rsidRPr="003F2687">
        <w:rPr>
          <w:b/>
          <w:bCs/>
          <w:sz w:val="24"/>
          <w:szCs w:val="24"/>
        </w:rPr>
        <w:t>Datum a podpis Technický dozor investora</w:t>
      </w:r>
    </w:p>
    <w:p w14:paraId="7640E15F" w14:textId="77777777" w:rsidR="00B132E0" w:rsidRDefault="00B132E0" w:rsidP="00615EE2">
      <w:pPr>
        <w:rPr>
          <w:sz w:val="24"/>
          <w:szCs w:val="24"/>
        </w:rPr>
      </w:pPr>
    </w:p>
    <w:p w14:paraId="6A4ED995" w14:textId="1BCF2EBE" w:rsidR="00615EE2" w:rsidRDefault="00615EE2" w:rsidP="00615EE2">
      <w:pPr>
        <w:rPr>
          <w:sz w:val="24"/>
          <w:szCs w:val="24"/>
        </w:rPr>
      </w:pPr>
      <w:r>
        <w:rPr>
          <w:sz w:val="24"/>
          <w:szCs w:val="24"/>
        </w:rPr>
        <w:t>____________</w:t>
      </w:r>
    </w:p>
    <w:p w14:paraId="6578B327" w14:textId="741419C2" w:rsidR="003F2687" w:rsidRPr="00C70B23" w:rsidRDefault="00C70B23" w:rsidP="003F2687">
      <w:pPr>
        <w:spacing w:line="360" w:lineRule="auto"/>
        <w:jc w:val="both"/>
        <w:rPr>
          <w:rFonts w:cstheme="minorHAnsi"/>
          <w:b/>
          <w:bCs/>
          <w:sz w:val="28"/>
          <w:szCs w:val="28"/>
        </w:rPr>
      </w:pPr>
      <w:r w:rsidRPr="00C70B23">
        <w:rPr>
          <w:rFonts w:cstheme="minorHAnsi"/>
          <w:b/>
          <w:bCs/>
          <w:sz w:val="28"/>
          <w:szCs w:val="28"/>
        </w:rPr>
        <w:lastRenderedPageBreak/>
        <w:t>Dále potvrzuji tyto skutečnosti: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909"/>
        <w:gridCol w:w="4207"/>
      </w:tblGrid>
      <w:tr w:rsidR="002313CB" w:rsidRPr="004B7A0E" w14:paraId="0090BDCC" w14:textId="77777777" w:rsidTr="00615EE2">
        <w:tc>
          <w:tcPr>
            <w:tcW w:w="3974" w:type="dxa"/>
            <w:shd w:val="clear" w:color="auto" w:fill="auto"/>
          </w:tcPr>
          <w:p w14:paraId="1B369E13" w14:textId="77777777" w:rsidR="002313CB" w:rsidRPr="00115A90" w:rsidRDefault="002313CB" w:rsidP="00615EE2">
            <w:pPr>
              <w:rPr>
                <w:rFonts w:cstheme="minorHAnsi"/>
                <w:b/>
                <w:bCs/>
              </w:rPr>
            </w:pPr>
            <w:r w:rsidRPr="00115A90">
              <w:rPr>
                <w:rFonts w:cstheme="minorHAnsi"/>
                <w:b/>
                <w:bCs/>
              </w:rPr>
              <w:t>Otázka</w:t>
            </w:r>
          </w:p>
        </w:tc>
        <w:tc>
          <w:tcPr>
            <w:tcW w:w="829" w:type="dxa"/>
            <w:shd w:val="clear" w:color="auto" w:fill="auto"/>
          </w:tcPr>
          <w:p w14:paraId="195B045D" w14:textId="24677A83" w:rsidR="002313CB" w:rsidRPr="00115A90" w:rsidRDefault="00115A90" w:rsidP="00615EE2">
            <w:pPr>
              <w:rPr>
                <w:rFonts w:cstheme="minorHAnsi"/>
                <w:b/>
                <w:bCs/>
                <w:u w:val="single"/>
              </w:rPr>
            </w:pPr>
            <w:r w:rsidRPr="00115A90">
              <w:rPr>
                <w:rFonts w:cstheme="minorHAnsi"/>
                <w:b/>
                <w:bCs/>
                <w:u w:val="single"/>
              </w:rPr>
              <w:t>Ano/ne</w:t>
            </w:r>
          </w:p>
        </w:tc>
        <w:tc>
          <w:tcPr>
            <w:tcW w:w="4257" w:type="dxa"/>
            <w:shd w:val="clear" w:color="auto" w:fill="auto"/>
          </w:tcPr>
          <w:p w14:paraId="53C325DF" w14:textId="30D3B83A" w:rsidR="002313CB" w:rsidRPr="00115A90" w:rsidRDefault="002313CB" w:rsidP="00615EE2">
            <w:pPr>
              <w:rPr>
                <w:rFonts w:cstheme="minorHAnsi"/>
                <w:b/>
                <w:bCs/>
              </w:rPr>
            </w:pPr>
            <w:r w:rsidRPr="00115A90">
              <w:rPr>
                <w:rFonts w:cstheme="minorHAnsi"/>
                <w:b/>
                <w:bCs/>
              </w:rPr>
              <w:t>odůvodnění</w:t>
            </w:r>
          </w:p>
        </w:tc>
      </w:tr>
      <w:tr w:rsidR="002313CB" w:rsidRPr="004B7A0E" w14:paraId="7F79652D" w14:textId="77777777" w:rsidTr="00615EE2">
        <w:tc>
          <w:tcPr>
            <w:tcW w:w="3974" w:type="dxa"/>
            <w:shd w:val="clear" w:color="auto" w:fill="auto"/>
          </w:tcPr>
          <w:p w14:paraId="003E0E6E" w14:textId="609126EF" w:rsidR="00115A90" w:rsidRDefault="00115A90" w:rsidP="00115A90">
            <w:pPr>
              <w:overflowPunct w:val="0"/>
              <w:autoSpaceDE w:val="0"/>
              <w:autoSpaceDN w:val="0"/>
              <w:adjustRightInd w:val="0"/>
              <w:spacing w:after="0" w:line="240" w:lineRule="auto"/>
              <w:jc w:val="both"/>
              <w:rPr>
                <w:rFonts w:cstheme="minorHAnsi"/>
              </w:rPr>
            </w:pPr>
            <w:r>
              <w:rPr>
                <w:rFonts w:cstheme="minorHAnsi"/>
              </w:rPr>
              <w:t>Jsou zahrnuty prvky, které vyžadují, aby společnosti zavedly uznávaný systém environmentálního řízení, jako je EMAS (nebo případně certifikaci podle ISO 14001 či jiné rovnocenné normy), nebo aby používaly a/nebo vyráběly zboží nebo poskytovaly služby, kterým byla udělena ekoznačka EU</w:t>
            </w:r>
            <w:r>
              <w:rPr>
                <w:rStyle w:val="Znakapoznpodarou"/>
                <w:rFonts w:cstheme="minorHAnsi"/>
              </w:rPr>
              <w:footnoteReference w:id="1"/>
            </w:r>
            <w:r>
              <w:rPr>
                <w:rFonts w:cstheme="minorHAnsi"/>
              </w:rPr>
              <w:t xml:space="preserve"> nebo jiná ekoznačka typu I.</w:t>
            </w:r>
            <w:r>
              <w:rPr>
                <w:rStyle w:val="Znakapoznpodarou"/>
                <w:rFonts w:cstheme="minorHAnsi"/>
              </w:rPr>
              <w:footnoteReference w:id="2"/>
            </w:r>
          </w:p>
          <w:p w14:paraId="36831F73" w14:textId="3BF6A5A9" w:rsidR="002313CB" w:rsidRPr="004B7A0E" w:rsidRDefault="002313CB" w:rsidP="00615EE2">
            <w:pPr>
              <w:rPr>
                <w:rFonts w:cstheme="minorHAnsi"/>
              </w:rPr>
            </w:pPr>
          </w:p>
        </w:tc>
        <w:tc>
          <w:tcPr>
            <w:tcW w:w="829" w:type="dxa"/>
            <w:shd w:val="clear" w:color="auto" w:fill="auto"/>
          </w:tcPr>
          <w:p w14:paraId="5F5A59D0" w14:textId="4C648E46" w:rsidR="002313CB" w:rsidRPr="004B7A0E" w:rsidRDefault="002313CB" w:rsidP="00615EE2">
            <w:pPr>
              <w:rPr>
                <w:rFonts w:cstheme="minorHAnsi"/>
              </w:rPr>
            </w:pPr>
          </w:p>
        </w:tc>
        <w:tc>
          <w:tcPr>
            <w:tcW w:w="4257" w:type="dxa"/>
            <w:shd w:val="clear" w:color="auto" w:fill="auto"/>
          </w:tcPr>
          <w:p w14:paraId="28347501" w14:textId="77777777" w:rsidR="002313CB" w:rsidRPr="004B7A0E" w:rsidRDefault="002313CB" w:rsidP="00615EE2">
            <w:pPr>
              <w:rPr>
                <w:rFonts w:cstheme="minorHAnsi"/>
                <w:u w:val="single"/>
              </w:rPr>
            </w:pPr>
          </w:p>
        </w:tc>
      </w:tr>
      <w:tr w:rsidR="00115A90" w:rsidRPr="004B7A0E" w14:paraId="726FF706" w14:textId="77777777" w:rsidTr="00615EE2">
        <w:tc>
          <w:tcPr>
            <w:tcW w:w="3974" w:type="dxa"/>
            <w:shd w:val="clear" w:color="auto" w:fill="auto"/>
          </w:tcPr>
          <w:p w14:paraId="40BB2E70" w14:textId="4D547DC2" w:rsidR="00115A90" w:rsidRDefault="00115A90" w:rsidP="00115A90">
            <w:pPr>
              <w:overflowPunct w:val="0"/>
              <w:autoSpaceDE w:val="0"/>
              <w:autoSpaceDN w:val="0"/>
              <w:adjustRightInd w:val="0"/>
              <w:spacing w:after="0" w:line="240" w:lineRule="auto"/>
              <w:jc w:val="both"/>
              <w:rPr>
                <w:rFonts w:cstheme="minorHAnsi"/>
              </w:rPr>
            </w:pPr>
            <w:r>
              <w:rPr>
                <w:rFonts w:cstheme="minorHAnsi"/>
              </w:rPr>
              <w:t>Činnost se týká provádění osvědčených postupů v oblasti životního prostředí nebo dosažení srovnávacích kritérií stanovených v odvětvových referenčních dokumentech</w:t>
            </w:r>
            <w:r>
              <w:rPr>
                <w:rStyle w:val="Znakapoznpodarou"/>
                <w:rFonts w:cstheme="minorHAnsi"/>
              </w:rPr>
              <w:footnoteReference w:id="3"/>
            </w:r>
            <w:r>
              <w:rPr>
                <w:rFonts w:cstheme="minorHAnsi"/>
              </w:rPr>
              <w:t xml:space="preserve"> přijatých podle čl. 46 odst. 1 nařízení (ES) č. 1221/2009 o dobrovolné účasti organizací v systému Společenství pro environmentální řízení podniků </w:t>
            </w:r>
            <w:r w:rsidR="00EF5F1B">
              <w:rPr>
                <w:rFonts w:cstheme="minorHAnsi"/>
              </w:rPr>
              <w:br/>
            </w:r>
            <w:r>
              <w:rPr>
                <w:rFonts w:cstheme="minorHAnsi"/>
              </w:rPr>
              <w:t>a audit (EMAS).</w:t>
            </w:r>
          </w:p>
          <w:p w14:paraId="0649EF09" w14:textId="67F149D7" w:rsidR="00115A90" w:rsidRDefault="00115A90" w:rsidP="00115A90">
            <w:pPr>
              <w:overflowPunct w:val="0"/>
              <w:autoSpaceDE w:val="0"/>
              <w:autoSpaceDN w:val="0"/>
              <w:adjustRightInd w:val="0"/>
              <w:spacing w:after="0" w:line="240" w:lineRule="auto"/>
              <w:jc w:val="both"/>
              <w:rPr>
                <w:rFonts w:cstheme="minorHAnsi"/>
              </w:rPr>
            </w:pPr>
          </w:p>
        </w:tc>
        <w:tc>
          <w:tcPr>
            <w:tcW w:w="829" w:type="dxa"/>
            <w:shd w:val="clear" w:color="auto" w:fill="auto"/>
          </w:tcPr>
          <w:p w14:paraId="5D63DE3F" w14:textId="77777777" w:rsidR="00115A90" w:rsidRPr="004B7A0E" w:rsidRDefault="00115A90" w:rsidP="00615EE2">
            <w:pPr>
              <w:rPr>
                <w:rFonts w:cstheme="minorHAnsi"/>
              </w:rPr>
            </w:pPr>
          </w:p>
        </w:tc>
        <w:tc>
          <w:tcPr>
            <w:tcW w:w="4257" w:type="dxa"/>
            <w:shd w:val="clear" w:color="auto" w:fill="auto"/>
          </w:tcPr>
          <w:p w14:paraId="5B51F6A5" w14:textId="77777777" w:rsidR="00115A90" w:rsidRPr="004B7A0E" w:rsidRDefault="00115A90" w:rsidP="00615EE2">
            <w:pPr>
              <w:rPr>
                <w:rFonts w:cstheme="minorHAnsi"/>
                <w:u w:val="single"/>
              </w:rPr>
            </w:pPr>
          </w:p>
        </w:tc>
      </w:tr>
      <w:tr w:rsidR="00115A90" w:rsidRPr="004B7A0E" w14:paraId="1604E6EF" w14:textId="77777777" w:rsidTr="00615EE2">
        <w:tc>
          <w:tcPr>
            <w:tcW w:w="3974" w:type="dxa"/>
            <w:shd w:val="clear" w:color="auto" w:fill="auto"/>
          </w:tcPr>
          <w:p w14:paraId="2B78572D" w14:textId="3700ECCE" w:rsidR="00115A90" w:rsidRDefault="00115A90" w:rsidP="00115A90">
            <w:pPr>
              <w:overflowPunct w:val="0"/>
              <w:autoSpaceDE w:val="0"/>
              <w:autoSpaceDN w:val="0"/>
              <w:adjustRightInd w:val="0"/>
              <w:spacing w:after="0" w:line="240" w:lineRule="auto"/>
              <w:jc w:val="both"/>
              <w:rPr>
                <w:rFonts w:cstheme="minorHAnsi"/>
              </w:rPr>
            </w:pPr>
            <w:r>
              <w:rPr>
                <w:rFonts w:cstheme="minorHAnsi"/>
              </w:rPr>
              <w:t>Veřejn</w:t>
            </w:r>
            <w:r w:rsidR="006E003D">
              <w:rPr>
                <w:rFonts w:cstheme="minorHAnsi"/>
              </w:rPr>
              <w:t>á</w:t>
            </w:r>
            <w:r>
              <w:rPr>
                <w:rFonts w:cstheme="minorHAnsi"/>
              </w:rPr>
              <w:t xml:space="preserve"> investice respektuje kritéria pro zadávání zelených veřejných zakázek.</w:t>
            </w:r>
            <w:r>
              <w:rPr>
                <w:rStyle w:val="Znakapoznpodarou"/>
                <w:rFonts w:cstheme="minorHAnsi"/>
              </w:rPr>
              <w:footnoteReference w:id="4"/>
            </w:r>
          </w:p>
          <w:p w14:paraId="4C58BA78" w14:textId="77777777" w:rsidR="00115A90" w:rsidRDefault="00115A90" w:rsidP="00115A90">
            <w:pPr>
              <w:overflowPunct w:val="0"/>
              <w:autoSpaceDE w:val="0"/>
              <w:autoSpaceDN w:val="0"/>
              <w:adjustRightInd w:val="0"/>
              <w:spacing w:after="0" w:line="240" w:lineRule="auto"/>
              <w:jc w:val="both"/>
              <w:rPr>
                <w:rFonts w:cstheme="minorHAnsi"/>
              </w:rPr>
            </w:pPr>
          </w:p>
        </w:tc>
        <w:tc>
          <w:tcPr>
            <w:tcW w:w="829" w:type="dxa"/>
            <w:shd w:val="clear" w:color="auto" w:fill="auto"/>
          </w:tcPr>
          <w:p w14:paraId="02F65E98" w14:textId="77777777" w:rsidR="00115A90" w:rsidRPr="004B7A0E" w:rsidRDefault="00115A90" w:rsidP="00615EE2">
            <w:pPr>
              <w:rPr>
                <w:rFonts w:cstheme="minorHAnsi"/>
              </w:rPr>
            </w:pPr>
          </w:p>
        </w:tc>
        <w:tc>
          <w:tcPr>
            <w:tcW w:w="4257" w:type="dxa"/>
            <w:shd w:val="clear" w:color="auto" w:fill="auto"/>
          </w:tcPr>
          <w:p w14:paraId="4097AE42" w14:textId="77777777" w:rsidR="00115A90" w:rsidRPr="004B7A0E" w:rsidRDefault="00115A90" w:rsidP="00615EE2">
            <w:pPr>
              <w:rPr>
                <w:rFonts w:cstheme="minorHAnsi"/>
                <w:u w:val="single"/>
              </w:rPr>
            </w:pPr>
          </w:p>
        </w:tc>
      </w:tr>
      <w:tr w:rsidR="006E003D" w:rsidRPr="004B7A0E" w14:paraId="19A1FAD1" w14:textId="77777777" w:rsidTr="00615EE2">
        <w:tc>
          <w:tcPr>
            <w:tcW w:w="3974" w:type="dxa"/>
            <w:shd w:val="clear" w:color="auto" w:fill="auto"/>
          </w:tcPr>
          <w:p w14:paraId="02B749BB" w14:textId="13560BE9" w:rsidR="006E003D" w:rsidRDefault="006E003D" w:rsidP="00115A90">
            <w:pPr>
              <w:overflowPunct w:val="0"/>
              <w:autoSpaceDE w:val="0"/>
              <w:autoSpaceDN w:val="0"/>
              <w:adjustRightInd w:val="0"/>
              <w:spacing w:after="0" w:line="240" w:lineRule="auto"/>
              <w:jc w:val="both"/>
              <w:rPr>
                <w:rFonts w:cstheme="minorHAnsi"/>
              </w:rPr>
            </w:pPr>
            <w:r>
              <w:rPr>
                <w:rFonts w:cstheme="minorHAnsi"/>
              </w:rPr>
              <w:t>Investice do infrastruktury byla prověřena z hlediska dopadu na klima a životní prostředí.</w:t>
            </w:r>
          </w:p>
        </w:tc>
        <w:tc>
          <w:tcPr>
            <w:tcW w:w="829" w:type="dxa"/>
            <w:shd w:val="clear" w:color="auto" w:fill="auto"/>
          </w:tcPr>
          <w:p w14:paraId="4C94326C" w14:textId="77777777" w:rsidR="006E003D" w:rsidRPr="004B7A0E" w:rsidRDefault="006E003D" w:rsidP="00615EE2">
            <w:pPr>
              <w:rPr>
                <w:rFonts w:cstheme="minorHAnsi"/>
              </w:rPr>
            </w:pPr>
          </w:p>
        </w:tc>
        <w:tc>
          <w:tcPr>
            <w:tcW w:w="4257" w:type="dxa"/>
            <w:shd w:val="clear" w:color="auto" w:fill="auto"/>
          </w:tcPr>
          <w:p w14:paraId="6C5F2882" w14:textId="77777777" w:rsidR="006E003D" w:rsidRPr="004B7A0E" w:rsidRDefault="006E003D" w:rsidP="00615EE2">
            <w:pPr>
              <w:rPr>
                <w:rFonts w:cstheme="minorHAnsi"/>
                <w:u w:val="single"/>
              </w:rPr>
            </w:pPr>
          </w:p>
        </w:tc>
      </w:tr>
      <w:tr w:rsidR="006E003D" w:rsidRPr="004B7A0E" w14:paraId="2257F896" w14:textId="77777777" w:rsidTr="00615EE2">
        <w:tc>
          <w:tcPr>
            <w:tcW w:w="3974" w:type="dxa"/>
            <w:shd w:val="clear" w:color="auto" w:fill="auto"/>
          </w:tcPr>
          <w:p w14:paraId="3A2C4740" w14:textId="28F9FF7C" w:rsidR="00F0549C" w:rsidRDefault="00F0549C" w:rsidP="00F0549C">
            <w:pPr>
              <w:overflowPunct w:val="0"/>
              <w:autoSpaceDE w:val="0"/>
              <w:autoSpaceDN w:val="0"/>
              <w:adjustRightInd w:val="0"/>
              <w:spacing w:after="0" w:line="240" w:lineRule="auto"/>
              <w:jc w:val="both"/>
              <w:rPr>
                <w:rFonts w:cstheme="minorHAnsi"/>
              </w:rPr>
            </w:pPr>
            <w:r>
              <w:rPr>
                <w:rFonts w:cstheme="minorHAnsi"/>
              </w:rPr>
              <w:t>U činnosti v oblasti, na kterou se nevztahují referenční hodnoty ETS, je projekt slučitelné s dosažením cíle snížení emisí skleníkových plynů do roku 2030 a s cílem dosáhnout do roku 2050 klimatické neutrality.</w:t>
            </w:r>
          </w:p>
          <w:p w14:paraId="6CFF8682" w14:textId="691DE021" w:rsidR="006E003D" w:rsidRDefault="006E003D" w:rsidP="00115A90">
            <w:pPr>
              <w:overflowPunct w:val="0"/>
              <w:autoSpaceDE w:val="0"/>
              <w:autoSpaceDN w:val="0"/>
              <w:adjustRightInd w:val="0"/>
              <w:spacing w:after="0" w:line="240" w:lineRule="auto"/>
              <w:jc w:val="both"/>
              <w:rPr>
                <w:rFonts w:cstheme="minorHAnsi"/>
              </w:rPr>
            </w:pPr>
          </w:p>
        </w:tc>
        <w:tc>
          <w:tcPr>
            <w:tcW w:w="829" w:type="dxa"/>
            <w:shd w:val="clear" w:color="auto" w:fill="auto"/>
          </w:tcPr>
          <w:p w14:paraId="21D81892" w14:textId="77777777" w:rsidR="006E003D" w:rsidRPr="004B7A0E" w:rsidRDefault="006E003D" w:rsidP="00615EE2">
            <w:pPr>
              <w:rPr>
                <w:rFonts w:cstheme="minorHAnsi"/>
              </w:rPr>
            </w:pPr>
          </w:p>
        </w:tc>
        <w:tc>
          <w:tcPr>
            <w:tcW w:w="4257" w:type="dxa"/>
            <w:shd w:val="clear" w:color="auto" w:fill="auto"/>
          </w:tcPr>
          <w:p w14:paraId="7A336FE1" w14:textId="77777777" w:rsidR="006E003D" w:rsidRPr="004B7A0E" w:rsidRDefault="006E003D" w:rsidP="00615EE2">
            <w:pPr>
              <w:rPr>
                <w:rFonts w:cstheme="minorHAnsi"/>
                <w:u w:val="single"/>
              </w:rPr>
            </w:pPr>
          </w:p>
        </w:tc>
      </w:tr>
      <w:tr w:rsidR="00F0549C" w:rsidRPr="004B7A0E" w14:paraId="12673173" w14:textId="77777777" w:rsidTr="00615EE2">
        <w:tc>
          <w:tcPr>
            <w:tcW w:w="3974" w:type="dxa"/>
            <w:shd w:val="clear" w:color="auto" w:fill="auto"/>
          </w:tcPr>
          <w:p w14:paraId="0DB4405D" w14:textId="0E25C8A7" w:rsidR="00F0549C" w:rsidRDefault="00F0549C" w:rsidP="00F0549C">
            <w:pPr>
              <w:overflowPunct w:val="0"/>
              <w:autoSpaceDE w:val="0"/>
              <w:autoSpaceDN w:val="0"/>
              <w:adjustRightInd w:val="0"/>
              <w:spacing w:after="0" w:line="240" w:lineRule="auto"/>
              <w:jc w:val="both"/>
              <w:rPr>
                <w:rFonts w:cstheme="minorHAnsi"/>
              </w:rPr>
            </w:pPr>
            <w:r>
              <w:rPr>
                <w:rFonts w:cstheme="minorHAnsi"/>
              </w:rPr>
              <w:t xml:space="preserve">U činnosti na podporu elektrifikace je činnost doplněno důkazy o tom, že skladba zdrojů energie směřuje </w:t>
            </w:r>
            <w:r w:rsidR="00EF5F1B">
              <w:rPr>
                <w:rFonts w:cstheme="minorHAnsi"/>
              </w:rPr>
              <w:br/>
            </w:r>
            <w:r>
              <w:rPr>
                <w:rFonts w:cstheme="minorHAnsi"/>
              </w:rPr>
              <w:t xml:space="preserve">k dekarbonizaci v souladu s cíli snížení emisí skleníkových plynů do roku 2030 </w:t>
            </w:r>
            <w:r w:rsidR="00EF5F1B">
              <w:rPr>
                <w:rFonts w:cstheme="minorHAnsi"/>
              </w:rPr>
              <w:br/>
            </w:r>
            <w:r>
              <w:rPr>
                <w:rFonts w:cstheme="minorHAnsi"/>
              </w:rPr>
              <w:t xml:space="preserve">a do roku 2050 a doprovází jej zvýšená </w:t>
            </w:r>
            <w:r>
              <w:rPr>
                <w:rFonts w:cstheme="minorHAnsi"/>
              </w:rPr>
              <w:lastRenderedPageBreak/>
              <w:t>kapacita pro výrobu energie z obnovitelných zdrojů.</w:t>
            </w:r>
          </w:p>
          <w:p w14:paraId="092D012F" w14:textId="77777777" w:rsidR="00F0549C" w:rsidRDefault="00F0549C" w:rsidP="00F0549C">
            <w:pPr>
              <w:overflowPunct w:val="0"/>
              <w:autoSpaceDE w:val="0"/>
              <w:autoSpaceDN w:val="0"/>
              <w:adjustRightInd w:val="0"/>
              <w:spacing w:after="0" w:line="240" w:lineRule="auto"/>
              <w:jc w:val="both"/>
              <w:rPr>
                <w:rFonts w:cstheme="minorHAnsi"/>
              </w:rPr>
            </w:pPr>
          </w:p>
        </w:tc>
        <w:tc>
          <w:tcPr>
            <w:tcW w:w="829" w:type="dxa"/>
            <w:shd w:val="clear" w:color="auto" w:fill="auto"/>
          </w:tcPr>
          <w:p w14:paraId="1E9323DF" w14:textId="77777777" w:rsidR="00F0549C" w:rsidRPr="004B7A0E" w:rsidRDefault="00F0549C" w:rsidP="00615EE2">
            <w:pPr>
              <w:rPr>
                <w:rFonts w:cstheme="minorHAnsi"/>
              </w:rPr>
            </w:pPr>
          </w:p>
        </w:tc>
        <w:tc>
          <w:tcPr>
            <w:tcW w:w="4257" w:type="dxa"/>
            <w:shd w:val="clear" w:color="auto" w:fill="auto"/>
          </w:tcPr>
          <w:p w14:paraId="0DD3D38B" w14:textId="77777777" w:rsidR="00F0549C" w:rsidRPr="004B7A0E" w:rsidRDefault="00F0549C" w:rsidP="00615EE2">
            <w:pPr>
              <w:rPr>
                <w:rFonts w:cstheme="minorHAnsi"/>
                <w:u w:val="single"/>
              </w:rPr>
            </w:pPr>
          </w:p>
        </w:tc>
      </w:tr>
      <w:tr w:rsidR="00F0549C" w:rsidRPr="004B7A0E" w14:paraId="37767AC0" w14:textId="77777777" w:rsidTr="00615EE2">
        <w:tc>
          <w:tcPr>
            <w:tcW w:w="3974" w:type="dxa"/>
            <w:shd w:val="clear" w:color="auto" w:fill="auto"/>
          </w:tcPr>
          <w:p w14:paraId="47873FA8" w14:textId="77777777" w:rsidR="00F0549C" w:rsidRDefault="00F0549C" w:rsidP="00F0549C">
            <w:pPr>
              <w:overflowPunct w:val="0"/>
              <w:autoSpaceDE w:val="0"/>
              <w:autoSpaceDN w:val="0"/>
              <w:adjustRightInd w:val="0"/>
              <w:spacing w:after="0" w:line="360" w:lineRule="auto"/>
              <w:jc w:val="both"/>
              <w:rPr>
                <w:rFonts w:cstheme="minorHAnsi"/>
              </w:rPr>
            </w:pPr>
            <w:r>
              <w:rPr>
                <w:rFonts w:cstheme="minorHAnsi"/>
              </w:rPr>
              <w:t xml:space="preserve">Bylo provedeno přiměřené posouzení klimatických rizik. </w:t>
            </w:r>
          </w:p>
          <w:p w14:paraId="2F609AE2" w14:textId="77777777" w:rsidR="00F0549C" w:rsidRDefault="00F0549C" w:rsidP="00F0549C">
            <w:pPr>
              <w:overflowPunct w:val="0"/>
              <w:autoSpaceDE w:val="0"/>
              <w:autoSpaceDN w:val="0"/>
              <w:adjustRightInd w:val="0"/>
              <w:spacing w:after="0" w:line="240" w:lineRule="auto"/>
              <w:jc w:val="both"/>
              <w:rPr>
                <w:rFonts w:cstheme="minorHAnsi"/>
              </w:rPr>
            </w:pPr>
          </w:p>
        </w:tc>
        <w:tc>
          <w:tcPr>
            <w:tcW w:w="829" w:type="dxa"/>
            <w:shd w:val="clear" w:color="auto" w:fill="auto"/>
          </w:tcPr>
          <w:p w14:paraId="28229FE7" w14:textId="77777777" w:rsidR="00F0549C" w:rsidRPr="004B7A0E" w:rsidRDefault="00F0549C" w:rsidP="00615EE2">
            <w:pPr>
              <w:rPr>
                <w:rFonts w:cstheme="minorHAnsi"/>
              </w:rPr>
            </w:pPr>
          </w:p>
        </w:tc>
        <w:tc>
          <w:tcPr>
            <w:tcW w:w="4257" w:type="dxa"/>
            <w:shd w:val="clear" w:color="auto" w:fill="auto"/>
          </w:tcPr>
          <w:p w14:paraId="535D258D" w14:textId="77777777" w:rsidR="00F0549C" w:rsidRPr="004B7A0E" w:rsidRDefault="00F0549C" w:rsidP="00615EE2">
            <w:pPr>
              <w:rPr>
                <w:rFonts w:cstheme="minorHAnsi"/>
                <w:u w:val="single"/>
              </w:rPr>
            </w:pPr>
          </w:p>
        </w:tc>
      </w:tr>
      <w:tr w:rsidR="00F0549C" w:rsidRPr="004B7A0E" w14:paraId="2199099C" w14:textId="77777777" w:rsidTr="00615EE2">
        <w:tc>
          <w:tcPr>
            <w:tcW w:w="3974" w:type="dxa"/>
            <w:shd w:val="clear" w:color="auto" w:fill="auto"/>
          </w:tcPr>
          <w:p w14:paraId="02005FA7" w14:textId="63559C14" w:rsidR="00F0549C" w:rsidRDefault="00F0549C" w:rsidP="00F0549C">
            <w:pPr>
              <w:spacing w:line="240" w:lineRule="auto"/>
              <w:jc w:val="both"/>
              <w:rPr>
                <w:rFonts w:cstheme="minorHAnsi"/>
              </w:rPr>
            </w:pPr>
            <w:r>
              <w:rPr>
                <w:rFonts w:cstheme="minorHAnsi"/>
              </w:rPr>
              <w:t>V souladu s požadavky rámcové směrnice o vodě a plánu povodí byla identifikována a řešena rizika zhoršování stavu životního prostředí související se zachováním jakosti vody a předcházením nedostatku vody.</w:t>
            </w:r>
          </w:p>
        </w:tc>
        <w:tc>
          <w:tcPr>
            <w:tcW w:w="829" w:type="dxa"/>
            <w:shd w:val="clear" w:color="auto" w:fill="auto"/>
          </w:tcPr>
          <w:p w14:paraId="63622ADC" w14:textId="77777777" w:rsidR="00F0549C" w:rsidRPr="004B7A0E" w:rsidRDefault="00F0549C" w:rsidP="00615EE2">
            <w:pPr>
              <w:rPr>
                <w:rFonts w:cstheme="minorHAnsi"/>
              </w:rPr>
            </w:pPr>
          </w:p>
        </w:tc>
        <w:tc>
          <w:tcPr>
            <w:tcW w:w="4257" w:type="dxa"/>
            <w:shd w:val="clear" w:color="auto" w:fill="auto"/>
          </w:tcPr>
          <w:p w14:paraId="481325AC" w14:textId="77777777" w:rsidR="00F0549C" w:rsidRPr="004B7A0E" w:rsidRDefault="00F0549C" w:rsidP="00615EE2">
            <w:pPr>
              <w:rPr>
                <w:rFonts w:cstheme="minorHAnsi"/>
                <w:u w:val="single"/>
              </w:rPr>
            </w:pPr>
          </w:p>
        </w:tc>
      </w:tr>
      <w:tr w:rsidR="00F0549C" w:rsidRPr="004B7A0E" w14:paraId="2101E79D" w14:textId="77777777" w:rsidTr="00615EE2">
        <w:tc>
          <w:tcPr>
            <w:tcW w:w="3974" w:type="dxa"/>
            <w:shd w:val="clear" w:color="auto" w:fill="auto"/>
          </w:tcPr>
          <w:p w14:paraId="7A1FBBC7" w14:textId="5A8F5B19" w:rsidR="00F0549C" w:rsidRDefault="00F0549C" w:rsidP="00F0549C">
            <w:pPr>
              <w:overflowPunct w:val="0"/>
              <w:autoSpaceDE w:val="0"/>
              <w:autoSpaceDN w:val="0"/>
              <w:adjustRightInd w:val="0"/>
              <w:spacing w:after="0" w:line="240" w:lineRule="auto"/>
              <w:jc w:val="both"/>
              <w:rPr>
                <w:rFonts w:cstheme="minorHAnsi"/>
              </w:rPr>
            </w:pPr>
            <w:r>
              <w:rPr>
                <w:rFonts w:cstheme="minorHAnsi"/>
              </w:rPr>
              <w:t xml:space="preserve">Činnost nemá významný dopad na i) dotčené vodní útvary (ani nebrání tomu, aby konkrétní vodní útvar, k němuž se vztahuje, ani jiné vodní útvary v témže povodí dosáhly dobrého stavu nebo dobrého potenciálu v souladu </w:t>
            </w:r>
            <w:r w:rsidR="00EF5F1B">
              <w:rPr>
                <w:rFonts w:cstheme="minorHAnsi"/>
              </w:rPr>
              <w:br/>
            </w:r>
            <w:r>
              <w:rPr>
                <w:rFonts w:cstheme="minorHAnsi"/>
              </w:rPr>
              <w:t xml:space="preserve">s požadavky rámcové směrnice o vodě) nebo </w:t>
            </w:r>
            <w:proofErr w:type="spellStart"/>
            <w:r>
              <w:rPr>
                <w:rFonts w:cstheme="minorHAnsi"/>
              </w:rPr>
              <w:t>ii</w:t>
            </w:r>
            <w:proofErr w:type="spellEnd"/>
            <w:r>
              <w:rPr>
                <w:rFonts w:cstheme="minorHAnsi"/>
              </w:rPr>
              <w:t>) chráněná stanoviště a druhy přímo závislé na vodě.</w:t>
            </w:r>
          </w:p>
        </w:tc>
        <w:tc>
          <w:tcPr>
            <w:tcW w:w="829" w:type="dxa"/>
            <w:shd w:val="clear" w:color="auto" w:fill="auto"/>
          </w:tcPr>
          <w:p w14:paraId="2E73CBC3" w14:textId="77777777" w:rsidR="00F0549C" w:rsidRPr="004B7A0E" w:rsidRDefault="00F0549C" w:rsidP="00615EE2">
            <w:pPr>
              <w:rPr>
                <w:rFonts w:cstheme="minorHAnsi"/>
              </w:rPr>
            </w:pPr>
          </w:p>
        </w:tc>
        <w:tc>
          <w:tcPr>
            <w:tcW w:w="4257" w:type="dxa"/>
            <w:shd w:val="clear" w:color="auto" w:fill="auto"/>
          </w:tcPr>
          <w:p w14:paraId="2B5CC518" w14:textId="77777777" w:rsidR="00F0549C" w:rsidRPr="004B7A0E" w:rsidRDefault="00F0549C" w:rsidP="00615EE2">
            <w:pPr>
              <w:rPr>
                <w:rFonts w:cstheme="minorHAnsi"/>
                <w:u w:val="single"/>
              </w:rPr>
            </w:pPr>
          </w:p>
        </w:tc>
      </w:tr>
      <w:tr w:rsidR="00F0549C" w:rsidRPr="004B7A0E" w14:paraId="56DDA2DB" w14:textId="77777777" w:rsidTr="00615EE2">
        <w:tc>
          <w:tcPr>
            <w:tcW w:w="3974" w:type="dxa"/>
            <w:shd w:val="clear" w:color="auto" w:fill="auto"/>
          </w:tcPr>
          <w:p w14:paraId="763219ED" w14:textId="281505A2" w:rsidR="00F0549C" w:rsidRDefault="00F0549C" w:rsidP="00F0549C">
            <w:pPr>
              <w:overflowPunct w:val="0"/>
              <w:autoSpaceDE w:val="0"/>
              <w:autoSpaceDN w:val="0"/>
              <w:adjustRightInd w:val="0"/>
              <w:spacing w:after="0" w:line="240" w:lineRule="auto"/>
              <w:jc w:val="both"/>
              <w:rPr>
                <w:rFonts w:cstheme="minorHAnsi"/>
              </w:rPr>
            </w:pPr>
            <w:r>
              <w:rPr>
                <w:rFonts w:cstheme="minorHAnsi"/>
              </w:rPr>
              <w:t>Projekt je v souladu s příslušným vnitrostátním nebo regionálním plánem pro nakládání s odpady a programem předcházení vzniku odpadů v souladu s čl. 28 směrnice 2008/98/ES ve znění směrnice (EU) 2018/851, a je-li k dispozici, s příslušnou vnitrostátní, regionální nebo místní strategií pro oběhové hospodářství.</w:t>
            </w:r>
          </w:p>
          <w:p w14:paraId="774CB89F" w14:textId="77777777" w:rsidR="00F0549C" w:rsidRDefault="00F0549C" w:rsidP="00F0549C">
            <w:pPr>
              <w:overflowPunct w:val="0"/>
              <w:autoSpaceDE w:val="0"/>
              <w:autoSpaceDN w:val="0"/>
              <w:adjustRightInd w:val="0"/>
              <w:spacing w:after="0" w:line="240" w:lineRule="auto"/>
              <w:jc w:val="both"/>
              <w:rPr>
                <w:rFonts w:cstheme="minorHAnsi"/>
              </w:rPr>
            </w:pPr>
          </w:p>
        </w:tc>
        <w:tc>
          <w:tcPr>
            <w:tcW w:w="829" w:type="dxa"/>
            <w:shd w:val="clear" w:color="auto" w:fill="auto"/>
          </w:tcPr>
          <w:p w14:paraId="55539748" w14:textId="77777777" w:rsidR="00F0549C" w:rsidRPr="004B7A0E" w:rsidRDefault="00F0549C" w:rsidP="00615EE2">
            <w:pPr>
              <w:rPr>
                <w:rFonts w:cstheme="minorHAnsi"/>
              </w:rPr>
            </w:pPr>
          </w:p>
        </w:tc>
        <w:tc>
          <w:tcPr>
            <w:tcW w:w="4257" w:type="dxa"/>
            <w:shd w:val="clear" w:color="auto" w:fill="auto"/>
          </w:tcPr>
          <w:p w14:paraId="02DF982D" w14:textId="77777777" w:rsidR="00F0549C" w:rsidRPr="004B7A0E" w:rsidRDefault="00F0549C" w:rsidP="00615EE2">
            <w:pPr>
              <w:rPr>
                <w:rFonts w:cstheme="minorHAnsi"/>
                <w:u w:val="single"/>
              </w:rPr>
            </w:pPr>
          </w:p>
        </w:tc>
      </w:tr>
      <w:tr w:rsidR="00F0549C" w:rsidRPr="004B7A0E" w14:paraId="70F9B50E" w14:textId="77777777" w:rsidTr="00615EE2">
        <w:tc>
          <w:tcPr>
            <w:tcW w:w="3974" w:type="dxa"/>
            <w:shd w:val="clear" w:color="auto" w:fill="auto"/>
          </w:tcPr>
          <w:p w14:paraId="4ADB8B5B" w14:textId="5722A795" w:rsidR="00F0549C" w:rsidRDefault="00F0549C" w:rsidP="00F0549C">
            <w:pPr>
              <w:overflowPunct w:val="0"/>
              <w:autoSpaceDE w:val="0"/>
              <w:autoSpaceDN w:val="0"/>
              <w:adjustRightInd w:val="0"/>
              <w:spacing w:after="0" w:line="240" w:lineRule="auto"/>
              <w:jc w:val="both"/>
              <w:rPr>
                <w:rFonts w:cstheme="minorHAnsi"/>
              </w:rPr>
            </w:pPr>
            <w:r>
              <w:rPr>
                <w:rFonts w:cstheme="minorHAnsi"/>
              </w:rPr>
              <w:t>Projekt je v souladu se zásadami udržitelných výrobků a s hierarchií způsobů nakládání s odpady, přičemž prioritou je předcházení vzniku odpadů</w:t>
            </w:r>
          </w:p>
        </w:tc>
        <w:tc>
          <w:tcPr>
            <w:tcW w:w="829" w:type="dxa"/>
            <w:shd w:val="clear" w:color="auto" w:fill="auto"/>
          </w:tcPr>
          <w:p w14:paraId="637E0257" w14:textId="77777777" w:rsidR="00F0549C" w:rsidRPr="004B7A0E" w:rsidRDefault="00F0549C" w:rsidP="00615EE2">
            <w:pPr>
              <w:rPr>
                <w:rFonts w:cstheme="minorHAnsi"/>
              </w:rPr>
            </w:pPr>
          </w:p>
        </w:tc>
        <w:tc>
          <w:tcPr>
            <w:tcW w:w="4257" w:type="dxa"/>
            <w:shd w:val="clear" w:color="auto" w:fill="auto"/>
          </w:tcPr>
          <w:p w14:paraId="742CAD1A" w14:textId="77777777" w:rsidR="00F0549C" w:rsidRPr="004B7A0E" w:rsidRDefault="00F0549C" w:rsidP="00615EE2">
            <w:pPr>
              <w:rPr>
                <w:rFonts w:cstheme="minorHAnsi"/>
                <w:u w:val="single"/>
              </w:rPr>
            </w:pPr>
          </w:p>
        </w:tc>
      </w:tr>
      <w:tr w:rsidR="00F0549C" w:rsidRPr="004B7A0E" w14:paraId="28C60D51" w14:textId="77777777" w:rsidTr="00615EE2">
        <w:tc>
          <w:tcPr>
            <w:tcW w:w="3974" w:type="dxa"/>
            <w:shd w:val="clear" w:color="auto" w:fill="auto"/>
          </w:tcPr>
          <w:p w14:paraId="0EE883D2" w14:textId="48A6C345" w:rsidR="00F0549C" w:rsidRPr="00137B1B" w:rsidRDefault="00137B1B" w:rsidP="00137B1B">
            <w:pPr>
              <w:overflowPunct w:val="0"/>
              <w:autoSpaceDE w:val="0"/>
              <w:autoSpaceDN w:val="0"/>
              <w:adjustRightInd w:val="0"/>
              <w:spacing w:after="0" w:line="240" w:lineRule="auto"/>
              <w:jc w:val="both"/>
              <w:rPr>
                <w:rFonts w:cstheme="minorHAnsi"/>
              </w:rPr>
            </w:pPr>
            <w:r>
              <w:rPr>
                <w:rFonts w:cstheme="minorHAnsi"/>
              </w:rPr>
              <w:t xml:space="preserve">Projekt </w:t>
            </w:r>
            <w:r w:rsidR="00F0549C" w:rsidRPr="00137B1B">
              <w:rPr>
                <w:rFonts w:cstheme="minorHAnsi"/>
              </w:rPr>
              <w:t xml:space="preserve">zajišťuje, že hlavní využívané zdroje jsou využívány účinně. Řeší nedostatky ve využívání zdrojů, včetně zajištění toho, aby produkty, budovy </w:t>
            </w:r>
            <w:r w:rsidR="00EF5F1B">
              <w:rPr>
                <w:rFonts w:cstheme="minorHAnsi"/>
              </w:rPr>
              <w:br/>
            </w:r>
            <w:r w:rsidR="00F0549C" w:rsidRPr="00137B1B">
              <w:rPr>
                <w:rFonts w:cstheme="minorHAnsi"/>
              </w:rPr>
              <w:t>a aktiva byly využívány účinně a byly opravitelné</w:t>
            </w:r>
          </w:p>
        </w:tc>
        <w:tc>
          <w:tcPr>
            <w:tcW w:w="829" w:type="dxa"/>
            <w:shd w:val="clear" w:color="auto" w:fill="auto"/>
          </w:tcPr>
          <w:p w14:paraId="0915CBFC" w14:textId="77777777" w:rsidR="00F0549C" w:rsidRPr="004B7A0E" w:rsidRDefault="00F0549C" w:rsidP="00615EE2">
            <w:pPr>
              <w:rPr>
                <w:rFonts w:cstheme="minorHAnsi"/>
              </w:rPr>
            </w:pPr>
          </w:p>
        </w:tc>
        <w:tc>
          <w:tcPr>
            <w:tcW w:w="4257" w:type="dxa"/>
            <w:shd w:val="clear" w:color="auto" w:fill="auto"/>
          </w:tcPr>
          <w:p w14:paraId="243F3AF8" w14:textId="77777777" w:rsidR="00F0549C" w:rsidRPr="004B7A0E" w:rsidRDefault="00F0549C" w:rsidP="00615EE2">
            <w:pPr>
              <w:rPr>
                <w:rFonts w:cstheme="minorHAnsi"/>
                <w:u w:val="single"/>
              </w:rPr>
            </w:pPr>
          </w:p>
        </w:tc>
      </w:tr>
      <w:tr w:rsidR="00137B1B" w:rsidRPr="004B7A0E" w14:paraId="693AC06C" w14:textId="77777777" w:rsidTr="00615EE2">
        <w:tc>
          <w:tcPr>
            <w:tcW w:w="3974" w:type="dxa"/>
            <w:shd w:val="clear" w:color="auto" w:fill="auto"/>
          </w:tcPr>
          <w:p w14:paraId="48010FB3" w14:textId="066CC9FF" w:rsidR="00137B1B" w:rsidRDefault="00137B1B" w:rsidP="00137B1B">
            <w:pPr>
              <w:overflowPunct w:val="0"/>
              <w:autoSpaceDE w:val="0"/>
              <w:autoSpaceDN w:val="0"/>
              <w:adjustRightInd w:val="0"/>
              <w:spacing w:after="0" w:line="240" w:lineRule="auto"/>
              <w:jc w:val="both"/>
              <w:rPr>
                <w:rFonts w:cstheme="minorHAnsi"/>
              </w:rPr>
            </w:pPr>
            <w:r>
              <w:rPr>
                <w:rFonts w:cstheme="minorHAnsi"/>
              </w:rPr>
              <w:t>Projekt zajišťuje účinný a účelný tříděný sběr odpadu u zdroje a odesílání u zdroje vytříděných složek k přípravě na jejich opětovné použití nebo recyklaci.</w:t>
            </w:r>
          </w:p>
          <w:p w14:paraId="2E8BCBDF" w14:textId="77777777" w:rsidR="00137B1B" w:rsidRPr="00137B1B" w:rsidRDefault="00137B1B" w:rsidP="00137B1B">
            <w:pPr>
              <w:overflowPunct w:val="0"/>
              <w:autoSpaceDE w:val="0"/>
              <w:autoSpaceDN w:val="0"/>
              <w:adjustRightInd w:val="0"/>
              <w:spacing w:after="0" w:line="240" w:lineRule="auto"/>
              <w:jc w:val="both"/>
              <w:rPr>
                <w:rFonts w:cstheme="minorHAnsi"/>
              </w:rPr>
            </w:pPr>
          </w:p>
        </w:tc>
        <w:tc>
          <w:tcPr>
            <w:tcW w:w="829" w:type="dxa"/>
            <w:shd w:val="clear" w:color="auto" w:fill="auto"/>
          </w:tcPr>
          <w:p w14:paraId="4418F7F0" w14:textId="77777777" w:rsidR="00137B1B" w:rsidRPr="004B7A0E" w:rsidRDefault="00137B1B" w:rsidP="00615EE2">
            <w:pPr>
              <w:rPr>
                <w:rFonts w:cstheme="minorHAnsi"/>
              </w:rPr>
            </w:pPr>
          </w:p>
        </w:tc>
        <w:tc>
          <w:tcPr>
            <w:tcW w:w="4257" w:type="dxa"/>
            <w:shd w:val="clear" w:color="auto" w:fill="auto"/>
          </w:tcPr>
          <w:p w14:paraId="0CEC886F" w14:textId="77777777" w:rsidR="00137B1B" w:rsidRPr="004B7A0E" w:rsidRDefault="00137B1B" w:rsidP="00615EE2">
            <w:pPr>
              <w:rPr>
                <w:rFonts w:cstheme="minorHAnsi"/>
                <w:u w:val="single"/>
              </w:rPr>
            </w:pPr>
          </w:p>
        </w:tc>
      </w:tr>
      <w:tr w:rsidR="00137B1B" w:rsidRPr="004B7A0E" w14:paraId="3C0D3D09" w14:textId="77777777" w:rsidTr="00615EE2">
        <w:tc>
          <w:tcPr>
            <w:tcW w:w="3974" w:type="dxa"/>
            <w:shd w:val="clear" w:color="auto" w:fill="auto"/>
          </w:tcPr>
          <w:p w14:paraId="664135F5" w14:textId="6E0AAB49" w:rsidR="00137B1B" w:rsidRDefault="00137B1B" w:rsidP="00137B1B">
            <w:pPr>
              <w:overflowPunct w:val="0"/>
              <w:autoSpaceDE w:val="0"/>
              <w:autoSpaceDN w:val="0"/>
              <w:adjustRightInd w:val="0"/>
              <w:spacing w:after="0" w:line="240" w:lineRule="auto"/>
              <w:jc w:val="both"/>
              <w:rPr>
                <w:rFonts w:cstheme="minorHAnsi"/>
              </w:rPr>
            </w:pPr>
            <w:r>
              <w:rPr>
                <w:rFonts w:cstheme="minorHAnsi"/>
              </w:rPr>
              <w:t>Projekt je v souladu se stávajícími globálními, vnitrostátními, regionálními nebo místními plány na snížení znečištění.</w:t>
            </w:r>
          </w:p>
        </w:tc>
        <w:tc>
          <w:tcPr>
            <w:tcW w:w="829" w:type="dxa"/>
            <w:shd w:val="clear" w:color="auto" w:fill="auto"/>
          </w:tcPr>
          <w:p w14:paraId="6EBFDD28" w14:textId="77777777" w:rsidR="00137B1B" w:rsidRPr="004B7A0E" w:rsidRDefault="00137B1B" w:rsidP="00615EE2">
            <w:pPr>
              <w:rPr>
                <w:rFonts w:cstheme="minorHAnsi"/>
              </w:rPr>
            </w:pPr>
          </w:p>
        </w:tc>
        <w:tc>
          <w:tcPr>
            <w:tcW w:w="4257" w:type="dxa"/>
            <w:shd w:val="clear" w:color="auto" w:fill="auto"/>
          </w:tcPr>
          <w:p w14:paraId="5194299D" w14:textId="77777777" w:rsidR="00137B1B" w:rsidRPr="004B7A0E" w:rsidRDefault="00137B1B" w:rsidP="00615EE2">
            <w:pPr>
              <w:rPr>
                <w:rFonts w:cstheme="minorHAnsi"/>
                <w:u w:val="single"/>
              </w:rPr>
            </w:pPr>
          </w:p>
        </w:tc>
      </w:tr>
      <w:tr w:rsidR="00137B1B" w:rsidRPr="004B7A0E" w14:paraId="7BA8E331" w14:textId="77777777" w:rsidTr="00615EE2">
        <w:tc>
          <w:tcPr>
            <w:tcW w:w="3974" w:type="dxa"/>
            <w:shd w:val="clear" w:color="auto" w:fill="auto"/>
          </w:tcPr>
          <w:p w14:paraId="7F7F17DE" w14:textId="409E0B34" w:rsidR="00137B1B" w:rsidRPr="009A44CD" w:rsidRDefault="00137B1B" w:rsidP="00137B1B">
            <w:pPr>
              <w:overflowPunct w:val="0"/>
              <w:autoSpaceDE w:val="0"/>
              <w:autoSpaceDN w:val="0"/>
              <w:adjustRightInd w:val="0"/>
              <w:spacing w:after="0" w:line="240" w:lineRule="auto"/>
              <w:jc w:val="both"/>
              <w:rPr>
                <w:rFonts w:cstheme="minorHAnsi"/>
              </w:rPr>
            </w:pPr>
            <w:r w:rsidRPr="009A44CD">
              <w:rPr>
                <w:rFonts w:cstheme="minorHAnsi"/>
              </w:rPr>
              <w:t xml:space="preserve">Projekt je v souladu s příslušnými závěry referenčního dokumentu o nejlepších </w:t>
            </w:r>
            <w:r w:rsidRPr="009A44CD">
              <w:rPr>
                <w:rFonts w:cstheme="minorHAnsi"/>
              </w:rPr>
              <w:lastRenderedPageBreak/>
              <w:t xml:space="preserve">dostupných technikách (BAT) nebo </w:t>
            </w:r>
            <w:r w:rsidR="00EF5F1B">
              <w:rPr>
                <w:rFonts w:cstheme="minorHAnsi"/>
              </w:rPr>
              <w:br/>
            </w:r>
            <w:r w:rsidRPr="009A44CD">
              <w:rPr>
                <w:rFonts w:cstheme="minorHAnsi"/>
              </w:rPr>
              <w:t>s referenčními dokumenty o nejlepších dostupných technikách (BREF)</w:t>
            </w:r>
            <w:r w:rsidRPr="009A44CD">
              <w:rPr>
                <w:rStyle w:val="Znakapoznpodarou"/>
                <w:rFonts w:cstheme="minorHAnsi"/>
              </w:rPr>
              <w:footnoteReference w:id="5"/>
            </w:r>
            <w:r w:rsidRPr="009A44CD">
              <w:rPr>
                <w:rFonts w:cstheme="minorHAnsi"/>
              </w:rPr>
              <w:t xml:space="preserve"> v daném odvětví.</w:t>
            </w:r>
          </w:p>
        </w:tc>
        <w:tc>
          <w:tcPr>
            <w:tcW w:w="829" w:type="dxa"/>
            <w:shd w:val="clear" w:color="auto" w:fill="auto"/>
          </w:tcPr>
          <w:p w14:paraId="49C3ABFD" w14:textId="77777777" w:rsidR="00137B1B" w:rsidRPr="004B7A0E" w:rsidRDefault="00137B1B" w:rsidP="00615EE2">
            <w:pPr>
              <w:rPr>
                <w:rFonts w:cstheme="minorHAnsi"/>
              </w:rPr>
            </w:pPr>
          </w:p>
        </w:tc>
        <w:tc>
          <w:tcPr>
            <w:tcW w:w="4257" w:type="dxa"/>
            <w:shd w:val="clear" w:color="auto" w:fill="auto"/>
          </w:tcPr>
          <w:p w14:paraId="72A9EAFD" w14:textId="77777777" w:rsidR="00137B1B" w:rsidRPr="004B7A0E" w:rsidRDefault="00137B1B" w:rsidP="00615EE2">
            <w:pPr>
              <w:rPr>
                <w:rFonts w:cstheme="minorHAnsi"/>
                <w:u w:val="single"/>
              </w:rPr>
            </w:pPr>
          </w:p>
        </w:tc>
      </w:tr>
      <w:tr w:rsidR="00137B1B" w:rsidRPr="004B7A0E" w14:paraId="399B10F9" w14:textId="77777777" w:rsidTr="00615EE2">
        <w:tc>
          <w:tcPr>
            <w:tcW w:w="3974" w:type="dxa"/>
            <w:shd w:val="clear" w:color="auto" w:fill="auto"/>
          </w:tcPr>
          <w:p w14:paraId="565AF9FF" w14:textId="3CAD8604" w:rsidR="00137B1B" w:rsidRPr="009A44CD" w:rsidRDefault="00137B1B" w:rsidP="00137B1B">
            <w:pPr>
              <w:overflowPunct w:val="0"/>
              <w:autoSpaceDE w:val="0"/>
              <w:autoSpaceDN w:val="0"/>
              <w:adjustRightInd w:val="0"/>
              <w:spacing w:after="0" w:line="240" w:lineRule="auto"/>
              <w:jc w:val="both"/>
              <w:rPr>
                <w:rFonts w:cstheme="minorHAnsi"/>
              </w:rPr>
            </w:pPr>
            <w:r w:rsidRPr="009A44CD">
              <w:rPr>
                <w:rFonts w:cstheme="minorHAnsi"/>
              </w:rPr>
              <w:t>Projekt:</w:t>
            </w:r>
          </w:p>
          <w:p w14:paraId="7B35A012" w14:textId="3012B338" w:rsidR="00137B1B" w:rsidRPr="009A44CD" w:rsidRDefault="00137B1B" w:rsidP="00137B1B">
            <w:pPr>
              <w:numPr>
                <w:ilvl w:val="0"/>
                <w:numId w:val="18"/>
              </w:numPr>
              <w:overflowPunct w:val="0"/>
              <w:autoSpaceDE w:val="0"/>
              <w:autoSpaceDN w:val="0"/>
              <w:adjustRightInd w:val="0"/>
              <w:spacing w:after="0" w:line="240" w:lineRule="auto"/>
              <w:ind w:left="714" w:hanging="357"/>
              <w:jc w:val="both"/>
              <w:rPr>
                <w:rFonts w:cstheme="minorHAnsi"/>
              </w:rPr>
            </w:pPr>
            <w:r w:rsidRPr="009A44CD">
              <w:rPr>
                <w:rFonts w:cstheme="minorHAnsi"/>
              </w:rPr>
              <w:t>zavede alternativní řešení používání nebezpečných látek.</w:t>
            </w:r>
            <w:r w:rsidRPr="009A44CD">
              <w:rPr>
                <w:rStyle w:val="Znakapoznpodarou"/>
                <w:rFonts w:cstheme="minorHAnsi"/>
              </w:rPr>
              <w:footnoteReference w:id="6"/>
            </w:r>
          </w:p>
          <w:p w14:paraId="534ADD15" w14:textId="58722FC1" w:rsidR="00137B1B" w:rsidRPr="009A44CD" w:rsidRDefault="00137B1B" w:rsidP="00137B1B">
            <w:pPr>
              <w:numPr>
                <w:ilvl w:val="0"/>
                <w:numId w:val="19"/>
              </w:numPr>
              <w:overflowPunct w:val="0"/>
              <w:autoSpaceDE w:val="0"/>
              <w:autoSpaceDN w:val="0"/>
              <w:adjustRightInd w:val="0"/>
              <w:spacing w:after="0" w:line="240" w:lineRule="auto"/>
              <w:ind w:left="714" w:hanging="357"/>
              <w:jc w:val="both"/>
              <w:rPr>
                <w:rFonts w:cstheme="minorHAnsi"/>
              </w:rPr>
            </w:pPr>
            <w:r w:rsidRPr="009A44CD">
              <w:rPr>
                <w:rFonts w:cstheme="minorHAnsi"/>
              </w:rPr>
              <w:t>je v souladu s udržitelným používáním pesticidů.</w:t>
            </w:r>
            <w:r w:rsidRPr="009A44CD">
              <w:rPr>
                <w:rStyle w:val="Znakapoznpodarou"/>
                <w:rFonts w:cstheme="minorHAnsi"/>
              </w:rPr>
              <w:footnoteReference w:id="7"/>
            </w:r>
          </w:p>
          <w:p w14:paraId="7A1042EC" w14:textId="2F9ED2BC" w:rsidR="00137B1B" w:rsidRPr="009A44CD" w:rsidRDefault="00137B1B" w:rsidP="00137B1B">
            <w:pPr>
              <w:numPr>
                <w:ilvl w:val="0"/>
                <w:numId w:val="19"/>
              </w:numPr>
              <w:overflowPunct w:val="0"/>
              <w:autoSpaceDE w:val="0"/>
              <w:autoSpaceDN w:val="0"/>
              <w:adjustRightInd w:val="0"/>
              <w:spacing w:after="0" w:line="240" w:lineRule="auto"/>
              <w:ind w:left="714" w:hanging="357"/>
              <w:jc w:val="both"/>
              <w:rPr>
                <w:rFonts w:cstheme="minorHAnsi"/>
              </w:rPr>
            </w:pPr>
            <w:r w:rsidRPr="009A44CD">
              <w:rPr>
                <w:rFonts w:cstheme="minorHAnsi"/>
              </w:rPr>
              <w:t>je v souladu s osvědčenými postupy pro boj proti antimikrobiální rezistenci.</w:t>
            </w:r>
            <w:r w:rsidRPr="009A44CD">
              <w:rPr>
                <w:rStyle w:val="Znakapoznpodarou"/>
                <w:rFonts w:cstheme="minorHAnsi"/>
              </w:rPr>
              <w:footnoteReference w:id="8"/>
            </w:r>
          </w:p>
          <w:p w14:paraId="1AB88374" w14:textId="2AB3FF6E" w:rsidR="00137B1B" w:rsidRPr="009A44CD" w:rsidRDefault="00137B1B" w:rsidP="00137B1B">
            <w:pPr>
              <w:overflowPunct w:val="0"/>
              <w:autoSpaceDE w:val="0"/>
              <w:autoSpaceDN w:val="0"/>
              <w:adjustRightInd w:val="0"/>
              <w:spacing w:after="0" w:line="240" w:lineRule="auto"/>
              <w:jc w:val="both"/>
              <w:rPr>
                <w:rFonts w:cstheme="minorHAnsi"/>
              </w:rPr>
            </w:pPr>
          </w:p>
        </w:tc>
        <w:tc>
          <w:tcPr>
            <w:tcW w:w="829" w:type="dxa"/>
            <w:shd w:val="clear" w:color="auto" w:fill="auto"/>
          </w:tcPr>
          <w:p w14:paraId="3397C126" w14:textId="77777777" w:rsidR="00137B1B" w:rsidRPr="004B7A0E" w:rsidRDefault="00137B1B" w:rsidP="00615EE2">
            <w:pPr>
              <w:rPr>
                <w:rFonts w:cstheme="minorHAnsi"/>
              </w:rPr>
            </w:pPr>
          </w:p>
        </w:tc>
        <w:tc>
          <w:tcPr>
            <w:tcW w:w="4257" w:type="dxa"/>
            <w:shd w:val="clear" w:color="auto" w:fill="auto"/>
          </w:tcPr>
          <w:p w14:paraId="5FD997A2" w14:textId="77777777" w:rsidR="00137B1B" w:rsidRPr="004B7A0E" w:rsidRDefault="00137B1B" w:rsidP="00615EE2">
            <w:pPr>
              <w:rPr>
                <w:rFonts w:cstheme="minorHAnsi"/>
                <w:u w:val="single"/>
              </w:rPr>
            </w:pPr>
          </w:p>
        </w:tc>
      </w:tr>
      <w:tr w:rsidR="00137B1B" w:rsidRPr="004B7A0E" w14:paraId="6486B8E0" w14:textId="77777777" w:rsidTr="00615EE2">
        <w:tc>
          <w:tcPr>
            <w:tcW w:w="3974" w:type="dxa"/>
            <w:shd w:val="clear" w:color="auto" w:fill="auto"/>
          </w:tcPr>
          <w:p w14:paraId="1543CA11" w14:textId="267A03A3" w:rsidR="00137B1B" w:rsidRPr="009A44CD" w:rsidRDefault="00137B1B" w:rsidP="00137B1B">
            <w:pPr>
              <w:numPr>
                <w:ilvl w:val="0"/>
                <w:numId w:val="20"/>
              </w:numPr>
              <w:overflowPunct w:val="0"/>
              <w:autoSpaceDE w:val="0"/>
              <w:autoSpaceDN w:val="0"/>
              <w:adjustRightInd w:val="0"/>
              <w:spacing w:after="0" w:line="240" w:lineRule="auto"/>
              <w:ind w:left="714" w:hanging="357"/>
              <w:jc w:val="both"/>
              <w:rPr>
                <w:rFonts w:cstheme="minorHAnsi"/>
              </w:rPr>
            </w:pPr>
            <w:r w:rsidRPr="009A44CD">
              <w:rPr>
                <w:rFonts w:cstheme="minorHAnsi"/>
              </w:rPr>
              <w:t>Projekt respektuje hierarchii zmírňujících opatření</w:t>
            </w:r>
            <w:r w:rsidRPr="009A44CD">
              <w:rPr>
                <w:rStyle w:val="Znakapoznpodarou"/>
                <w:rFonts w:cstheme="minorHAnsi"/>
              </w:rPr>
              <w:footnoteReference w:id="9"/>
            </w:r>
            <w:r w:rsidRPr="009A44CD">
              <w:rPr>
                <w:rFonts w:cstheme="minorHAnsi"/>
              </w:rPr>
              <w:t xml:space="preserve"> a další příslušné požadavky podle směrnice o ochraně přírodních stanovišť a směrnice o ochraně ptáků.</w:t>
            </w:r>
          </w:p>
          <w:p w14:paraId="64ABA89E" w14:textId="77777777" w:rsidR="00137B1B" w:rsidRPr="009A44CD" w:rsidRDefault="00137B1B" w:rsidP="00137B1B">
            <w:pPr>
              <w:numPr>
                <w:ilvl w:val="0"/>
                <w:numId w:val="20"/>
              </w:numPr>
              <w:overflowPunct w:val="0"/>
              <w:autoSpaceDE w:val="0"/>
              <w:autoSpaceDN w:val="0"/>
              <w:adjustRightInd w:val="0"/>
              <w:spacing w:after="0" w:line="240" w:lineRule="auto"/>
              <w:ind w:left="714" w:hanging="357"/>
              <w:jc w:val="both"/>
              <w:rPr>
                <w:rFonts w:cstheme="minorHAnsi"/>
              </w:rPr>
            </w:pPr>
            <w:r w:rsidRPr="009A44CD">
              <w:rPr>
                <w:rFonts w:cstheme="minorHAnsi"/>
              </w:rPr>
              <w:t>Proběhlo posouzení vlivů na životní prostředí a jeho závěry byly provedeny.</w:t>
            </w:r>
          </w:p>
          <w:p w14:paraId="0B811A79" w14:textId="77777777" w:rsidR="00137B1B" w:rsidRPr="009A44CD" w:rsidRDefault="00137B1B" w:rsidP="00137B1B">
            <w:pPr>
              <w:overflowPunct w:val="0"/>
              <w:autoSpaceDE w:val="0"/>
              <w:autoSpaceDN w:val="0"/>
              <w:adjustRightInd w:val="0"/>
              <w:spacing w:after="0" w:line="240" w:lineRule="auto"/>
              <w:jc w:val="both"/>
              <w:rPr>
                <w:rFonts w:cstheme="minorHAnsi"/>
              </w:rPr>
            </w:pPr>
          </w:p>
        </w:tc>
        <w:tc>
          <w:tcPr>
            <w:tcW w:w="829" w:type="dxa"/>
            <w:shd w:val="clear" w:color="auto" w:fill="auto"/>
          </w:tcPr>
          <w:p w14:paraId="72E158AA" w14:textId="77777777" w:rsidR="00137B1B" w:rsidRPr="004B7A0E" w:rsidRDefault="00137B1B" w:rsidP="00615EE2">
            <w:pPr>
              <w:rPr>
                <w:rFonts w:cstheme="minorHAnsi"/>
              </w:rPr>
            </w:pPr>
          </w:p>
        </w:tc>
        <w:tc>
          <w:tcPr>
            <w:tcW w:w="4257" w:type="dxa"/>
            <w:shd w:val="clear" w:color="auto" w:fill="auto"/>
          </w:tcPr>
          <w:p w14:paraId="4A136140" w14:textId="77777777" w:rsidR="00137B1B" w:rsidRPr="004B7A0E" w:rsidRDefault="00137B1B" w:rsidP="00615EE2">
            <w:pPr>
              <w:rPr>
                <w:rFonts w:cstheme="minorHAnsi"/>
                <w:u w:val="single"/>
              </w:rPr>
            </w:pPr>
          </w:p>
        </w:tc>
      </w:tr>
    </w:tbl>
    <w:p w14:paraId="3FC7188A" w14:textId="79D58DE1" w:rsidR="00144939" w:rsidRDefault="00144939" w:rsidP="00D0545F">
      <w:pPr>
        <w:rPr>
          <w:sz w:val="24"/>
          <w:szCs w:val="24"/>
        </w:rPr>
      </w:pPr>
    </w:p>
    <w:p w14:paraId="7AC7A2D1" w14:textId="77777777" w:rsidR="006875C0" w:rsidRDefault="006875C0" w:rsidP="002313CB">
      <w:pPr>
        <w:spacing w:line="360" w:lineRule="auto"/>
        <w:jc w:val="both"/>
        <w:rPr>
          <w:b/>
          <w:bCs/>
          <w:sz w:val="23"/>
          <w:szCs w:val="23"/>
        </w:rPr>
      </w:pPr>
    </w:p>
    <w:p w14:paraId="35E37D68" w14:textId="77777777" w:rsidR="006875C0" w:rsidRDefault="006875C0" w:rsidP="002313CB">
      <w:pPr>
        <w:spacing w:line="360" w:lineRule="auto"/>
        <w:jc w:val="both"/>
        <w:rPr>
          <w:b/>
          <w:bCs/>
          <w:sz w:val="23"/>
          <w:szCs w:val="23"/>
        </w:rPr>
      </w:pPr>
    </w:p>
    <w:p w14:paraId="3434EDC9" w14:textId="3428A275" w:rsidR="006875C0" w:rsidRDefault="006875C0" w:rsidP="002313CB">
      <w:pPr>
        <w:spacing w:line="360" w:lineRule="auto"/>
        <w:jc w:val="both"/>
        <w:rPr>
          <w:b/>
          <w:bCs/>
          <w:sz w:val="23"/>
          <w:szCs w:val="23"/>
        </w:rPr>
      </w:pPr>
    </w:p>
    <w:p w14:paraId="15ED34DA" w14:textId="77777777" w:rsidR="006875C0" w:rsidRDefault="006875C0" w:rsidP="002313CB">
      <w:pPr>
        <w:spacing w:line="360" w:lineRule="auto"/>
        <w:jc w:val="both"/>
        <w:rPr>
          <w:b/>
          <w:bCs/>
          <w:sz w:val="23"/>
          <w:szCs w:val="23"/>
        </w:rPr>
      </w:pPr>
    </w:p>
    <w:p w14:paraId="703D521B" w14:textId="734EE1AF" w:rsidR="002313CB" w:rsidRDefault="002313CB" w:rsidP="002313CB">
      <w:pPr>
        <w:spacing w:line="360" w:lineRule="auto"/>
        <w:jc w:val="both"/>
        <w:rPr>
          <w:b/>
          <w:bCs/>
          <w:sz w:val="23"/>
          <w:szCs w:val="23"/>
        </w:rPr>
      </w:pPr>
      <w:r w:rsidRPr="00CA0E58">
        <w:rPr>
          <w:b/>
          <w:bCs/>
          <w:sz w:val="23"/>
          <w:szCs w:val="23"/>
        </w:rPr>
        <w:lastRenderedPageBreak/>
        <w:t>Výstavba nových budov</w:t>
      </w:r>
      <w:r w:rsidR="00B9407D">
        <w:rPr>
          <w:rStyle w:val="Znakapoznpodarou"/>
          <w:b/>
          <w:bCs/>
          <w:sz w:val="23"/>
          <w:szCs w:val="23"/>
        </w:rPr>
        <w:footnoteReference w:id="10"/>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829"/>
        <w:gridCol w:w="4257"/>
      </w:tblGrid>
      <w:tr w:rsidR="001B709B" w:rsidRPr="004B7A0E" w14:paraId="3F728D65" w14:textId="77777777" w:rsidTr="00EB46EA">
        <w:tc>
          <w:tcPr>
            <w:tcW w:w="3974" w:type="dxa"/>
            <w:shd w:val="clear" w:color="auto" w:fill="auto"/>
          </w:tcPr>
          <w:p w14:paraId="31F600D7" w14:textId="77777777" w:rsidR="001B709B" w:rsidRDefault="001B709B" w:rsidP="001B709B">
            <w:pPr>
              <w:overflowPunct w:val="0"/>
              <w:autoSpaceDE w:val="0"/>
              <w:autoSpaceDN w:val="0"/>
              <w:adjustRightInd w:val="0"/>
              <w:spacing w:after="0" w:line="240" w:lineRule="auto"/>
              <w:jc w:val="both"/>
              <w:rPr>
                <w:b/>
                <w:bCs/>
                <w:noProof/>
              </w:rPr>
            </w:pPr>
            <w:r w:rsidRPr="001B709B">
              <w:rPr>
                <w:b/>
                <w:bCs/>
                <w:noProof/>
              </w:rPr>
              <w:t>Významný přínos ke zmírňování změny klimatu</w:t>
            </w:r>
          </w:p>
          <w:p w14:paraId="363A7CC9" w14:textId="0A209B44" w:rsidR="001B709B" w:rsidRDefault="001B709B" w:rsidP="001B709B">
            <w:pPr>
              <w:overflowPunct w:val="0"/>
              <w:autoSpaceDE w:val="0"/>
              <w:autoSpaceDN w:val="0"/>
              <w:adjustRightInd w:val="0"/>
              <w:spacing w:after="0" w:line="240" w:lineRule="auto"/>
              <w:jc w:val="both"/>
              <w:rPr>
                <w:noProof/>
              </w:rPr>
            </w:pPr>
            <w:r>
              <w:rPr>
                <w:noProof/>
              </w:rPr>
              <w:t>1.Potřeba primární energie</w:t>
            </w:r>
            <w:r>
              <w:rPr>
                <w:rStyle w:val="Znakapoznpodarou"/>
                <w:noProof/>
              </w:rPr>
              <w:footnoteReference w:id="11"/>
            </w:r>
            <w:r>
              <w:rPr>
                <w:noProof/>
              </w:rPr>
              <w:t xml:space="preserve"> definující energetickou náročnost budovy, která je výsledkem výstavby, je nejméně o 10 % nižší než prahová hodnota, kterou </w:t>
            </w:r>
            <w:r w:rsidR="00EF5F1B">
              <w:rPr>
                <w:noProof/>
              </w:rPr>
              <w:br/>
            </w:r>
            <w:r>
              <w:rPr>
                <w:noProof/>
              </w:rPr>
              <w:t>u požadavků na budovy s téměř nulovou spotřebou energie stanoví vnitrostátní opatření provádějící směrnici Evropského parlamentu a Rady 2010/31/EU</w:t>
            </w:r>
            <w:r>
              <w:rPr>
                <w:rStyle w:val="Znakapoznpodarou"/>
                <w:noProof/>
              </w:rPr>
              <w:footnoteReference w:id="12"/>
            </w:r>
            <w:r>
              <w:rPr>
                <w:noProof/>
              </w:rPr>
              <w:t>. Energetická náročnost je potvrzena průkazem energetické náročnosti skutečného stavu budovy.</w:t>
            </w:r>
          </w:p>
          <w:p w14:paraId="7CD1EBE7" w14:textId="04C66C0F" w:rsidR="001B709B" w:rsidRDefault="001B709B" w:rsidP="001B709B">
            <w:pPr>
              <w:spacing w:before="200" w:after="200" w:line="276" w:lineRule="auto"/>
              <w:rPr>
                <w:rFonts w:eastAsia="Calibri" w:cs="Calibri"/>
                <w:noProof/>
              </w:rPr>
            </w:pPr>
            <w:r>
              <w:rPr>
                <w:noProof/>
              </w:rPr>
              <w:t>2. U budov nad 5 000 m</w:t>
            </w:r>
            <w:r>
              <w:rPr>
                <w:noProof/>
                <w:vertAlign w:val="superscript"/>
              </w:rPr>
              <w:t xml:space="preserve">2 </w:t>
            </w:r>
            <w:r>
              <w:rPr>
                <w:rStyle w:val="Znakapoznpodarou"/>
                <w:noProof/>
              </w:rPr>
              <w:footnoteReference w:id="13"/>
            </w:r>
            <w:r>
              <w:rPr>
                <w:noProof/>
              </w:rPr>
              <w:t xml:space="preserve"> prochází po dokončení budova, která je výsledkem výstavby, zkouškou vzduchotěsnosti </w:t>
            </w:r>
            <w:r w:rsidR="00EF5F1B">
              <w:rPr>
                <w:noProof/>
              </w:rPr>
              <w:br/>
            </w:r>
            <w:r>
              <w:rPr>
                <w:noProof/>
              </w:rPr>
              <w:t>a tepelné integrity</w:t>
            </w:r>
            <w:r>
              <w:rPr>
                <w:rStyle w:val="Znakapoznpodarou"/>
                <w:noProof/>
              </w:rPr>
              <w:footnoteReference w:id="14"/>
            </w:r>
            <w:r>
              <w:rPr>
                <w:noProof/>
              </w:rPr>
              <w:t xml:space="preserve">, přičemž veškeré odchylky od úrovní náročnosti stanovených ve fázi návrhu nebo vady pláště budovy jsou sděleny investorům </w:t>
            </w:r>
            <w:r w:rsidR="00EF5F1B">
              <w:rPr>
                <w:noProof/>
              </w:rPr>
              <w:br/>
            </w:r>
            <w:r>
              <w:rPr>
                <w:noProof/>
              </w:rPr>
              <w:t>a klientům. Alternativní postup: pokud jsou během stavebního procesu zavedeny robustní a sledovatelné postupy řízení kvality, jedná se o přijatelnou alternativu ke zkouškám tepelné integrity.</w:t>
            </w:r>
          </w:p>
          <w:p w14:paraId="7EF5FE4D" w14:textId="1C5408A9" w:rsidR="001B709B" w:rsidRPr="001B709B" w:rsidRDefault="001B709B" w:rsidP="001B709B">
            <w:pPr>
              <w:overflowPunct w:val="0"/>
              <w:autoSpaceDE w:val="0"/>
              <w:autoSpaceDN w:val="0"/>
              <w:adjustRightInd w:val="0"/>
              <w:spacing w:after="0" w:line="240" w:lineRule="auto"/>
              <w:jc w:val="both"/>
              <w:rPr>
                <w:rFonts w:cstheme="minorHAnsi"/>
              </w:rPr>
            </w:pPr>
            <w:r>
              <w:rPr>
                <w:noProof/>
              </w:rPr>
              <w:t>3. U budov nad 5 000 m</w:t>
            </w:r>
            <w:r>
              <w:rPr>
                <w:noProof/>
                <w:vertAlign w:val="superscript"/>
              </w:rPr>
              <w:t xml:space="preserve">2 </w:t>
            </w:r>
            <w:r>
              <w:rPr>
                <w:rStyle w:val="Znakapoznpodarou"/>
                <w:noProof/>
              </w:rPr>
              <w:footnoteReference w:id="15"/>
            </w:r>
            <w:r>
              <w:rPr>
                <w:noProof/>
              </w:rPr>
              <w:t xml:space="preserve"> je vypočten potenciál globálního oteplování</w:t>
            </w:r>
            <w:r>
              <w:rPr>
                <w:rStyle w:val="Znakapoznpodarou"/>
                <w:noProof/>
              </w:rPr>
              <w:footnoteReference w:id="16"/>
            </w:r>
            <w:r>
              <w:rPr>
                <w:noProof/>
              </w:rPr>
              <w:t xml:space="preserve"> během životního cyklu budovy, která je </w:t>
            </w:r>
            <w:r>
              <w:rPr>
                <w:noProof/>
              </w:rPr>
              <w:lastRenderedPageBreak/>
              <w:t>výsledkem výstavby, pro každou fázi životního cyklu a je na požádání sdělen investorům a klientům.</w:t>
            </w:r>
          </w:p>
        </w:tc>
        <w:tc>
          <w:tcPr>
            <w:tcW w:w="829" w:type="dxa"/>
            <w:shd w:val="clear" w:color="auto" w:fill="auto"/>
          </w:tcPr>
          <w:p w14:paraId="3E29DDAA" w14:textId="77777777" w:rsidR="001B709B" w:rsidRPr="004B7A0E" w:rsidRDefault="001B709B" w:rsidP="00615EE2">
            <w:pPr>
              <w:rPr>
                <w:rFonts w:cstheme="minorHAnsi"/>
              </w:rPr>
            </w:pPr>
          </w:p>
        </w:tc>
        <w:tc>
          <w:tcPr>
            <w:tcW w:w="4257" w:type="dxa"/>
            <w:shd w:val="clear" w:color="auto" w:fill="auto"/>
          </w:tcPr>
          <w:p w14:paraId="672988D0" w14:textId="77777777" w:rsidR="001B709B" w:rsidRPr="004B7A0E" w:rsidRDefault="001B709B" w:rsidP="00615EE2">
            <w:pPr>
              <w:rPr>
                <w:rFonts w:cstheme="minorHAnsi"/>
                <w:u w:val="single"/>
              </w:rPr>
            </w:pPr>
          </w:p>
        </w:tc>
      </w:tr>
      <w:tr w:rsidR="00845530" w:rsidRPr="004B7A0E" w14:paraId="26F40175" w14:textId="77777777" w:rsidTr="00EB46EA">
        <w:tc>
          <w:tcPr>
            <w:tcW w:w="3974" w:type="dxa"/>
            <w:shd w:val="clear" w:color="auto" w:fill="auto"/>
          </w:tcPr>
          <w:p w14:paraId="6D23FEAD" w14:textId="1330AA12" w:rsidR="00845530" w:rsidRDefault="00845530" w:rsidP="001B709B">
            <w:pPr>
              <w:overflowPunct w:val="0"/>
              <w:autoSpaceDE w:val="0"/>
              <w:autoSpaceDN w:val="0"/>
              <w:adjustRightInd w:val="0"/>
              <w:spacing w:after="0" w:line="240" w:lineRule="auto"/>
              <w:jc w:val="both"/>
              <w:rPr>
                <w:b/>
                <w:bCs/>
                <w:noProof/>
              </w:rPr>
            </w:pPr>
            <w:r w:rsidRPr="00845530">
              <w:rPr>
                <w:b/>
                <w:bCs/>
                <w:noProof/>
              </w:rPr>
              <w:t>Zásada „významně nepoškozovat“</w:t>
            </w:r>
            <w:r w:rsidR="007B7599">
              <w:rPr>
                <w:rStyle w:val="Znakapoznpodarou"/>
                <w:b/>
                <w:bCs/>
                <w:noProof/>
              </w:rPr>
              <w:footnoteReference w:id="17"/>
            </w:r>
          </w:p>
          <w:p w14:paraId="3D4B4262" w14:textId="77777777" w:rsidR="00615EE2" w:rsidRPr="00615EE2" w:rsidRDefault="00845530" w:rsidP="001B709B">
            <w:pPr>
              <w:overflowPunct w:val="0"/>
              <w:autoSpaceDE w:val="0"/>
              <w:autoSpaceDN w:val="0"/>
              <w:adjustRightInd w:val="0"/>
              <w:spacing w:after="0" w:line="240" w:lineRule="auto"/>
              <w:jc w:val="both"/>
              <w:rPr>
                <w:b/>
                <w:bCs/>
                <w:noProof/>
              </w:rPr>
            </w:pPr>
            <w:r w:rsidRPr="00615EE2">
              <w:rPr>
                <w:b/>
                <w:bCs/>
                <w:noProof/>
              </w:rPr>
              <w:t>2) Přizpůsobování se změně klimatu</w:t>
            </w:r>
          </w:p>
          <w:p w14:paraId="468340A4" w14:textId="77777777" w:rsidR="00615EE2" w:rsidRDefault="00615EE2" w:rsidP="001B709B">
            <w:pPr>
              <w:overflowPunct w:val="0"/>
              <w:autoSpaceDE w:val="0"/>
              <w:autoSpaceDN w:val="0"/>
              <w:adjustRightInd w:val="0"/>
              <w:spacing w:after="0" w:line="240" w:lineRule="auto"/>
              <w:jc w:val="both"/>
              <w:rPr>
                <w:noProof/>
              </w:rPr>
            </w:pPr>
          </w:p>
          <w:p w14:paraId="65F166FC" w14:textId="4B2C1F57" w:rsidR="00845530" w:rsidRPr="00845530" w:rsidRDefault="00845530" w:rsidP="001B709B">
            <w:pPr>
              <w:overflowPunct w:val="0"/>
              <w:autoSpaceDE w:val="0"/>
              <w:autoSpaceDN w:val="0"/>
              <w:adjustRightInd w:val="0"/>
              <w:spacing w:after="0" w:line="240" w:lineRule="auto"/>
              <w:jc w:val="both"/>
              <w:rPr>
                <w:noProof/>
              </w:rPr>
            </w:pPr>
            <w:r>
              <w:rPr>
                <w:noProof/>
              </w:rPr>
              <w:t xml:space="preserve">Činnost splňuje kritéria stanovená </w:t>
            </w:r>
            <w:r w:rsidR="00EF5F1B">
              <w:rPr>
                <w:noProof/>
              </w:rPr>
              <w:br/>
            </w:r>
            <w:r>
              <w:rPr>
                <w:noProof/>
              </w:rPr>
              <w:t>v dodatku A této přílohy.</w:t>
            </w:r>
          </w:p>
        </w:tc>
        <w:tc>
          <w:tcPr>
            <w:tcW w:w="829" w:type="dxa"/>
            <w:shd w:val="clear" w:color="auto" w:fill="auto"/>
          </w:tcPr>
          <w:p w14:paraId="7908C90E" w14:textId="77777777" w:rsidR="00845530" w:rsidRPr="004B7A0E" w:rsidRDefault="00845530" w:rsidP="00615EE2">
            <w:pPr>
              <w:rPr>
                <w:rFonts w:cstheme="minorHAnsi"/>
              </w:rPr>
            </w:pPr>
          </w:p>
        </w:tc>
        <w:tc>
          <w:tcPr>
            <w:tcW w:w="4257" w:type="dxa"/>
            <w:shd w:val="clear" w:color="auto" w:fill="auto"/>
          </w:tcPr>
          <w:p w14:paraId="6116136C" w14:textId="77777777" w:rsidR="00845530" w:rsidRPr="004B7A0E" w:rsidRDefault="00845530" w:rsidP="007B7599">
            <w:pPr>
              <w:overflowPunct w:val="0"/>
              <w:autoSpaceDE w:val="0"/>
              <w:autoSpaceDN w:val="0"/>
              <w:adjustRightInd w:val="0"/>
              <w:spacing w:after="0" w:line="240" w:lineRule="auto"/>
              <w:jc w:val="both"/>
              <w:rPr>
                <w:rFonts w:cstheme="minorHAnsi"/>
                <w:u w:val="single"/>
              </w:rPr>
            </w:pPr>
          </w:p>
        </w:tc>
      </w:tr>
      <w:tr w:rsidR="007B7599" w:rsidRPr="004B7A0E" w14:paraId="303DE9D9" w14:textId="77777777" w:rsidTr="00EB46EA">
        <w:tc>
          <w:tcPr>
            <w:tcW w:w="3974" w:type="dxa"/>
            <w:shd w:val="clear" w:color="auto" w:fill="auto"/>
          </w:tcPr>
          <w:p w14:paraId="4A265BFE" w14:textId="2BD827B7" w:rsidR="007B7599" w:rsidRDefault="007B7599" w:rsidP="007B7599">
            <w:pPr>
              <w:overflowPunct w:val="0"/>
              <w:autoSpaceDE w:val="0"/>
              <w:autoSpaceDN w:val="0"/>
              <w:adjustRightInd w:val="0"/>
              <w:spacing w:after="0" w:line="240" w:lineRule="auto"/>
              <w:jc w:val="both"/>
              <w:rPr>
                <w:b/>
                <w:bCs/>
                <w:noProof/>
              </w:rPr>
            </w:pPr>
            <w:r w:rsidRPr="00615EE2">
              <w:rPr>
                <w:b/>
                <w:bCs/>
                <w:noProof/>
              </w:rPr>
              <w:t>3) Udržitelné využívání a ochrana vodních a mořských zdrojů</w:t>
            </w:r>
          </w:p>
          <w:p w14:paraId="1E7855D3" w14:textId="77777777" w:rsidR="00615EE2" w:rsidRPr="00615EE2" w:rsidRDefault="00615EE2" w:rsidP="007B7599">
            <w:pPr>
              <w:overflowPunct w:val="0"/>
              <w:autoSpaceDE w:val="0"/>
              <w:autoSpaceDN w:val="0"/>
              <w:adjustRightInd w:val="0"/>
              <w:spacing w:after="0" w:line="240" w:lineRule="auto"/>
              <w:jc w:val="both"/>
              <w:rPr>
                <w:b/>
                <w:bCs/>
                <w:noProof/>
              </w:rPr>
            </w:pPr>
          </w:p>
          <w:p w14:paraId="42979723" w14:textId="04C754B4" w:rsidR="007B7599" w:rsidRPr="009A44CD" w:rsidRDefault="007B7599" w:rsidP="007B7599">
            <w:pPr>
              <w:spacing w:before="40" w:after="80" w:line="276" w:lineRule="auto"/>
              <w:rPr>
                <w:rFonts w:eastAsia="Calibri"/>
                <w:noProof/>
              </w:rPr>
            </w:pPr>
            <w:r w:rsidRPr="009A44CD">
              <w:rPr>
                <w:noProof/>
              </w:rPr>
              <w:t xml:space="preserve">Jsou-li instalována tato zařízení </w:t>
            </w:r>
            <w:r w:rsidR="00EF5F1B">
              <w:rPr>
                <w:noProof/>
              </w:rPr>
              <w:br/>
            </w:r>
            <w:r w:rsidRPr="009A44CD">
              <w:rPr>
                <w:noProof/>
              </w:rPr>
              <w:t xml:space="preserve">k využívání vody, kromě instalace </w:t>
            </w:r>
            <w:r w:rsidR="00EF5F1B">
              <w:rPr>
                <w:noProof/>
              </w:rPr>
              <w:br/>
            </w:r>
            <w:r w:rsidRPr="009A44CD">
              <w:rPr>
                <w:noProof/>
              </w:rPr>
              <w:t>v bytových jednotkách, je pro ně uvedená spotřeba vody doložena technickými listy výrobku, stavební certifikací nebo stávajícím štítkem výrobku v Unii v souladu s technickými specifikacemi stanovenými v dodatku E této přílohy:</w:t>
            </w:r>
          </w:p>
          <w:p w14:paraId="4C8DF846" w14:textId="77777777" w:rsidR="007B7599" w:rsidRPr="009A44CD" w:rsidRDefault="007B7599" w:rsidP="007B7599">
            <w:pPr>
              <w:pStyle w:val="Point0"/>
              <w:rPr>
                <w:rFonts w:asciiTheme="minorHAnsi" w:hAnsiTheme="minorHAnsi" w:cstheme="minorHAnsi"/>
                <w:noProof/>
                <w:sz w:val="22"/>
              </w:rPr>
            </w:pPr>
            <w:r w:rsidRPr="009A44CD">
              <w:rPr>
                <w:noProof/>
                <w:sz w:val="22"/>
              </w:rPr>
              <w:t>a)</w:t>
            </w:r>
            <w:r w:rsidRPr="009A44CD">
              <w:rPr>
                <w:noProof/>
                <w:sz w:val="22"/>
              </w:rPr>
              <w:tab/>
            </w:r>
            <w:r w:rsidRPr="009A44CD">
              <w:rPr>
                <w:rFonts w:asciiTheme="minorHAnsi" w:hAnsiTheme="minorHAnsi" w:cstheme="minorHAnsi"/>
                <w:noProof/>
                <w:sz w:val="22"/>
              </w:rPr>
              <w:t>umyvadlové baterie a kuchyňské baterie mají maximální průtok vody 6 litrů/min;</w:t>
            </w:r>
          </w:p>
          <w:p w14:paraId="7D7A781B" w14:textId="77777777" w:rsidR="007B7599" w:rsidRPr="009A44CD" w:rsidRDefault="007B7599" w:rsidP="007B7599">
            <w:pPr>
              <w:pStyle w:val="Point0"/>
              <w:rPr>
                <w:rFonts w:asciiTheme="minorHAnsi" w:hAnsiTheme="minorHAnsi" w:cstheme="minorHAnsi"/>
                <w:noProof/>
                <w:sz w:val="22"/>
              </w:rPr>
            </w:pPr>
            <w:r w:rsidRPr="009A44CD">
              <w:rPr>
                <w:rFonts w:asciiTheme="minorHAnsi" w:hAnsiTheme="minorHAnsi" w:cstheme="minorHAnsi"/>
                <w:noProof/>
                <w:sz w:val="22"/>
              </w:rPr>
              <w:t>b)</w:t>
            </w:r>
            <w:r w:rsidRPr="009A44CD">
              <w:rPr>
                <w:rFonts w:asciiTheme="minorHAnsi" w:hAnsiTheme="minorHAnsi" w:cstheme="minorHAnsi"/>
                <w:noProof/>
                <w:sz w:val="22"/>
              </w:rPr>
              <w:tab/>
              <w:t>sprchy mají maximální průtok vody 8 litrů/min;</w:t>
            </w:r>
          </w:p>
          <w:p w14:paraId="5E5EAC7A" w14:textId="6E092420" w:rsidR="007B7599" w:rsidRPr="009A44CD" w:rsidRDefault="007B7599" w:rsidP="007B7599">
            <w:pPr>
              <w:pStyle w:val="Point0"/>
              <w:rPr>
                <w:rFonts w:asciiTheme="minorHAnsi" w:hAnsiTheme="minorHAnsi" w:cstheme="minorHAnsi"/>
                <w:noProof/>
                <w:sz w:val="22"/>
              </w:rPr>
            </w:pPr>
            <w:r w:rsidRPr="009A44CD">
              <w:rPr>
                <w:rFonts w:asciiTheme="minorHAnsi" w:hAnsiTheme="minorHAnsi" w:cstheme="minorHAnsi"/>
                <w:noProof/>
                <w:sz w:val="22"/>
              </w:rPr>
              <w:t>c)</w:t>
            </w:r>
            <w:r w:rsidRPr="009A44CD">
              <w:rPr>
                <w:rFonts w:asciiTheme="minorHAnsi" w:hAnsiTheme="minorHAnsi" w:cstheme="minorHAnsi"/>
                <w:noProof/>
                <w:sz w:val="22"/>
              </w:rPr>
              <w:tab/>
              <w:t xml:space="preserve">WC, zahrnující soupravy, mísy </w:t>
            </w:r>
            <w:r w:rsidR="00EF5F1B">
              <w:rPr>
                <w:rFonts w:asciiTheme="minorHAnsi" w:hAnsiTheme="minorHAnsi" w:cstheme="minorHAnsi"/>
                <w:noProof/>
                <w:sz w:val="22"/>
              </w:rPr>
              <w:br/>
            </w:r>
            <w:r w:rsidRPr="009A44CD">
              <w:rPr>
                <w:rFonts w:asciiTheme="minorHAnsi" w:hAnsiTheme="minorHAnsi" w:cstheme="minorHAnsi"/>
                <w:noProof/>
                <w:sz w:val="22"/>
              </w:rPr>
              <w:t>a splachovací nádrže, mají úplný objem splachovací vody maximálně 6 litrů a maximální průměrný objem splachovací vody 3,5 litru;</w:t>
            </w:r>
          </w:p>
          <w:p w14:paraId="710BAA25" w14:textId="6FBBDC4E" w:rsidR="007B7599" w:rsidRPr="009A44CD" w:rsidRDefault="007B7599" w:rsidP="007B7599">
            <w:pPr>
              <w:pStyle w:val="Point0"/>
              <w:rPr>
                <w:rFonts w:asciiTheme="minorHAnsi" w:hAnsiTheme="minorHAnsi" w:cstheme="minorHAnsi"/>
                <w:noProof/>
                <w:sz w:val="22"/>
              </w:rPr>
            </w:pPr>
            <w:r w:rsidRPr="009A44CD">
              <w:rPr>
                <w:rFonts w:asciiTheme="minorHAnsi" w:hAnsiTheme="minorHAnsi" w:cstheme="minorHAnsi"/>
                <w:noProof/>
                <w:sz w:val="22"/>
              </w:rPr>
              <w:t>d)</w:t>
            </w:r>
            <w:r w:rsidRPr="009A44CD">
              <w:rPr>
                <w:rFonts w:asciiTheme="minorHAnsi" w:hAnsiTheme="minorHAnsi" w:cstheme="minorHAnsi"/>
                <w:noProof/>
                <w:sz w:val="22"/>
              </w:rPr>
              <w:tab/>
              <w:t xml:space="preserve">pisoáry spotřebují maximálně </w:t>
            </w:r>
            <w:r w:rsidR="00EF5F1B">
              <w:rPr>
                <w:rFonts w:asciiTheme="minorHAnsi" w:hAnsiTheme="minorHAnsi" w:cstheme="minorHAnsi"/>
                <w:noProof/>
                <w:sz w:val="22"/>
              </w:rPr>
              <w:br/>
            </w:r>
            <w:r w:rsidRPr="009A44CD">
              <w:rPr>
                <w:rFonts w:asciiTheme="minorHAnsi" w:hAnsiTheme="minorHAnsi" w:cstheme="minorHAnsi"/>
                <w:noProof/>
                <w:sz w:val="22"/>
              </w:rPr>
              <w:t>2 litry/mísu/hodinu. Splachovací pisoáry mají maximální úplný objem splachovací vody 1 litr.</w:t>
            </w:r>
          </w:p>
          <w:p w14:paraId="657ACE03" w14:textId="678B47DF" w:rsidR="007B7599" w:rsidRPr="009A44CD" w:rsidRDefault="007B7599" w:rsidP="007B7599">
            <w:pPr>
              <w:overflowPunct w:val="0"/>
              <w:autoSpaceDE w:val="0"/>
              <w:autoSpaceDN w:val="0"/>
              <w:adjustRightInd w:val="0"/>
              <w:spacing w:after="0" w:line="240" w:lineRule="auto"/>
              <w:jc w:val="both"/>
              <w:rPr>
                <w:b/>
                <w:bCs/>
                <w:noProof/>
              </w:rPr>
            </w:pPr>
            <w:r w:rsidRPr="009A44CD">
              <w:rPr>
                <w:noProof/>
              </w:rPr>
              <w:t>Aby se zabránilo negativním vlivům staveniště, splňuje činnost kritéria stanovená v dodatku B této přílohy.</w:t>
            </w:r>
          </w:p>
        </w:tc>
        <w:tc>
          <w:tcPr>
            <w:tcW w:w="829" w:type="dxa"/>
            <w:shd w:val="clear" w:color="auto" w:fill="auto"/>
          </w:tcPr>
          <w:p w14:paraId="333E3A28" w14:textId="77777777" w:rsidR="007B7599" w:rsidRPr="004B7A0E" w:rsidRDefault="007B7599" w:rsidP="007B7599">
            <w:pPr>
              <w:rPr>
                <w:rFonts w:cstheme="minorHAnsi"/>
              </w:rPr>
            </w:pPr>
          </w:p>
        </w:tc>
        <w:tc>
          <w:tcPr>
            <w:tcW w:w="4257" w:type="dxa"/>
            <w:shd w:val="clear" w:color="auto" w:fill="auto"/>
          </w:tcPr>
          <w:p w14:paraId="7549EE0A" w14:textId="412BA64C" w:rsidR="007B7599" w:rsidRPr="004B7A0E" w:rsidRDefault="007B7599" w:rsidP="007B7599">
            <w:pPr>
              <w:rPr>
                <w:rFonts w:cstheme="minorHAnsi"/>
                <w:u w:val="single"/>
              </w:rPr>
            </w:pPr>
            <w:r>
              <w:rPr>
                <w:noProof/>
              </w:rPr>
              <w:t xml:space="preserve"> </w:t>
            </w:r>
          </w:p>
        </w:tc>
      </w:tr>
      <w:tr w:rsidR="007B7599" w:rsidRPr="004B7A0E" w14:paraId="302B0E6B" w14:textId="77777777" w:rsidTr="00EB46EA">
        <w:tc>
          <w:tcPr>
            <w:tcW w:w="3974" w:type="dxa"/>
            <w:shd w:val="clear" w:color="auto" w:fill="auto"/>
          </w:tcPr>
          <w:p w14:paraId="5D8EA722" w14:textId="77777777" w:rsidR="007B7599" w:rsidRDefault="007B7599" w:rsidP="007B7599">
            <w:pPr>
              <w:overflowPunct w:val="0"/>
              <w:autoSpaceDE w:val="0"/>
              <w:autoSpaceDN w:val="0"/>
              <w:adjustRightInd w:val="0"/>
              <w:spacing w:after="0" w:line="240" w:lineRule="auto"/>
              <w:jc w:val="both"/>
              <w:rPr>
                <w:b/>
                <w:bCs/>
                <w:noProof/>
              </w:rPr>
            </w:pPr>
          </w:p>
          <w:p w14:paraId="7E6E9D51" w14:textId="7FAD4CC5" w:rsidR="007B7599" w:rsidRPr="00615EE2" w:rsidRDefault="007B7599" w:rsidP="007B7599">
            <w:pPr>
              <w:overflowPunct w:val="0"/>
              <w:autoSpaceDE w:val="0"/>
              <w:autoSpaceDN w:val="0"/>
              <w:adjustRightInd w:val="0"/>
              <w:spacing w:after="0" w:line="240" w:lineRule="auto"/>
              <w:jc w:val="both"/>
              <w:rPr>
                <w:b/>
                <w:bCs/>
                <w:noProof/>
              </w:rPr>
            </w:pPr>
            <w:r w:rsidRPr="00615EE2">
              <w:rPr>
                <w:b/>
                <w:bCs/>
                <w:noProof/>
              </w:rPr>
              <w:t>4) Přechod na oběhové hospodářství</w:t>
            </w:r>
          </w:p>
          <w:p w14:paraId="36671688" w14:textId="77777777" w:rsidR="00615EE2" w:rsidRDefault="00615EE2" w:rsidP="007B7599">
            <w:pPr>
              <w:overflowPunct w:val="0"/>
              <w:autoSpaceDE w:val="0"/>
              <w:autoSpaceDN w:val="0"/>
              <w:adjustRightInd w:val="0"/>
              <w:spacing w:after="0" w:line="240" w:lineRule="auto"/>
              <w:jc w:val="both"/>
              <w:rPr>
                <w:b/>
                <w:bCs/>
                <w:noProof/>
              </w:rPr>
            </w:pPr>
          </w:p>
          <w:p w14:paraId="714D07BF" w14:textId="046F5C72" w:rsidR="007B7599" w:rsidRPr="009A44CD" w:rsidRDefault="007B7599" w:rsidP="007B7599">
            <w:pPr>
              <w:spacing w:before="40" w:after="80" w:line="276" w:lineRule="auto"/>
              <w:rPr>
                <w:rFonts w:eastAsia="Calibri"/>
                <w:noProof/>
              </w:rPr>
            </w:pPr>
            <w:r w:rsidRPr="009A44CD">
              <w:rPr>
                <w:noProof/>
              </w:rPr>
              <w:t xml:space="preserve">Nejméně 70 % (hmotnostních) stavebního a demoličního odpadu </w:t>
            </w:r>
            <w:r w:rsidRPr="009A44CD">
              <w:rPr>
                <w:noProof/>
              </w:rPr>
              <w:lastRenderedPageBreak/>
              <w:t xml:space="preserve">neklasifikovaného jako nebezpečný </w:t>
            </w:r>
            <w:r w:rsidR="00EF5F1B">
              <w:rPr>
                <w:noProof/>
              </w:rPr>
              <w:br/>
            </w:r>
            <w:r w:rsidRPr="009A44CD">
              <w:rPr>
                <w:noProof/>
              </w:rPr>
              <w:t xml:space="preserve">(s výjimkou v přírodě se vyskytujících materiálů uvedených v kategorii 17 05 04 v Evropském seznamu odpadů stanoveném rozhodnutím 2000/532/ES) vzniklého na staveništi je připraveno </w:t>
            </w:r>
            <w:r w:rsidR="00EF5F1B">
              <w:rPr>
                <w:noProof/>
              </w:rPr>
              <w:br/>
            </w:r>
            <w:r w:rsidRPr="009A44CD">
              <w:rPr>
                <w:noProof/>
              </w:rPr>
              <w:t xml:space="preserve">k opětovnému použití, recyklaci a k jiným druhům materiálového využití, včetně zásypů, při nichž jsou jiné materiály nahrazeny odpadem, v souladu </w:t>
            </w:r>
            <w:r w:rsidR="00EF5F1B">
              <w:rPr>
                <w:noProof/>
              </w:rPr>
              <w:br/>
            </w:r>
            <w:r w:rsidRPr="009A44CD">
              <w:rPr>
                <w:noProof/>
              </w:rPr>
              <w:t>s hierarchií způsobů</w:t>
            </w:r>
            <w:r w:rsidRPr="007B7599">
              <w:rPr>
                <w:noProof/>
                <w:sz w:val="20"/>
                <w:szCs w:val="20"/>
              </w:rPr>
              <w:t xml:space="preserve"> </w:t>
            </w:r>
            <w:r w:rsidRPr="009A44CD">
              <w:rPr>
                <w:noProof/>
              </w:rPr>
              <w:t xml:space="preserve">nakládání s odpady </w:t>
            </w:r>
            <w:r w:rsidR="00EF5F1B">
              <w:rPr>
                <w:noProof/>
              </w:rPr>
              <w:br/>
            </w:r>
            <w:r w:rsidRPr="009A44CD">
              <w:rPr>
                <w:noProof/>
              </w:rPr>
              <w:t>a protokolem EU pro nakládání se stavebním a demoličním odpadem</w:t>
            </w:r>
            <w:r w:rsidRPr="009A44CD">
              <w:rPr>
                <w:rStyle w:val="Znakapoznpodarou"/>
                <w:noProof/>
              </w:rPr>
              <w:footnoteReference w:id="18"/>
            </w:r>
            <w:r w:rsidRPr="009A44CD">
              <w:rPr>
                <w:noProof/>
              </w:rPr>
              <w:t xml:space="preserve">. Provozovatelé omezují produkci odpadu </w:t>
            </w:r>
            <w:r w:rsidR="00EF5F1B">
              <w:rPr>
                <w:noProof/>
              </w:rPr>
              <w:br/>
            </w:r>
            <w:r w:rsidRPr="009A44CD">
              <w:rPr>
                <w:noProof/>
              </w:rPr>
              <w:t xml:space="preserve">v procesech souvisejících s výstavbou </w:t>
            </w:r>
            <w:r w:rsidR="00EF5F1B">
              <w:rPr>
                <w:noProof/>
              </w:rPr>
              <w:br/>
            </w:r>
            <w:r w:rsidRPr="009A44CD">
              <w:rPr>
                <w:noProof/>
              </w:rPr>
              <w:t xml:space="preserve">a demolicemi v souladu s protokolem EU pro nakládání se stavebním a demoličním odpadem s přihlédnutím k nejlepším dostupným technikám a pomocí selektivní demolice, aby bylo možné odstranit nebezpečné látky a bezpečně </w:t>
            </w:r>
            <w:r w:rsidR="00EF5F1B">
              <w:rPr>
                <w:noProof/>
              </w:rPr>
              <w:br/>
            </w:r>
            <w:r w:rsidRPr="009A44CD">
              <w:rPr>
                <w:noProof/>
              </w:rPr>
              <w:t xml:space="preserve">s nimi nakládat, a usnadňují opětovné použití a kvalitní recyklaci selektivním odstraněním materiálů s využitím dostupných třídicích systémů pro stavební a demoliční odpad. </w:t>
            </w:r>
          </w:p>
          <w:p w14:paraId="0558D193" w14:textId="3F3A2A8D" w:rsidR="007B7599" w:rsidRPr="00845530" w:rsidRDefault="007B7599" w:rsidP="007B7599">
            <w:pPr>
              <w:overflowPunct w:val="0"/>
              <w:autoSpaceDE w:val="0"/>
              <w:autoSpaceDN w:val="0"/>
              <w:adjustRightInd w:val="0"/>
              <w:spacing w:after="0" w:line="240" w:lineRule="auto"/>
              <w:jc w:val="both"/>
              <w:rPr>
                <w:b/>
                <w:bCs/>
                <w:noProof/>
              </w:rPr>
            </w:pPr>
            <w:r w:rsidRPr="009A44CD">
              <w:rPr>
                <w:noProof/>
              </w:rPr>
              <w:t xml:space="preserve">Projekty budov a stavební metody podporují oběhové hospodářství </w:t>
            </w:r>
            <w:r w:rsidR="00EF5F1B">
              <w:rPr>
                <w:noProof/>
              </w:rPr>
              <w:br/>
            </w:r>
            <w:r w:rsidRPr="009A44CD">
              <w:rPr>
                <w:noProof/>
              </w:rPr>
              <w:t>a s odkazem na normu ISO 20887</w:t>
            </w:r>
            <w:r w:rsidRPr="009A44CD">
              <w:rPr>
                <w:rStyle w:val="Znakapoznpodarou"/>
                <w:noProof/>
              </w:rPr>
              <w:footnoteReference w:id="19"/>
            </w:r>
            <w:r w:rsidRPr="009A44CD">
              <w:rPr>
                <w:noProof/>
              </w:rPr>
              <w:t xml:space="preserve"> nebo jiné normy pro posuzování demontovatelnosti nebo přizpůsobivosti budov zejména prokazují, že jsou navrženy tak, aby byly efektivnější, adaptabilnější, flexibilnější a demontovatelnější, s cílem umožnit opětovné použití a recyklaci.</w:t>
            </w:r>
          </w:p>
        </w:tc>
        <w:tc>
          <w:tcPr>
            <w:tcW w:w="829" w:type="dxa"/>
            <w:shd w:val="clear" w:color="auto" w:fill="auto"/>
          </w:tcPr>
          <w:p w14:paraId="3B6CBA76" w14:textId="77777777" w:rsidR="007B7599" w:rsidRPr="004B7A0E" w:rsidRDefault="007B7599" w:rsidP="007B7599">
            <w:pPr>
              <w:rPr>
                <w:rFonts w:cstheme="minorHAnsi"/>
              </w:rPr>
            </w:pPr>
          </w:p>
        </w:tc>
        <w:tc>
          <w:tcPr>
            <w:tcW w:w="4257" w:type="dxa"/>
            <w:shd w:val="clear" w:color="auto" w:fill="auto"/>
          </w:tcPr>
          <w:p w14:paraId="553A1456" w14:textId="77777777" w:rsidR="007B7599" w:rsidRPr="004B7A0E" w:rsidRDefault="007B7599" w:rsidP="007B7599">
            <w:pPr>
              <w:rPr>
                <w:rFonts w:cstheme="minorHAnsi"/>
                <w:u w:val="single"/>
              </w:rPr>
            </w:pPr>
          </w:p>
        </w:tc>
      </w:tr>
      <w:tr w:rsidR="00EB46EA" w:rsidRPr="004B7A0E" w14:paraId="60618CBE" w14:textId="77777777" w:rsidTr="00EB46EA">
        <w:tc>
          <w:tcPr>
            <w:tcW w:w="3974" w:type="dxa"/>
            <w:shd w:val="clear" w:color="auto" w:fill="auto"/>
          </w:tcPr>
          <w:p w14:paraId="0DAFA031" w14:textId="77777777" w:rsidR="00EB46EA" w:rsidRDefault="00EB46EA" w:rsidP="00EB46EA">
            <w:pPr>
              <w:overflowPunct w:val="0"/>
              <w:autoSpaceDE w:val="0"/>
              <w:autoSpaceDN w:val="0"/>
              <w:adjustRightInd w:val="0"/>
              <w:spacing w:after="0" w:line="240" w:lineRule="auto"/>
              <w:jc w:val="both"/>
              <w:rPr>
                <w:noProof/>
              </w:rPr>
            </w:pPr>
            <w:r w:rsidRPr="00615EE2">
              <w:rPr>
                <w:b/>
                <w:bCs/>
                <w:noProof/>
              </w:rPr>
              <w:t>5</w:t>
            </w:r>
            <w:r w:rsidRPr="00615EE2">
              <w:rPr>
                <w:b/>
                <w:bCs/>
                <w:noProof/>
                <w:color w:val="000000" w:themeColor="text1"/>
              </w:rPr>
              <w:t>) Prevence a omezování znečištění</w:t>
            </w:r>
          </w:p>
          <w:p w14:paraId="348D02E1" w14:textId="77777777" w:rsidR="00EB46EA" w:rsidRDefault="00EB46EA" w:rsidP="00EB46EA">
            <w:pPr>
              <w:overflowPunct w:val="0"/>
              <w:autoSpaceDE w:val="0"/>
              <w:autoSpaceDN w:val="0"/>
              <w:adjustRightInd w:val="0"/>
              <w:spacing w:after="0" w:line="240" w:lineRule="auto"/>
              <w:jc w:val="both"/>
              <w:rPr>
                <w:bCs/>
                <w:noProof/>
              </w:rPr>
            </w:pPr>
          </w:p>
          <w:p w14:paraId="6B925C99" w14:textId="357F3259" w:rsidR="00EB46EA" w:rsidRPr="009A44CD" w:rsidRDefault="00EB46EA" w:rsidP="00EB46EA">
            <w:pPr>
              <w:spacing w:before="40" w:after="80" w:line="276" w:lineRule="auto"/>
              <w:rPr>
                <w:rFonts w:eastAsia="Calibri"/>
                <w:noProof/>
              </w:rPr>
            </w:pPr>
            <w:r w:rsidRPr="009A44CD">
              <w:rPr>
                <w:noProof/>
              </w:rPr>
              <w:t xml:space="preserve">Stavební prvky a materiály použité při stavbě splňují kritéria stanovená </w:t>
            </w:r>
            <w:r w:rsidR="00EF5F1B">
              <w:rPr>
                <w:noProof/>
              </w:rPr>
              <w:br/>
            </w:r>
            <w:r w:rsidRPr="009A44CD">
              <w:rPr>
                <w:noProof/>
              </w:rPr>
              <w:t>v dodatku C této přílohy.</w:t>
            </w:r>
          </w:p>
          <w:p w14:paraId="68F75BA8" w14:textId="0C6B2813" w:rsidR="00EB46EA" w:rsidRPr="009A44CD" w:rsidRDefault="00EB46EA" w:rsidP="00EB46EA">
            <w:pPr>
              <w:spacing w:before="40" w:after="80" w:line="276" w:lineRule="auto"/>
              <w:rPr>
                <w:rFonts w:eastAsia="Calibri"/>
                <w:noProof/>
              </w:rPr>
            </w:pPr>
            <w:r w:rsidRPr="009A44CD">
              <w:rPr>
                <w:noProof/>
              </w:rPr>
              <w:t xml:space="preserve">Ze stavebních prvků a materiálů použitých při stavbě, které mohou přijít </w:t>
            </w:r>
            <w:r w:rsidRPr="009A44CD">
              <w:rPr>
                <w:noProof/>
              </w:rPr>
              <w:lastRenderedPageBreak/>
              <w:t>do styku s uživateli</w:t>
            </w:r>
            <w:r w:rsidRPr="009A44CD">
              <w:rPr>
                <w:rStyle w:val="Znakapoznpodarou"/>
                <w:noProof/>
              </w:rPr>
              <w:footnoteReference w:id="20"/>
            </w:r>
            <w:r w:rsidRPr="009A44CD">
              <w:rPr>
                <w:noProof/>
              </w:rPr>
              <w:t xml:space="preserve">, se při zkouškách </w:t>
            </w:r>
            <w:r w:rsidR="00EF5F1B">
              <w:rPr>
                <w:noProof/>
              </w:rPr>
              <w:br/>
            </w:r>
            <w:r w:rsidRPr="009A44CD">
              <w:rPr>
                <w:noProof/>
              </w:rPr>
              <w:t xml:space="preserve">v souladu s podmínkami uvedenými </w:t>
            </w:r>
            <w:r w:rsidR="00EF5F1B">
              <w:rPr>
                <w:noProof/>
              </w:rPr>
              <w:br/>
            </w:r>
            <w:r w:rsidRPr="009A44CD">
              <w:rPr>
                <w:noProof/>
              </w:rPr>
              <w:t>v příloze XVII nařízení (ES) č. 1907/2006 uvolňuje méně než 0,06 mg formaldehydu na m³ materiálu nebo prvku a při zkouškách podle normy CEN/EN 16516</w:t>
            </w:r>
            <w:r w:rsidRPr="009A44CD">
              <w:rPr>
                <w:rStyle w:val="Znakapoznpodarou"/>
                <w:noProof/>
              </w:rPr>
              <w:footnoteReference w:id="21"/>
            </w:r>
            <w:r w:rsidRPr="009A44CD">
              <w:rPr>
                <w:noProof/>
              </w:rPr>
              <w:t xml:space="preserve"> a ISO 16000-3:2011</w:t>
            </w:r>
            <w:r w:rsidRPr="009A44CD">
              <w:rPr>
                <w:rStyle w:val="Znakapoznpodarou"/>
                <w:noProof/>
              </w:rPr>
              <w:footnoteReference w:id="22"/>
            </w:r>
            <w:r w:rsidRPr="009A44CD">
              <w:rPr>
                <w:noProof/>
              </w:rPr>
              <w:t xml:space="preserve"> nebo jiných srovnatelných standardizovaných zkušebních podmínek a metod stanovení</w:t>
            </w:r>
            <w:r w:rsidRPr="009A44CD">
              <w:rPr>
                <w:rStyle w:val="Znakapoznpodarou"/>
                <w:noProof/>
              </w:rPr>
              <w:footnoteReference w:id="23"/>
            </w:r>
            <w:r w:rsidRPr="009A44CD">
              <w:rPr>
                <w:noProof/>
              </w:rPr>
              <w:t xml:space="preserve"> méně než 0,001 mg jiných karcinogenních těkavých organických sloučenin kategorie 1A a 1B na m³ materiálu nebo prvku. </w:t>
            </w:r>
          </w:p>
          <w:p w14:paraId="74842275" w14:textId="77777777" w:rsidR="00EB46EA" w:rsidRPr="009A44CD" w:rsidRDefault="00EB46EA" w:rsidP="00EB46EA">
            <w:pPr>
              <w:spacing w:before="40" w:after="80" w:line="276" w:lineRule="auto"/>
              <w:rPr>
                <w:rFonts w:eastAsia="Calibri"/>
                <w:noProof/>
              </w:rPr>
            </w:pPr>
            <w:r w:rsidRPr="009A44CD">
              <w:rPr>
                <w:noProof/>
              </w:rPr>
              <w:t>Pokud je nová stavba umístěna na potenciálně kontaminovaném místě (brownfield), bylo na staveništi provedeno šetření na potenciální kontaminující látky, například podle normy ISO 18400</w:t>
            </w:r>
            <w:r w:rsidRPr="009A44CD">
              <w:rPr>
                <w:rStyle w:val="Znakapoznpodarou"/>
                <w:noProof/>
              </w:rPr>
              <w:footnoteReference w:id="24"/>
            </w:r>
            <w:r w:rsidRPr="009A44CD">
              <w:rPr>
                <w:noProof/>
              </w:rPr>
              <w:t>.</w:t>
            </w:r>
          </w:p>
          <w:p w14:paraId="68FAAE6E" w14:textId="0C2AC7F6" w:rsidR="00EB46EA" w:rsidRDefault="00EB46EA" w:rsidP="00EB46EA">
            <w:pPr>
              <w:overflowPunct w:val="0"/>
              <w:autoSpaceDE w:val="0"/>
              <w:autoSpaceDN w:val="0"/>
              <w:adjustRightInd w:val="0"/>
              <w:spacing w:after="0" w:line="240" w:lineRule="auto"/>
              <w:jc w:val="both"/>
              <w:rPr>
                <w:b/>
                <w:bCs/>
                <w:noProof/>
              </w:rPr>
            </w:pPr>
            <w:r w:rsidRPr="009A44CD">
              <w:rPr>
                <w:noProof/>
              </w:rPr>
              <w:t>Přijímají se opatření ke snížení hluku, prachu a emisí znečišťujících látek při stavebních nebo údržbářských pracích.</w:t>
            </w:r>
          </w:p>
        </w:tc>
        <w:tc>
          <w:tcPr>
            <w:tcW w:w="829" w:type="dxa"/>
            <w:shd w:val="clear" w:color="auto" w:fill="auto"/>
          </w:tcPr>
          <w:p w14:paraId="7402A127" w14:textId="77777777" w:rsidR="00EB46EA" w:rsidRPr="004B7A0E" w:rsidRDefault="00EB46EA" w:rsidP="007B7599">
            <w:pPr>
              <w:rPr>
                <w:rFonts w:cstheme="minorHAnsi"/>
              </w:rPr>
            </w:pPr>
          </w:p>
        </w:tc>
        <w:tc>
          <w:tcPr>
            <w:tcW w:w="4257" w:type="dxa"/>
            <w:shd w:val="clear" w:color="auto" w:fill="auto"/>
          </w:tcPr>
          <w:p w14:paraId="23ED444A" w14:textId="77777777" w:rsidR="00EB46EA" w:rsidRPr="004B7A0E" w:rsidRDefault="00EB46EA" w:rsidP="007B7599">
            <w:pPr>
              <w:rPr>
                <w:rFonts w:cstheme="minorHAnsi"/>
                <w:u w:val="single"/>
              </w:rPr>
            </w:pPr>
          </w:p>
        </w:tc>
      </w:tr>
      <w:tr w:rsidR="00EB46EA" w:rsidRPr="004B7A0E" w14:paraId="76CAE750" w14:textId="77777777" w:rsidTr="00EB46EA">
        <w:tc>
          <w:tcPr>
            <w:tcW w:w="3974" w:type="dxa"/>
            <w:shd w:val="clear" w:color="auto" w:fill="auto"/>
          </w:tcPr>
          <w:p w14:paraId="66A64CE5" w14:textId="59A87F05" w:rsidR="00EB46EA" w:rsidRPr="00615EE2" w:rsidRDefault="00EB46EA" w:rsidP="00EB46EA">
            <w:pPr>
              <w:overflowPunct w:val="0"/>
              <w:autoSpaceDE w:val="0"/>
              <w:autoSpaceDN w:val="0"/>
              <w:adjustRightInd w:val="0"/>
              <w:spacing w:after="0" w:line="240" w:lineRule="auto"/>
              <w:jc w:val="both"/>
              <w:rPr>
                <w:b/>
                <w:bCs/>
                <w:noProof/>
              </w:rPr>
            </w:pPr>
            <w:r w:rsidRPr="009A44CD">
              <w:rPr>
                <w:noProof/>
              </w:rPr>
              <w:t xml:space="preserve">6) </w:t>
            </w:r>
            <w:r w:rsidRPr="00615EE2">
              <w:rPr>
                <w:b/>
                <w:bCs/>
                <w:noProof/>
              </w:rPr>
              <w:t>Ochrana a obnova biologické rozmanitosti a ekosystémů</w:t>
            </w:r>
          </w:p>
          <w:p w14:paraId="301DBB75" w14:textId="77777777" w:rsidR="00615EE2" w:rsidRPr="009A44CD" w:rsidRDefault="00615EE2" w:rsidP="00EB46EA">
            <w:pPr>
              <w:overflowPunct w:val="0"/>
              <w:autoSpaceDE w:val="0"/>
              <w:autoSpaceDN w:val="0"/>
              <w:adjustRightInd w:val="0"/>
              <w:spacing w:after="0" w:line="240" w:lineRule="auto"/>
              <w:jc w:val="both"/>
              <w:rPr>
                <w:noProof/>
              </w:rPr>
            </w:pPr>
          </w:p>
          <w:p w14:paraId="55D80A6C" w14:textId="05ED2012" w:rsidR="00EB46EA" w:rsidRPr="009A44CD" w:rsidRDefault="00EB46EA" w:rsidP="00EB46EA">
            <w:pPr>
              <w:spacing w:before="40" w:after="80" w:line="276" w:lineRule="auto"/>
              <w:rPr>
                <w:rFonts w:eastAsia="Times New Roman" w:cs="Arial"/>
                <w:noProof/>
              </w:rPr>
            </w:pPr>
            <w:r w:rsidRPr="009A44CD">
              <w:rPr>
                <w:noProof/>
              </w:rPr>
              <w:t xml:space="preserve">Činnost splňuje kritéria stanovená </w:t>
            </w:r>
            <w:r w:rsidR="00EF5F1B">
              <w:rPr>
                <w:noProof/>
              </w:rPr>
              <w:br/>
            </w:r>
            <w:r w:rsidRPr="009A44CD">
              <w:rPr>
                <w:noProof/>
              </w:rPr>
              <w:t>v dodatku D této přílohy.</w:t>
            </w:r>
          </w:p>
          <w:p w14:paraId="5C14C466" w14:textId="77777777" w:rsidR="00EB46EA" w:rsidRPr="009A44CD" w:rsidRDefault="00EB46EA" w:rsidP="00EB46EA">
            <w:pPr>
              <w:spacing w:before="40" w:after="80" w:line="276" w:lineRule="auto"/>
              <w:rPr>
                <w:rFonts w:eastAsia="Calibri"/>
                <w:noProof/>
              </w:rPr>
            </w:pPr>
            <w:r w:rsidRPr="009A44CD">
              <w:rPr>
                <w:noProof/>
              </w:rPr>
              <w:t>Nová budova není postavena na:</w:t>
            </w:r>
          </w:p>
          <w:p w14:paraId="23BF5DDD" w14:textId="77777777" w:rsidR="00EB46EA" w:rsidRPr="009A44CD" w:rsidRDefault="00EB46EA" w:rsidP="00EB46EA">
            <w:pPr>
              <w:pStyle w:val="Point0"/>
              <w:rPr>
                <w:rFonts w:asciiTheme="minorHAnsi" w:hAnsiTheme="minorHAnsi" w:cstheme="minorHAnsi"/>
                <w:noProof/>
                <w:sz w:val="22"/>
              </w:rPr>
            </w:pPr>
            <w:r w:rsidRPr="009A44CD">
              <w:rPr>
                <w:noProof/>
                <w:sz w:val="22"/>
              </w:rPr>
              <w:t>a)</w:t>
            </w:r>
            <w:r w:rsidRPr="009A44CD">
              <w:rPr>
                <w:noProof/>
                <w:sz w:val="22"/>
              </w:rPr>
              <w:tab/>
            </w:r>
            <w:r w:rsidRPr="009A44CD">
              <w:rPr>
                <w:rFonts w:asciiTheme="minorHAnsi" w:hAnsiTheme="minorHAnsi" w:cstheme="minorHAnsi"/>
                <w:noProof/>
                <w:sz w:val="22"/>
              </w:rPr>
              <w:t>orné půdě a zemědělské půdě se střední až vysokou úrovní úrodnosti a podzemní biologické rozmanitosti podle průzkumu EU LUCAS</w:t>
            </w:r>
            <w:r w:rsidRPr="009A44CD">
              <w:rPr>
                <w:rStyle w:val="Znakapoznpodarou"/>
                <w:rFonts w:asciiTheme="minorHAnsi" w:hAnsiTheme="minorHAnsi" w:cstheme="minorHAnsi"/>
                <w:noProof/>
                <w:sz w:val="22"/>
              </w:rPr>
              <w:footnoteReference w:id="25"/>
            </w:r>
            <w:r w:rsidRPr="009A44CD">
              <w:rPr>
                <w:rFonts w:asciiTheme="minorHAnsi" w:hAnsiTheme="minorHAnsi" w:cstheme="minorHAnsi"/>
                <w:noProof/>
                <w:sz w:val="22"/>
              </w:rPr>
              <w:t>;</w:t>
            </w:r>
          </w:p>
          <w:p w14:paraId="7F80B4D5" w14:textId="77777777" w:rsidR="00EB46EA" w:rsidRPr="009A44CD" w:rsidRDefault="00EB46EA" w:rsidP="00EB46EA">
            <w:pPr>
              <w:pStyle w:val="Point0"/>
              <w:rPr>
                <w:noProof/>
                <w:sz w:val="22"/>
              </w:rPr>
            </w:pPr>
            <w:r w:rsidRPr="009A44CD">
              <w:rPr>
                <w:rFonts w:asciiTheme="minorHAnsi" w:hAnsiTheme="minorHAnsi" w:cstheme="minorHAnsi"/>
                <w:noProof/>
                <w:sz w:val="22"/>
              </w:rPr>
              <w:t>b)</w:t>
            </w:r>
            <w:r w:rsidRPr="009A44CD">
              <w:rPr>
                <w:rFonts w:asciiTheme="minorHAnsi" w:hAnsiTheme="minorHAnsi" w:cstheme="minorHAnsi"/>
                <w:noProof/>
                <w:sz w:val="22"/>
              </w:rPr>
              <w:tab/>
              <w:t xml:space="preserve">zelené louce s uznávanou vysokou hodnotou biologické rozmanitosti a půdě, která slouží jako stanoviště ohrožených </w:t>
            </w:r>
            <w:r w:rsidRPr="009A44CD">
              <w:rPr>
                <w:rFonts w:asciiTheme="minorHAnsi" w:hAnsiTheme="minorHAnsi" w:cstheme="minorHAnsi"/>
                <w:noProof/>
                <w:sz w:val="22"/>
              </w:rPr>
              <w:lastRenderedPageBreak/>
              <w:t>druhů (flóry a fauny) uvedených na Evropském červeném seznamu</w:t>
            </w:r>
            <w:r w:rsidRPr="009A44CD">
              <w:rPr>
                <w:rStyle w:val="Znakapoznpodarou"/>
                <w:rFonts w:asciiTheme="minorHAnsi" w:hAnsiTheme="minorHAnsi" w:cstheme="minorHAnsi"/>
                <w:noProof/>
                <w:sz w:val="22"/>
              </w:rPr>
              <w:footnoteReference w:id="26"/>
            </w:r>
            <w:r w:rsidRPr="009A44CD">
              <w:rPr>
                <w:rFonts w:asciiTheme="minorHAnsi" w:hAnsiTheme="minorHAnsi" w:cstheme="minorHAnsi"/>
                <w:noProof/>
                <w:sz w:val="22"/>
              </w:rPr>
              <w:t xml:space="preserve"> nebo na Červeném</w:t>
            </w:r>
            <w:r w:rsidRPr="009A44CD">
              <w:rPr>
                <w:noProof/>
                <w:sz w:val="22"/>
              </w:rPr>
              <w:t xml:space="preserve"> seznamu ohrožených druhů IUCN</w:t>
            </w:r>
            <w:r w:rsidRPr="009A44CD">
              <w:rPr>
                <w:rStyle w:val="Znakapoznpodarou"/>
                <w:noProof/>
                <w:sz w:val="22"/>
              </w:rPr>
              <w:footnoteReference w:id="27"/>
            </w:r>
            <w:r w:rsidRPr="009A44CD">
              <w:rPr>
                <w:noProof/>
                <w:sz w:val="22"/>
              </w:rPr>
              <w:t>;</w:t>
            </w:r>
          </w:p>
          <w:p w14:paraId="57CB3B49" w14:textId="07A64F83" w:rsidR="00EB46EA" w:rsidRPr="009A44CD" w:rsidRDefault="00EB46EA" w:rsidP="00EB46EA">
            <w:pPr>
              <w:overflowPunct w:val="0"/>
              <w:autoSpaceDE w:val="0"/>
              <w:autoSpaceDN w:val="0"/>
              <w:adjustRightInd w:val="0"/>
              <w:spacing w:after="0" w:line="240" w:lineRule="auto"/>
              <w:jc w:val="both"/>
              <w:rPr>
                <w:noProof/>
              </w:rPr>
            </w:pPr>
            <w:r w:rsidRPr="009A44CD">
              <w:rPr>
                <w:noProof/>
              </w:rPr>
              <w:t>c)</w:t>
            </w:r>
            <w:r w:rsidRPr="009A44CD">
              <w:rPr>
                <w:noProof/>
              </w:rPr>
              <w:tab/>
            </w:r>
            <w:r w:rsidRPr="009A44CD">
              <w:rPr>
                <w:rFonts w:cstheme="minorHAnsi"/>
                <w:noProof/>
              </w:rPr>
              <w:t>půdě, která odpovídá definici lesa stanovené ve vnitrostátních právních předpisech nebo používané v národní inventuře skleníkových plynů, nebo pokud taková definice neexistuje, půdě, která je v souladu s definicí lesa podle FAO</w:t>
            </w:r>
            <w:r w:rsidRPr="009A44CD">
              <w:rPr>
                <w:rStyle w:val="Znakapoznpodarou"/>
                <w:rFonts w:cstheme="minorHAnsi"/>
                <w:noProof/>
              </w:rPr>
              <w:footnoteReference w:id="28"/>
            </w:r>
            <w:r w:rsidRPr="009A44CD">
              <w:rPr>
                <w:rFonts w:cstheme="minorHAnsi"/>
                <w:noProof/>
              </w:rPr>
              <w:t>.</w:t>
            </w:r>
          </w:p>
        </w:tc>
        <w:tc>
          <w:tcPr>
            <w:tcW w:w="829" w:type="dxa"/>
            <w:shd w:val="clear" w:color="auto" w:fill="auto"/>
          </w:tcPr>
          <w:p w14:paraId="2AAE4220" w14:textId="77777777" w:rsidR="00EB46EA" w:rsidRPr="009A44CD" w:rsidRDefault="00EB46EA" w:rsidP="007B7599">
            <w:pPr>
              <w:rPr>
                <w:rFonts w:cstheme="minorHAnsi"/>
              </w:rPr>
            </w:pPr>
          </w:p>
        </w:tc>
        <w:tc>
          <w:tcPr>
            <w:tcW w:w="4257" w:type="dxa"/>
            <w:shd w:val="clear" w:color="auto" w:fill="auto"/>
          </w:tcPr>
          <w:p w14:paraId="7A2BA0F6" w14:textId="77777777" w:rsidR="00EB46EA" w:rsidRPr="004B7A0E" w:rsidRDefault="00EB46EA" w:rsidP="007B7599">
            <w:pPr>
              <w:rPr>
                <w:rFonts w:cstheme="minorHAnsi"/>
                <w:u w:val="single"/>
              </w:rPr>
            </w:pPr>
          </w:p>
        </w:tc>
      </w:tr>
    </w:tbl>
    <w:p w14:paraId="6D53D68A" w14:textId="77777777" w:rsidR="00B9407D" w:rsidRDefault="00B9407D" w:rsidP="002313CB">
      <w:pPr>
        <w:spacing w:line="360" w:lineRule="auto"/>
        <w:jc w:val="both"/>
        <w:rPr>
          <w:b/>
          <w:bCs/>
          <w:sz w:val="23"/>
          <w:szCs w:val="23"/>
        </w:rPr>
      </w:pPr>
    </w:p>
    <w:p w14:paraId="7B83B7D0" w14:textId="484BA81E" w:rsidR="002313CB" w:rsidRDefault="002313CB" w:rsidP="002313CB">
      <w:pPr>
        <w:spacing w:line="360" w:lineRule="auto"/>
        <w:jc w:val="both"/>
        <w:rPr>
          <w:b/>
          <w:bCs/>
          <w:sz w:val="23"/>
          <w:szCs w:val="23"/>
        </w:rPr>
      </w:pPr>
      <w:r>
        <w:rPr>
          <w:b/>
          <w:bCs/>
          <w:sz w:val="23"/>
          <w:szCs w:val="23"/>
        </w:rPr>
        <w:t>Rekonstrukce</w:t>
      </w:r>
      <w:r w:rsidR="00EB46EA">
        <w:rPr>
          <w:rStyle w:val="Znakapoznpodarou"/>
          <w:b/>
          <w:bCs/>
          <w:sz w:val="23"/>
          <w:szCs w:val="23"/>
        </w:rPr>
        <w:footnoteReference w:id="29"/>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829"/>
        <w:gridCol w:w="4257"/>
      </w:tblGrid>
      <w:tr w:rsidR="00306D66" w:rsidRPr="004B7A0E" w14:paraId="3BAFD70C" w14:textId="77777777" w:rsidTr="00084E76">
        <w:tc>
          <w:tcPr>
            <w:tcW w:w="3974" w:type="dxa"/>
            <w:shd w:val="clear" w:color="auto" w:fill="auto"/>
          </w:tcPr>
          <w:p w14:paraId="745196A5" w14:textId="77777777" w:rsidR="00306D66" w:rsidRDefault="00306D66" w:rsidP="00084E76">
            <w:pPr>
              <w:overflowPunct w:val="0"/>
              <w:autoSpaceDE w:val="0"/>
              <w:autoSpaceDN w:val="0"/>
              <w:adjustRightInd w:val="0"/>
              <w:spacing w:after="0" w:line="240" w:lineRule="auto"/>
              <w:jc w:val="both"/>
              <w:rPr>
                <w:b/>
                <w:bCs/>
                <w:noProof/>
              </w:rPr>
            </w:pPr>
            <w:r w:rsidRPr="001B709B">
              <w:rPr>
                <w:b/>
                <w:bCs/>
                <w:noProof/>
              </w:rPr>
              <w:t>Významný přínos ke zmírňování změny klimatu</w:t>
            </w:r>
          </w:p>
          <w:p w14:paraId="790D3E5C" w14:textId="77777777" w:rsidR="00306D66" w:rsidRDefault="00306D66" w:rsidP="00084E76">
            <w:pPr>
              <w:overflowPunct w:val="0"/>
              <w:autoSpaceDE w:val="0"/>
              <w:autoSpaceDN w:val="0"/>
              <w:adjustRightInd w:val="0"/>
              <w:spacing w:after="0" w:line="240" w:lineRule="auto"/>
              <w:jc w:val="both"/>
              <w:rPr>
                <w:noProof/>
              </w:rPr>
            </w:pPr>
            <w:r>
              <w:rPr>
                <w:noProof/>
              </w:rPr>
              <w:t>1.Potřeba primární energie</w:t>
            </w:r>
            <w:r>
              <w:rPr>
                <w:rStyle w:val="Znakapoznpodarou"/>
                <w:noProof/>
              </w:rPr>
              <w:footnoteReference w:id="30"/>
            </w:r>
            <w:r>
              <w:rPr>
                <w:noProof/>
              </w:rPr>
              <w:t xml:space="preserve"> definující energetickou náročnost budovy, která je výsledkem výstavby, je nejméně o 10 % nižší než prahová hodnota, kterou </w:t>
            </w:r>
            <w:r>
              <w:rPr>
                <w:noProof/>
              </w:rPr>
              <w:br/>
              <w:t>u požadavků na budovy s téměř nulovou spotřebou energie stanoví vnitrostátní opatření provádějící směrnici Evropského parlamentu a Rady 2010/31/EU</w:t>
            </w:r>
            <w:r>
              <w:rPr>
                <w:rStyle w:val="Znakapoznpodarou"/>
                <w:noProof/>
              </w:rPr>
              <w:footnoteReference w:id="31"/>
            </w:r>
            <w:r>
              <w:rPr>
                <w:noProof/>
              </w:rPr>
              <w:t>. Energetická náročnost je potvrzena průkazem energetické náročnosti skutečného stavu budovy.</w:t>
            </w:r>
          </w:p>
          <w:p w14:paraId="0C1E4A88" w14:textId="77777777" w:rsidR="00306D66" w:rsidRDefault="00306D66" w:rsidP="00084E76">
            <w:pPr>
              <w:spacing w:before="200" w:after="200" w:line="276" w:lineRule="auto"/>
              <w:rPr>
                <w:rFonts w:eastAsia="Calibri" w:cs="Calibri"/>
                <w:noProof/>
              </w:rPr>
            </w:pPr>
            <w:r>
              <w:rPr>
                <w:noProof/>
              </w:rPr>
              <w:t>2. U budov nad 5 000 m</w:t>
            </w:r>
            <w:r>
              <w:rPr>
                <w:noProof/>
                <w:vertAlign w:val="superscript"/>
              </w:rPr>
              <w:t xml:space="preserve">2 </w:t>
            </w:r>
            <w:r>
              <w:rPr>
                <w:rStyle w:val="Znakapoznpodarou"/>
                <w:noProof/>
              </w:rPr>
              <w:footnoteReference w:id="32"/>
            </w:r>
            <w:r>
              <w:rPr>
                <w:noProof/>
              </w:rPr>
              <w:t xml:space="preserve"> prochází po dokončení budova, která je výsledkem výstavby, zkouškou vzduchotěsnosti </w:t>
            </w:r>
            <w:r>
              <w:rPr>
                <w:noProof/>
              </w:rPr>
              <w:br/>
              <w:t>a tepelné integrity</w:t>
            </w:r>
            <w:r>
              <w:rPr>
                <w:rStyle w:val="Znakapoznpodarou"/>
                <w:noProof/>
              </w:rPr>
              <w:footnoteReference w:id="33"/>
            </w:r>
            <w:r>
              <w:rPr>
                <w:noProof/>
              </w:rPr>
              <w:t xml:space="preserve">, přičemž veškeré odchylky od úrovní náročnosti </w:t>
            </w:r>
            <w:r>
              <w:rPr>
                <w:noProof/>
              </w:rPr>
              <w:lastRenderedPageBreak/>
              <w:t xml:space="preserve">stanovených ve fázi návrhu nebo vady pláště budovy jsou sděleny investorům </w:t>
            </w:r>
            <w:r>
              <w:rPr>
                <w:noProof/>
              </w:rPr>
              <w:br/>
              <w:t>a klientům. Alternativní postup: pokud jsou během stavebního procesu zavedeny robustní a sledovatelné postupy řízení kvality, jedná se o přijatelnou alternativu ke zkouškám tepelné integrity.</w:t>
            </w:r>
          </w:p>
          <w:p w14:paraId="011E07AC" w14:textId="77777777" w:rsidR="00306D66" w:rsidRPr="001B709B" w:rsidRDefault="00306D66" w:rsidP="00084E76">
            <w:pPr>
              <w:overflowPunct w:val="0"/>
              <w:autoSpaceDE w:val="0"/>
              <w:autoSpaceDN w:val="0"/>
              <w:adjustRightInd w:val="0"/>
              <w:spacing w:after="0" w:line="240" w:lineRule="auto"/>
              <w:jc w:val="both"/>
              <w:rPr>
                <w:rFonts w:cstheme="minorHAnsi"/>
              </w:rPr>
            </w:pPr>
            <w:r>
              <w:rPr>
                <w:noProof/>
              </w:rPr>
              <w:t>3. U budov nad 5 000 m</w:t>
            </w:r>
            <w:r>
              <w:rPr>
                <w:noProof/>
                <w:vertAlign w:val="superscript"/>
              </w:rPr>
              <w:t xml:space="preserve">2 </w:t>
            </w:r>
            <w:r>
              <w:rPr>
                <w:rStyle w:val="Znakapoznpodarou"/>
                <w:noProof/>
              </w:rPr>
              <w:footnoteReference w:id="34"/>
            </w:r>
            <w:r>
              <w:rPr>
                <w:noProof/>
              </w:rPr>
              <w:t xml:space="preserve"> je vypočten potenciál globálního oteplování</w:t>
            </w:r>
            <w:r>
              <w:rPr>
                <w:rStyle w:val="Znakapoznpodarou"/>
                <w:noProof/>
              </w:rPr>
              <w:footnoteReference w:id="35"/>
            </w:r>
            <w:r>
              <w:rPr>
                <w:noProof/>
              </w:rPr>
              <w:t xml:space="preserve"> během životního cyklu budovy, která je výsledkem výstavby, pro každou fázi životního cyklu a je na požádání sdělen investorům a klientům.</w:t>
            </w:r>
          </w:p>
        </w:tc>
        <w:tc>
          <w:tcPr>
            <w:tcW w:w="829" w:type="dxa"/>
            <w:shd w:val="clear" w:color="auto" w:fill="auto"/>
          </w:tcPr>
          <w:p w14:paraId="7818F0CD" w14:textId="77777777" w:rsidR="00306D66" w:rsidRPr="004B7A0E" w:rsidRDefault="00306D66" w:rsidP="00084E76">
            <w:pPr>
              <w:rPr>
                <w:rFonts w:cstheme="minorHAnsi"/>
              </w:rPr>
            </w:pPr>
          </w:p>
        </w:tc>
        <w:tc>
          <w:tcPr>
            <w:tcW w:w="4257" w:type="dxa"/>
            <w:shd w:val="clear" w:color="auto" w:fill="auto"/>
          </w:tcPr>
          <w:p w14:paraId="6FDAE5D4" w14:textId="77777777" w:rsidR="00306D66" w:rsidRPr="004B7A0E" w:rsidRDefault="00306D66" w:rsidP="00084E76">
            <w:pPr>
              <w:rPr>
                <w:rFonts w:cstheme="minorHAnsi"/>
                <w:u w:val="single"/>
              </w:rPr>
            </w:pPr>
          </w:p>
        </w:tc>
      </w:tr>
      <w:tr w:rsidR="00306D66" w:rsidRPr="004B7A0E" w14:paraId="21F66825" w14:textId="77777777" w:rsidTr="00084E76">
        <w:tc>
          <w:tcPr>
            <w:tcW w:w="3974" w:type="dxa"/>
            <w:shd w:val="clear" w:color="auto" w:fill="auto"/>
          </w:tcPr>
          <w:p w14:paraId="63D9C9E3" w14:textId="77777777" w:rsidR="00306D66" w:rsidRDefault="00306D66" w:rsidP="00084E76">
            <w:pPr>
              <w:overflowPunct w:val="0"/>
              <w:autoSpaceDE w:val="0"/>
              <w:autoSpaceDN w:val="0"/>
              <w:adjustRightInd w:val="0"/>
              <w:spacing w:after="0" w:line="240" w:lineRule="auto"/>
              <w:jc w:val="both"/>
              <w:rPr>
                <w:b/>
                <w:bCs/>
                <w:noProof/>
              </w:rPr>
            </w:pPr>
            <w:r w:rsidRPr="00845530">
              <w:rPr>
                <w:b/>
                <w:bCs/>
                <w:noProof/>
              </w:rPr>
              <w:t>Zásada „významně nepoškozovat“</w:t>
            </w:r>
            <w:r>
              <w:rPr>
                <w:rStyle w:val="Znakapoznpodarou"/>
                <w:b/>
                <w:bCs/>
                <w:noProof/>
              </w:rPr>
              <w:footnoteReference w:id="36"/>
            </w:r>
          </w:p>
          <w:p w14:paraId="35230433" w14:textId="77777777" w:rsidR="00306D66" w:rsidRPr="00615EE2" w:rsidRDefault="00306D66" w:rsidP="00084E76">
            <w:pPr>
              <w:overflowPunct w:val="0"/>
              <w:autoSpaceDE w:val="0"/>
              <w:autoSpaceDN w:val="0"/>
              <w:adjustRightInd w:val="0"/>
              <w:spacing w:after="0" w:line="240" w:lineRule="auto"/>
              <w:jc w:val="both"/>
              <w:rPr>
                <w:b/>
                <w:bCs/>
                <w:noProof/>
              </w:rPr>
            </w:pPr>
            <w:r w:rsidRPr="00615EE2">
              <w:rPr>
                <w:b/>
                <w:bCs/>
                <w:noProof/>
              </w:rPr>
              <w:t>2) Přizpůsobování se změně klimatu</w:t>
            </w:r>
          </w:p>
          <w:p w14:paraId="1B64E03C" w14:textId="77777777" w:rsidR="00306D66" w:rsidRDefault="00306D66" w:rsidP="00084E76">
            <w:pPr>
              <w:overflowPunct w:val="0"/>
              <w:autoSpaceDE w:val="0"/>
              <w:autoSpaceDN w:val="0"/>
              <w:adjustRightInd w:val="0"/>
              <w:spacing w:after="0" w:line="240" w:lineRule="auto"/>
              <w:jc w:val="both"/>
              <w:rPr>
                <w:noProof/>
              </w:rPr>
            </w:pPr>
          </w:p>
          <w:p w14:paraId="07FB311F" w14:textId="77777777" w:rsidR="00306D66" w:rsidRPr="00845530" w:rsidRDefault="00306D66" w:rsidP="00084E76">
            <w:pPr>
              <w:overflowPunct w:val="0"/>
              <w:autoSpaceDE w:val="0"/>
              <w:autoSpaceDN w:val="0"/>
              <w:adjustRightInd w:val="0"/>
              <w:spacing w:after="0" w:line="240" w:lineRule="auto"/>
              <w:jc w:val="both"/>
              <w:rPr>
                <w:noProof/>
              </w:rPr>
            </w:pPr>
            <w:r>
              <w:rPr>
                <w:noProof/>
              </w:rPr>
              <w:t xml:space="preserve">Činnost splňuje kritéria stanovená </w:t>
            </w:r>
            <w:r>
              <w:rPr>
                <w:noProof/>
              </w:rPr>
              <w:br/>
              <w:t>v dodatku A této přílohy.</w:t>
            </w:r>
          </w:p>
        </w:tc>
        <w:tc>
          <w:tcPr>
            <w:tcW w:w="829" w:type="dxa"/>
            <w:shd w:val="clear" w:color="auto" w:fill="auto"/>
          </w:tcPr>
          <w:p w14:paraId="4A982523" w14:textId="77777777" w:rsidR="00306D66" w:rsidRPr="004B7A0E" w:rsidRDefault="00306D66" w:rsidP="00084E76">
            <w:pPr>
              <w:rPr>
                <w:rFonts w:cstheme="minorHAnsi"/>
              </w:rPr>
            </w:pPr>
          </w:p>
        </w:tc>
        <w:tc>
          <w:tcPr>
            <w:tcW w:w="4257" w:type="dxa"/>
            <w:shd w:val="clear" w:color="auto" w:fill="auto"/>
          </w:tcPr>
          <w:p w14:paraId="49D5965E" w14:textId="77777777" w:rsidR="00306D66" w:rsidRPr="004B7A0E" w:rsidRDefault="00306D66" w:rsidP="00084E76">
            <w:pPr>
              <w:overflowPunct w:val="0"/>
              <w:autoSpaceDE w:val="0"/>
              <w:autoSpaceDN w:val="0"/>
              <w:adjustRightInd w:val="0"/>
              <w:spacing w:after="0" w:line="240" w:lineRule="auto"/>
              <w:jc w:val="both"/>
              <w:rPr>
                <w:rFonts w:cstheme="minorHAnsi"/>
                <w:u w:val="single"/>
              </w:rPr>
            </w:pPr>
          </w:p>
        </w:tc>
      </w:tr>
      <w:tr w:rsidR="00306D66" w:rsidRPr="004B7A0E" w14:paraId="4E630993" w14:textId="77777777" w:rsidTr="00084E76">
        <w:tc>
          <w:tcPr>
            <w:tcW w:w="3974" w:type="dxa"/>
            <w:shd w:val="clear" w:color="auto" w:fill="auto"/>
          </w:tcPr>
          <w:p w14:paraId="05061EAC" w14:textId="77777777" w:rsidR="00306D66" w:rsidRDefault="00306D66" w:rsidP="00084E76">
            <w:pPr>
              <w:overflowPunct w:val="0"/>
              <w:autoSpaceDE w:val="0"/>
              <w:autoSpaceDN w:val="0"/>
              <w:adjustRightInd w:val="0"/>
              <w:spacing w:after="0" w:line="240" w:lineRule="auto"/>
              <w:jc w:val="both"/>
              <w:rPr>
                <w:b/>
                <w:bCs/>
                <w:noProof/>
              </w:rPr>
            </w:pPr>
            <w:r w:rsidRPr="00615EE2">
              <w:rPr>
                <w:b/>
                <w:bCs/>
                <w:noProof/>
              </w:rPr>
              <w:t>3) Udržitelné využívání a ochrana vodních a mořských zdrojů</w:t>
            </w:r>
          </w:p>
          <w:p w14:paraId="56D36E0C" w14:textId="77777777" w:rsidR="00306D66" w:rsidRPr="00615EE2" w:rsidRDefault="00306D66" w:rsidP="00084E76">
            <w:pPr>
              <w:overflowPunct w:val="0"/>
              <w:autoSpaceDE w:val="0"/>
              <w:autoSpaceDN w:val="0"/>
              <w:adjustRightInd w:val="0"/>
              <w:spacing w:after="0" w:line="240" w:lineRule="auto"/>
              <w:jc w:val="both"/>
              <w:rPr>
                <w:b/>
                <w:bCs/>
                <w:noProof/>
              </w:rPr>
            </w:pPr>
          </w:p>
          <w:p w14:paraId="083199BB" w14:textId="77777777" w:rsidR="00306D66" w:rsidRPr="009A44CD" w:rsidRDefault="00306D66" w:rsidP="00084E76">
            <w:pPr>
              <w:spacing w:before="40" w:after="80" w:line="276" w:lineRule="auto"/>
              <w:rPr>
                <w:rFonts w:eastAsia="Calibri"/>
                <w:noProof/>
              </w:rPr>
            </w:pPr>
            <w:r w:rsidRPr="009A44CD">
              <w:rPr>
                <w:noProof/>
              </w:rPr>
              <w:t xml:space="preserve">Jsou-li instalována tato zařízení </w:t>
            </w:r>
            <w:r>
              <w:rPr>
                <w:noProof/>
              </w:rPr>
              <w:br/>
            </w:r>
            <w:r w:rsidRPr="009A44CD">
              <w:rPr>
                <w:noProof/>
              </w:rPr>
              <w:t xml:space="preserve">k využívání vody, kromě instalace </w:t>
            </w:r>
            <w:r>
              <w:rPr>
                <w:noProof/>
              </w:rPr>
              <w:br/>
            </w:r>
            <w:r w:rsidRPr="009A44CD">
              <w:rPr>
                <w:noProof/>
              </w:rPr>
              <w:t>v bytových jednotkách, je pro ně uvedená spotřeba vody doložena technickými listy výrobku, stavební certifikací nebo stávajícím štítkem výrobku v Unii v souladu s technickými specifikacemi stanovenými v dodatku E této přílohy:</w:t>
            </w:r>
          </w:p>
          <w:p w14:paraId="71E34677" w14:textId="77777777" w:rsidR="00306D66" w:rsidRPr="009A44CD" w:rsidRDefault="00306D66" w:rsidP="00084E76">
            <w:pPr>
              <w:pStyle w:val="Point0"/>
              <w:rPr>
                <w:rFonts w:asciiTheme="minorHAnsi" w:hAnsiTheme="minorHAnsi" w:cstheme="minorHAnsi"/>
                <w:noProof/>
                <w:sz w:val="22"/>
              </w:rPr>
            </w:pPr>
            <w:r w:rsidRPr="009A44CD">
              <w:rPr>
                <w:noProof/>
                <w:sz w:val="22"/>
              </w:rPr>
              <w:t>a)</w:t>
            </w:r>
            <w:r w:rsidRPr="009A44CD">
              <w:rPr>
                <w:noProof/>
                <w:sz w:val="22"/>
              </w:rPr>
              <w:tab/>
            </w:r>
            <w:r w:rsidRPr="009A44CD">
              <w:rPr>
                <w:rFonts w:asciiTheme="minorHAnsi" w:hAnsiTheme="minorHAnsi" w:cstheme="minorHAnsi"/>
                <w:noProof/>
                <w:sz w:val="22"/>
              </w:rPr>
              <w:t>umyvadlové baterie a kuchyňské baterie mají maximální průtok vody 6 litrů/min;</w:t>
            </w:r>
          </w:p>
          <w:p w14:paraId="37133187" w14:textId="77777777" w:rsidR="00306D66" w:rsidRPr="009A44CD" w:rsidRDefault="00306D66" w:rsidP="00084E76">
            <w:pPr>
              <w:pStyle w:val="Point0"/>
              <w:rPr>
                <w:rFonts w:asciiTheme="minorHAnsi" w:hAnsiTheme="minorHAnsi" w:cstheme="minorHAnsi"/>
                <w:noProof/>
                <w:sz w:val="22"/>
              </w:rPr>
            </w:pPr>
            <w:r w:rsidRPr="009A44CD">
              <w:rPr>
                <w:rFonts w:asciiTheme="minorHAnsi" w:hAnsiTheme="minorHAnsi" w:cstheme="minorHAnsi"/>
                <w:noProof/>
                <w:sz w:val="22"/>
              </w:rPr>
              <w:t>b)</w:t>
            </w:r>
            <w:r w:rsidRPr="009A44CD">
              <w:rPr>
                <w:rFonts w:asciiTheme="minorHAnsi" w:hAnsiTheme="minorHAnsi" w:cstheme="minorHAnsi"/>
                <w:noProof/>
                <w:sz w:val="22"/>
              </w:rPr>
              <w:tab/>
              <w:t>sprchy mají maximální průtok vody 8 litrů/min;</w:t>
            </w:r>
          </w:p>
          <w:p w14:paraId="765FC9E7" w14:textId="77777777" w:rsidR="00306D66" w:rsidRPr="009A44CD" w:rsidRDefault="00306D66" w:rsidP="00084E76">
            <w:pPr>
              <w:pStyle w:val="Point0"/>
              <w:rPr>
                <w:rFonts w:asciiTheme="minorHAnsi" w:hAnsiTheme="minorHAnsi" w:cstheme="minorHAnsi"/>
                <w:noProof/>
                <w:sz w:val="22"/>
              </w:rPr>
            </w:pPr>
            <w:r w:rsidRPr="009A44CD">
              <w:rPr>
                <w:rFonts w:asciiTheme="minorHAnsi" w:hAnsiTheme="minorHAnsi" w:cstheme="minorHAnsi"/>
                <w:noProof/>
                <w:sz w:val="22"/>
              </w:rPr>
              <w:lastRenderedPageBreak/>
              <w:t>c)</w:t>
            </w:r>
            <w:r w:rsidRPr="009A44CD">
              <w:rPr>
                <w:rFonts w:asciiTheme="minorHAnsi" w:hAnsiTheme="minorHAnsi" w:cstheme="minorHAnsi"/>
                <w:noProof/>
                <w:sz w:val="22"/>
              </w:rPr>
              <w:tab/>
              <w:t xml:space="preserve">WC, zahrnující soupravy, mísy </w:t>
            </w:r>
            <w:r>
              <w:rPr>
                <w:rFonts w:asciiTheme="minorHAnsi" w:hAnsiTheme="minorHAnsi" w:cstheme="minorHAnsi"/>
                <w:noProof/>
                <w:sz w:val="22"/>
              </w:rPr>
              <w:br/>
            </w:r>
            <w:r w:rsidRPr="009A44CD">
              <w:rPr>
                <w:rFonts w:asciiTheme="minorHAnsi" w:hAnsiTheme="minorHAnsi" w:cstheme="minorHAnsi"/>
                <w:noProof/>
                <w:sz w:val="22"/>
              </w:rPr>
              <w:t>a splachovací nádrže, mají úplný objem splachovací vody maximálně 6 litrů a maximální průměrný objem splachovací vody 3,5 litru;</w:t>
            </w:r>
          </w:p>
          <w:p w14:paraId="53D19628" w14:textId="77777777" w:rsidR="00306D66" w:rsidRPr="009A44CD" w:rsidRDefault="00306D66" w:rsidP="00084E76">
            <w:pPr>
              <w:pStyle w:val="Point0"/>
              <w:rPr>
                <w:rFonts w:asciiTheme="minorHAnsi" w:hAnsiTheme="minorHAnsi" w:cstheme="minorHAnsi"/>
                <w:noProof/>
                <w:sz w:val="22"/>
              </w:rPr>
            </w:pPr>
            <w:r w:rsidRPr="009A44CD">
              <w:rPr>
                <w:rFonts w:asciiTheme="minorHAnsi" w:hAnsiTheme="minorHAnsi" w:cstheme="minorHAnsi"/>
                <w:noProof/>
                <w:sz w:val="22"/>
              </w:rPr>
              <w:t>d)</w:t>
            </w:r>
            <w:r w:rsidRPr="009A44CD">
              <w:rPr>
                <w:rFonts w:asciiTheme="minorHAnsi" w:hAnsiTheme="minorHAnsi" w:cstheme="minorHAnsi"/>
                <w:noProof/>
                <w:sz w:val="22"/>
              </w:rPr>
              <w:tab/>
              <w:t xml:space="preserve">pisoáry spotřebují maximálně </w:t>
            </w:r>
            <w:r>
              <w:rPr>
                <w:rFonts w:asciiTheme="minorHAnsi" w:hAnsiTheme="minorHAnsi" w:cstheme="minorHAnsi"/>
                <w:noProof/>
                <w:sz w:val="22"/>
              </w:rPr>
              <w:br/>
            </w:r>
            <w:r w:rsidRPr="009A44CD">
              <w:rPr>
                <w:rFonts w:asciiTheme="minorHAnsi" w:hAnsiTheme="minorHAnsi" w:cstheme="minorHAnsi"/>
                <w:noProof/>
                <w:sz w:val="22"/>
              </w:rPr>
              <w:t>2 litry/mísu/hodinu. Splachovací pisoáry mají maximální úplný objem splachovací vody 1 litr.</w:t>
            </w:r>
          </w:p>
          <w:p w14:paraId="2A7A6475" w14:textId="77777777" w:rsidR="00306D66" w:rsidRPr="009A44CD" w:rsidRDefault="00306D66" w:rsidP="00084E76">
            <w:pPr>
              <w:overflowPunct w:val="0"/>
              <w:autoSpaceDE w:val="0"/>
              <w:autoSpaceDN w:val="0"/>
              <w:adjustRightInd w:val="0"/>
              <w:spacing w:after="0" w:line="240" w:lineRule="auto"/>
              <w:jc w:val="both"/>
              <w:rPr>
                <w:b/>
                <w:bCs/>
                <w:noProof/>
              </w:rPr>
            </w:pPr>
            <w:r w:rsidRPr="009A44CD">
              <w:rPr>
                <w:noProof/>
              </w:rPr>
              <w:t>Aby se zabránilo negativním vlivům staveniště, splňuje činnost kritéria stanovená v dodatku B této přílohy.</w:t>
            </w:r>
          </w:p>
        </w:tc>
        <w:tc>
          <w:tcPr>
            <w:tcW w:w="829" w:type="dxa"/>
            <w:shd w:val="clear" w:color="auto" w:fill="auto"/>
          </w:tcPr>
          <w:p w14:paraId="346CB3DF" w14:textId="77777777" w:rsidR="00306D66" w:rsidRPr="004B7A0E" w:rsidRDefault="00306D66" w:rsidP="00084E76">
            <w:pPr>
              <w:rPr>
                <w:rFonts w:cstheme="minorHAnsi"/>
              </w:rPr>
            </w:pPr>
          </w:p>
        </w:tc>
        <w:tc>
          <w:tcPr>
            <w:tcW w:w="4257" w:type="dxa"/>
            <w:shd w:val="clear" w:color="auto" w:fill="auto"/>
          </w:tcPr>
          <w:p w14:paraId="493D43E8" w14:textId="77777777" w:rsidR="00306D66" w:rsidRPr="004B7A0E" w:rsidRDefault="00306D66" w:rsidP="00084E76">
            <w:pPr>
              <w:rPr>
                <w:rFonts w:cstheme="minorHAnsi"/>
                <w:u w:val="single"/>
              </w:rPr>
            </w:pPr>
            <w:r>
              <w:rPr>
                <w:noProof/>
              </w:rPr>
              <w:t xml:space="preserve"> </w:t>
            </w:r>
          </w:p>
        </w:tc>
      </w:tr>
      <w:tr w:rsidR="00306D66" w:rsidRPr="004B7A0E" w14:paraId="2CF123BB" w14:textId="77777777" w:rsidTr="00084E76">
        <w:tc>
          <w:tcPr>
            <w:tcW w:w="3974" w:type="dxa"/>
            <w:shd w:val="clear" w:color="auto" w:fill="auto"/>
          </w:tcPr>
          <w:p w14:paraId="487334A1" w14:textId="77777777" w:rsidR="00306D66" w:rsidRDefault="00306D66" w:rsidP="00084E76">
            <w:pPr>
              <w:overflowPunct w:val="0"/>
              <w:autoSpaceDE w:val="0"/>
              <w:autoSpaceDN w:val="0"/>
              <w:adjustRightInd w:val="0"/>
              <w:spacing w:after="0" w:line="240" w:lineRule="auto"/>
              <w:jc w:val="both"/>
              <w:rPr>
                <w:b/>
                <w:bCs/>
                <w:noProof/>
              </w:rPr>
            </w:pPr>
          </w:p>
          <w:p w14:paraId="06B6D15E" w14:textId="77777777" w:rsidR="00306D66" w:rsidRPr="00615EE2" w:rsidRDefault="00306D66" w:rsidP="00084E76">
            <w:pPr>
              <w:overflowPunct w:val="0"/>
              <w:autoSpaceDE w:val="0"/>
              <w:autoSpaceDN w:val="0"/>
              <w:adjustRightInd w:val="0"/>
              <w:spacing w:after="0" w:line="240" w:lineRule="auto"/>
              <w:jc w:val="both"/>
              <w:rPr>
                <w:b/>
                <w:bCs/>
                <w:noProof/>
              </w:rPr>
            </w:pPr>
            <w:r w:rsidRPr="00615EE2">
              <w:rPr>
                <w:b/>
                <w:bCs/>
                <w:noProof/>
              </w:rPr>
              <w:t>4) Přechod na oběhové hospodářství</w:t>
            </w:r>
          </w:p>
          <w:p w14:paraId="2E8AC490" w14:textId="77777777" w:rsidR="00306D66" w:rsidRDefault="00306D66" w:rsidP="00084E76">
            <w:pPr>
              <w:overflowPunct w:val="0"/>
              <w:autoSpaceDE w:val="0"/>
              <w:autoSpaceDN w:val="0"/>
              <w:adjustRightInd w:val="0"/>
              <w:spacing w:after="0" w:line="240" w:lineRule="auto"/>
              <w:jc w:val="both"/>
              <w:rPr>
                <w:b/>
                <w:bCs/>
                <w:noProof/>
              </w:rPr>
            </w:pPr>
          </w:p>
          <w:p w14:paraId="1CA391BF" w14:textId="77777777" w:rsidR="00306D66" w:rsidRPr="009A44CD" w:rsidRDefault="00306D66" w:rsidP="00084E76">
            <w:pPr>
              <w:spacing w:before="40" w:after="80" w:line="276" w:lineRule="auto"/>
              <w:rPr>
                <w:rFonts w:eastAsia="Calibri"/>
                <w:noProof/>
              </w:rPr>
            </w:pPr>
            <w:r w:rsidRPr="009A44CD">
              <w:rPr>
                <w:noProof/>
              </w:rPr>
              <w:t xml:space="preserve">Nejméně 70 % (hmotnostních) stavebního a demoličního odpadu neklasifikovaného jako nebezpečný </w:t>
            </w:r>
            <w:r>
              <w:rPr>
                <w:noProof/>
              </w:rPr>
              <w:br/>
            </w:r>
            <w:r w:rsidRPr="009A44CD">
              <w:rPr>
                <w:noProof/>
              </w:rPr>
              <w:t xml:space="preserve">(s výjimkou v přírodě se vyskytujících materiálů uvedených v kategorii 17 05 04 v Evropském seznamu odpadů stanoveném rozhodnutím 2000/532/ES) vzniklého na staveništi je připraveno </w:t>
            </w:r>
            <w:r>
              <w:rPr>
                <w:noProof/>
              </w:rPr>
              <w:br/>
            </w:r>
            <w:r w:rsidRPr="009A44CD">
              <w:rPr>
                <w:noProof/>
              </w:rPr>
              <w:t xml:space="preserve">k opětovnému použití, recyklaci a k jiným druhům materiálového využití, včetně zásypů, při nichž jsou jiné materiály nahrazeny odpadem, v souladu </w:t>
            </w:r>
            <w:r>
              <w:rPr>
                <w:noProof/>
              </w:rPr>
              <w:br/>
            </w:r>
            <w:r w:rsidRPr="009A44CD">
              <w:rPr>
                <w:noProof/>
              </w:rPr>
              <w:t>s hierarchií způsobů</w:t>
            </w:r>
            <w:r w:rsidRPr="007B7599">
              <w:rPr>
                <w:noProof/>
                <w:sz w:val="20"/>
                <w:szCs w:val="20"/>
              </w:rPr>
              <w:t xml:space="preserve"> </w:t>
            </w:r>
            <w:r w:rsidRPr="009A44CD">
              <w:rPr>
                <w:noProof/>
              </w:rPr>
              <w:t xml:space="preserve">nakládání s odpady </w:t>
            </w:r>
            <w:r>
              <w:rPr>
                <w:noProof/>
              </w:rPr>
              <w:br/>
            </w:r>
            <w:r w:rsidRPr="009A44CD">
              <w:rPr>
                <w:noProof/>
              </w:rPr>
              <w:t>a protokolem EU pro nakládání se stavebním a demoličním odpadem</w:t>
            </w:r>
            <w:r w:rsidRPr="009A44CD">
              <w:rPr>
                <w:rStyle w:val="Znakapoznpodarou"/>
                <w:noProof/>
              </w:rPr>
              <w:footnoteReference w:id="37"/>
            </w:r>
            <w:r w:rsidRPr="009A44CD">
              <w:rPr>
                <w:noProof/>
              </w:rPr>
              <w:t xml:space="preserve">. Provozovatelé omezují produkci odpadu </w:t>
            </w:r>
            <w:r>
              <w:rPr>
                <w:noProof/>
              </w:rPr>
              <w:br/>
            </w:r>
            <w:r w:rsidRPr="009A44CD">
              <w:rPr>
                <w:noProof/>
              </w:rPr>
              <w:t xml:space="preserve">v procesech souvisejících s výstavbou </w:t>
            </w:r>
            <w:r>
              <w:rPr>
                <w:noProof/>
              </w:rPr>
              <w:br/>
            </w:r>
            <w:r w:rsidRPr="009A44CD">
              <w:rPr>
                <w:noProof/>
              </w:rPr>
              <w:t xml:space="preserve">a demolicemi v souladu s protokolem EU pro nakládání se stavebním a demoličním odpadem s přihlédnutím k nejlepším dostupným technikám a pomocí selektivní demolice, aby bylo možné odstranit nebezpečné látky a bezpečně </w:t>
            </w:r>
            <w:r>
              <w:rPr>
                <w:noProof/>
              </w:rPr>
              <w:br/>
            </w:r>
            <w:r w:rsidRPr="009A44CD">
              <w:rPr>
                <w:noProof/>
              </w:rPr>
              <w:t xml:space="preserve">s nimi nakládat, a usnadňují opětovné použití a kvalitní recyklaci selektivním odstraněním materiálů s využitím </w:t>
            </w:r>
            <w:r w:rsidRPr="009A44CD">
              <w:rPr>
                <w:noProof/>
              </w:rPr>
              <w:lastRenderedPageBreak/>
              <w:t xml:space="preserve">dostupných třídicích systémů pro stavební a demoliční odpad. </w:t>
            </w:r>
          </w:p>
          <w:p w14:paraId="4A1B0029" w14:textId="77777777" w:rsidR="00306D66" w:rsidRPr="00845530" w:rsidRDefault="00306D66" w:rsidP="00084E76">
            <w:pPr>
              <w:overflowPunct w:val="0"/>
              <w:autoSpaceDE w:val="0"/>
              <w:autoSpaceDN w:val="0"/>
              <w:adjustRightInd w:val="0"/>
              <w:spacing w:after="0" w:line="240" w:lineRule="auto"/>
              <w:jc w:val="both"/>
              <w:rPr>
                <w:b/>
                <w:bCs/>
                <w:noProof/>
              </w:rPr>
            </w:pPr>
            <w:r w:rsidRPr="009A44CD">
              <w:rPr>
                <w:noProof/>
              </w:rPr>
              <w:t xml:space="preserve">Projekty budov a stavební metody podporují oběhové hospodářství </w:t>
            </w:r>
            <w:r>
              <w:rPr>
                <w:noProof/>
              </w:rPr>
              <w:br/>
            </w:r>
            <w:r w:rsidRPr="009A44CD">
              <w:rPr>
                <w:noProof/>
              </w:rPr>
              <w:t>a s odkazem na normu ISO 20887</w:t>
            </w:r>
            <w:r w:rsidRPr="009A44CD">
              <w:rPr>
                <w:rStyle w:val="Znakapoznpodarou"/>
                <w:noProof/>
              </w:rPr>
              <w:footnoteReference w:id="38"/>
            </w:r>
            <w:r w:rsidRPr="009A44CD">
              <w:rPr>
                <w:noProof/>
              </w:rPr>
              <w:t xml:space="preserve"> nebo jiné normy pro posuzování demontovatelnosti nebo přizpůsobivosti budov zejména prokazují, že jsou navrženy tak, aby byly efektivnější, adaptabilnější, flexibilnější a demontovatelnější, s cílem umožnit opětovné použití a recyklaci.</w:t>
            </w:r>
          </w:p>
        </w:tc>
        <w:tc>
          <w:tcPr>
            <w:tcW w:w="829" w:type="dxa"/>
            <w:shd w:val="clear" w:color="auto" w:fill="auto"/>
          </w:tcPr>
          <w:p w14:paraId="08E21272" w14:textId="77777777" w:rsidR="00306D66" w:rsidRPr="004B7A0E" w:rsidRDefault="00306D66" w:rsidP="00084E76">
            <w:pPr>
              <w:rPr>
                <w:rFonts w:cstheme="minorHAnsi"/>
              </w:rPr>
            </w:pPr>
          </w:p>
        </w:tc>
        <w:tc>
          <w:tcPr>
            <w:tcW w:w="4257" w:type="dxa"/>
            <w:shd w:val="clear" w:color="auto" w:fill="auto"/>
          </w:tcPr>
          <w:p w14:paraId="63EA41F4" w14:textId="77777777" w:rsidR="00306D66" w:rsidRPr="004B7A0E" w:rsidRDefault="00306D66" w:rsidP="00084E76">
            <w:pPr>
              <w:rPr>
                <w:rFonts w:cstheme="minorHAnsi"/>
                <w:u w:val="single"/>
              </w:rPr>
            </w:pPr>
          </w:p>
        </w:tc>
      </w:tr>
      <w:tr w:rsidR="00306D66" w:rsidRPr="004B7A0E" w14:paraId="24E5259D" w14:textId="77777777" w:rsidTr="00084E76">
        <w:tc>
          <w:tcPr>
            <w:tcW w:w="3974" w:type="dxa"/>
            <w:shd w:val="clear" w:color="auto" w:fill="auto"/>
          </w:tcPr>
          <w:p w14:paraId="39F47A9A" w14:textId="77777777" w:rsidR="00306D66" w:rsidRDefault="00306D66" w:rsidP="00084E76">
            <w:pPr>
              <w:overflowPunct w:val="0"/>
              <w:autoSpaceDE w:val="0"/>
              <w:autoSpaceDN w:val="0"/>
              <w:adjustRightInd w:val="0"/>
              <w:spacing w:after="0" w:line="240" w:lineRule="auto"/>
              <w:jc w:val="both"/>
              <w:rPr>
                <w:noProof/>
              </w:rPr>
            </w:pPr>
            <w:r w:rsidRPr="00615EE2">
              <w:rPr>
                <w:b/>
                <w:bCs/>
                <w:noProof/>
              </w:rPr>
              <w:t>5</w:t>
            </w:r>
            <w:r w:rsidRPr="00615EE2">
              <w:rPr>
                <w:b/>
                <w:bCs/>
                <w:noProof/>
                <w:color w:val="000000" w:themeColor="text1"/>
              </w:rPr>
              <w:t>) Prevence a omezování znečištění</w:t>
            </w:r>
          </w:p>
          <w:p w14:paraId="73102C3A" w14:textId="77777777" w:rsidR="00306D66" w:rsidRDefault="00306D66" w:rsidP="00084E76">
            <w:pPr>
              <w:overflowPunct w:val="0"/>
              <w:autoSpaceDE w:val="0"/>
              <w:autoSpaceDN w:val="0"/>
              <w:adjustRightInd w:val="0"/>
              <w:spacing w:after="0" w:line="240" w:lineRule="auto"/>
              <w:jc w:val="both"/>
              <w:rPr>
                <w:bCs/>
                <w:noProof/>
              </w:rPr>
            </w:pPr>
          </w:p>
          <w:p w14:paraId="4E7D9572" w14:textId="77777777" w:rsidR="00306D66" w:rsidRPr="009A44CD" w:rsidRDefault="00306D66" w:rsidP="00084E76">
            <w:pPr>
              <w:spacing w:before="40" w:after="80" w:line="276" w:lineRule="auto"/>
              <w:rPr>
                <w:rFonts w:eastAsia="Calibri"/>
                <w:noProof/>
              </w:rPr>
            </w:pPr>
            <w:r w:rsidRPr="009A44CD">
              <w:rPr>
                <w:noProof/>
              </w:rPr>
              <w:t xml:space="preserve">Stavební prvky a materiály použité při stavbě splňují kritéria stanovená </w:t>
            </w:r>
            <w:r>
              <w:rPr>
                <w:noProof/>
              </w:rPr>
              <w:br/>
            </w:r>
            <w:r w:rsidRPr="009A44CD">
              <w:rPr>
                <w:noProof/>
              </w:rPr>
              <w:t>v dodatku C této přílohy.</w:t>
            </w:r>
          </w:p>
          <w:p w14:paraId="42DB114D" w14:textId="77777777" w:rsidR="00306D66" w:rsidRPr="009A44CD" w:rsidRDefault="00306D66" w:rsidP="00084E76">
            <w:pPr>
              <w:spacing w:before="40" w:after="80" w:line="276" w:lineRule="auto"/>
              <w:rPr>
                <w:rFonts w:eastAsia="Calibri"/>
                <w:noProof/>
              </w:rPr>
            </w:pPr>
            <w:r w:rsidRPr="009A44CD">
              <w:rPr>
                <w:noProof/>
              </w:rPr>
              <w:t>Ze stavebních prvků a materiálů použitých při stavbě, které mohou přijít do styku s uživateli</w:t>
            </w:r>
            <w:r w:rsidRPr="009A44CD">
              <w:rPr>
                <w:rStyle w:val="Znakapoznpodarou"/>
                <w:noProof/>
              </w:rPr>
              <w:footnoteReference w:id="39"/>
            </w:r>
            <w:r w:rsidRPr="009A44CD">
              <w:rPr>
                <w:noProof/>
              </w:rPr>
              <w:t xml:space="preserve">, se při zkouškách </w:t>
            </w:r>
            <w:r>
              <w:rPr>
                <w:noProof/>
              </w:rPr>
              <w:br/>
            </w:r>
            <w:r w:rsidRPr="009A44CD">
              <w:rPr>
                <w:noProof/>
              </w:rPr>
              <w:t xml:space="preserve">v souladu s podmínkami uvedenými </w:t>
            </w:r>
            <w:r>
              <w:rPr>
                <w:noProof/>
              </w:rPr>
              <w:br/>
            </w:r>
            <w:r w:rsidRPr="009A44CD">
              <w:rPr>
                <w:noProof/>
              </w:rPr>
              <w:t>v příloze XVII nařízení (ES) č. 1907/2006 uvolňuje méně než 0,06 mg formaldehydu na m³ materiálu nebo prvku a při zkouškách podle normy CEN/EN 16516</w:t>
            </w:r>
            <w:r w:rsidRPr="009A44CD">
              <w:rPr>
                <w:rStyle w:val="Znakapoznpodarou"/>
                <w:noProof/>
              </w:rPr>
              <w:footnoteReference w:id="40"/>
            </w:r>
            <w:r w:rsidRPr="009A44CD">
              <w:rPr>
                <w:noProof/>
              </w:rPr>
              <w:t xml:space="preserve"> a ISO 16000-3:2011</w:t>
            </w:r>
            <w:r w:rsidRPr="009A44CD">
              <w:rPr>
                <w:rStyle w:val="Znakapoznpodarou"/>
                <w:noProof/>
              </w:rPr>
              <w:footnoteReference w:id="41"/>
            </w:r>
            <w:r w:rsidRPr="009A44CD">
              <w:rPr>
                <w:noProof/>
              </w:rPr>
              <w:t xml:space="preserve"> nebo jiných srovnatelných standardizovaných zkušebních podmínek a metod stanovení</w:t>
            </w:r>
            <w:r w:rsidRPr="009A44CD">
              <w:rPr>
                <w:rStyle w:val="Znakapoznpodarou"/>
                <w:noProof/>
              </w:rPr>
              <w:footnoteReference w:id="42"/>
            </w:r>
            <w:r w:rsidRPr="009A44CD">
              <w:rPr>
                <w:noProof/>
              </w:rPr>
              <w:t xml:space="preserve"> méně než 0,001 mg jiných karcinogenních těkavých organických sloučenin kategorie 1A a 1B na m³ materiálu nebo prvku. </w:t>
            </w:r>
          </w:p>
          <w:p w14:paraId="69339D79" w14:textId="77777777" w:rsidR="00306D66" w:rsidRPr="009A44CD" w:rsidRDefault="00306D66" w:rsidP="00084E76">
            <w:pPr>
              <w:spacing w:before="40" w:after="80" w:line="276" w:lineRule="auto"/>
              <w:rPr>
                <w:rFonts w:eastAsia="Calibri"/>
                <w:noProof/>
              </w:rPr>
            </w:pPr>
            <w:r w:rsidRPr="009A44CD">
              <w:rPr>
                <w:noProof/>
              </w:rPr>
              <w:t>Pokud je nová stavba umístěna na potenciálně kontaminovaném místě (brownfield), bylo na staveništi provedeno šetření na potenciální kontaminující látky, například podle normy ISO 18400</w:t>
            </w:r>
            <w:r w:rsidRPr="009A44CD">
              <w:rPr>
                <w:rStyle w:val="Znakapoznpodarou"/>
                <w:noProof/>
              </w:rPr>
              <w:footnoteReference w:id="43"/>
            </w:r>
            <w:r w:rsidRPr="009A44CD">
              <w:rPr>
                <w:noProof/>
              </w:rPr>
              <w:t>.</w:t>
            </w:r>
          </w:p>
          <w:p w14:paraId="7C2D1760" w14:textId="77777777" w:rsidR="00306D66" w:rsidRDefault="00306D66" w:rsidP="00084E76">
            <w:pPr>
              <w:overflowPunct w:val="0"/>
              <w:autoSpaceDE w:val="0"/>
              <w:autoSpaceDN w:val="0"/>
              <w:adjustRightInd w:val="0"/>
              <w:spacing w:after="0" w:line="240" w:lineRule="auto"/>
              <w:jc w:val="both"/>
              <w:rPr>
                <w:b/>
                <w:bCs/>
                <w:noProof/>
              </w:rPr>
            </w:pPr>
            <w:r w:rsidRPr="009A44CD">
              <w:rPr>
                <w:noProof/>
              </w:rPr>
              <w:lastRenderedPageBreak/>
              <w:t>Přijímají se opatření ke snížení hluku, prachu a emisí znečišťujících látek při stavebních nebo údržbářských pracích.</w:t>
            </w:r>
          </w:p>
        </w:tc>
        <w:tc>
          <w:tcPr>
            <w:tcW w:w="829" w:type="dxa"/>
            <w:shd w:val="clear" w:color="auto" w:fill="auto"/>
          </w:tcPr>
          <w:p w14:paraId="68E6B7B5" w14:textId="77777777" w:rsidR="00306D66" w:rsidRPr="004B7A0E" w:rsidRDefault="00306D66" w:rsidP="00084E76">
            <w:pPr>
              <w:rPr>
                <w:rFonts w:cstheme="minorHAnsi"/>
              </w:rPr>
            </w:pPr>
          </w:p>
        </w:tc>
        <w:tc>
          <w:tcPr>
            <w:tcW w:w="4257" w:type="dxa"/>
            <w:shd w:val="clear" w:color="auto" w:fill="auto"/>
          </w:tcPr>
          <w:p w14:paraId="76228214" w14:textId="77777777" w:rsidR="00306D66" w:rsidRPr="004B7A0E" w:rsidRDefault="00306D66" w:rsidP="00084E76">
            <w:pPr>
              <w:rPr>
                <w:rFonts w:cstheme="minorHAnsi"/>
                <w:u w:val="single"/>
              </w:rPr>
            </w:pPr>
          </w:p>
        </w:tc>
      </w:tr>
      <w:tr w:rsidR="00306D66" w:rsidRPr="004B7A0E" w14:paraId="359DDBDC" w14:textId="77777777" w:rsidTr="00084E76">
        <w:tc>
          <w:tcPr>
            <w:tcW w:w="3974" w:type="dxa"/>
            <w:shd w:val="clear" w:color="auto" w:fill="auto"/>
          </w:tcPr>
          <w:p w14:paraId="05E0C4B1" w14:textId="77777777" w:rsidR="00306D66" w:rsidRPr="00615EE2" w:rsidRDefault="00306D66" w:rsidP="00084E76">
            <w:pPr>
              <w:overflowPunct w:val="0"/>
              <w:autoSpaceDE w:val="0"/>
              <w:autoSpaceDN w:val="0"/>
              <w:adjustRightInd w:val="0"/>
              <w:spacing w:after="0" w:line="240" w:lineRule="auto"/>
              <w:jc w:val="both"/>
              <w:rPr>
                <w:b/>
                <w:bCs/>
                <w:noProof/>
              </w:rPr>
            </w:pPr>
            <w:r w:rsidRPr="009A44CD">
              <w:rPr>
                <w:noProof/>
              </w:rPr>
              <w:t xml:space="preserve">6) </w:t>
            </w:r>
            <w:r w:rsidRPr="00615EE2">
              <w:rPr>
                <w:b/>
                <w:bCs/>
                <w:noProof/>
              </w:rPr>
              <w:t>Ochrana a obnova biologické rozmanitosti a ekosystémů</w:t>
            </w:r>
          </w:p>
          <w:p w14:paraId="1AE666D0" w14:textId="77777777" w:rsidR="00306D66" w:rsidRPr="009A44CD" w:rsidRDefault="00306D66" w:rsidP="00084E76">
            <w:pPr>
              <w:overflowPunct w:val="0"/>
              <w:autoSpaceDE w:val="0"/>
              <w:autoSpaceDN w:val="0"/>
              <w:adjustRightInd w:val="0"/>
              <w:spacing w:after="0" w:line="240" w:lineRule="auto"/>
              <w:jc w:val="both"/>
              <w:rPr>
                <w:noProof/>
              </w:rPr>
            </w:pPr>
          </w:p>
          <w:p w14:paraId="1402E8FF" w14:textId="77777777" w:rsidR="00306D66" w:rsidRPr="009A44CD" w:rsidRDefault="00306D66" w:rsidP="00084E76">
            <w:pPr>
              <w:spacing w:before="40" w:after="80" w:line="276" w:lineRule="auto"/>
              <w:rPr>
                <w:rFonts w:eastAsia="Times New Roman" w:cs="Arial"/>
                <w:noProof/>
              </w:rPr>
            </w:pPr>
            <w:r w:rsidRPr="009A44CD">
              <w:rPr>
                <w:noProof/>
              </w:rPr>
              <w:t xml:space="preserve">Činnost splňuje kritéria stanovená </w:t>
            </w:r>
            <w:r>
              <w:rPr>
                <w:noProof/>
              </w:rPr>
              <w:br/>
            </w:r>
            <w:r w:rsidRPr="009A44CD">
              <w:rPr>
                <w:noProof/>
              </w:rPr>
              <w:t>v dodatku D této přílohy.</w:t>
            </w:r>
          </w:p>
          <w:p w14:paraId="4EB1314A" w14:textId="77777777" w:rsidR="00306D66" w:rsidRPr="009A44CD" w:rsidRDefault="00306D66" w:rsidP="00084E76">
            <w:pPr>
              <w:spacing w:before="40" w:after="80" w:line="276" w:lineRule="auto"/>
              <w:rPr>
                <w:rFonts w:eastAsia="Calibri"/>
                <w:noProof/>
              </w:rPr>
            </w:pPr>
            <w:r w:rsidRPr="009A44CD">
              <w:rPr>
                <w:noProof/>
              </w:rPr>
              <w:t>Nová budova není postavena na:</w:t>
            </w:r>
          </w:p>
          <w:p w14:paraId="7EBCB5A0" w14:textId="77777777" w:rsidR="00306D66" w:rsidRPr="009A44CD" w:rsidRDefault="00306D66" w:rsidP="00084E76">
            <w:pPr>
              <w:pStyle w:val="Point0"/>
              <w:rPr>
                <w:rFonts w:asciiTheme="minorHAnsi" w:hAnsiTheme="minorHAnsi" w:cstheme="minorHAnsi"/>
                <w:noProof/>
                <w:sz w:val="22"/>
              </w:rPr>
            </w:pPr>
            <w:r w:rsidRPr="009A44CD">
              <w:rPr>
                <w:noProof/>
                <w:sz w:val="22"/>
              </w:rPr>
              <w:t>a)</w:t>
            </w:r>
            <w:r w:rsidRPr="009A44CD">
              <w:rPr>
                <w:noProof/>
                <w:sz w:val="22"/>
              </w:rPr>
              <w:tab/>
            </w:r>
            <w:r w:rsidRPr="009A44CD">
              <w:rPr>
                <w:rFonts w:asciiTheme="minorHAnsi" w:hAnsiTheme="minorHAnsi" w:cstheme="minorHAnsi"/>
                <w:noProof/>
                <w:sz w:val="22"/>
              </w:rPr>
              <w:t>orné půdě a zemědělské půdě se střední až vysokou úrovní úrodnosti a podzemní biologické rozmanitosti podle průzkumu EU LUCAS</w:t>
            </w:r>
            <w:r w:rsidRPr="009A44CD">
              <w:rPr>
                <w:rStyle w:val="Znakapoznpodarou"/>
                <w:rFonts w:asciiTheme="minorHAnsi" w:hAnsiTheme="minorHAnsi" w:cstheme="minorHAnsi"/>
                <w:noProof/>
                <w:sz w:val="22"/>
              </w:rPr>
              <w:footnoteReference w:id="44"/>
            </w:r>
            <w:r w:rsidRPr="009A44CD">
              <w:rPr>
                <w:rFonts w:asciiTheme="minorHAnsi" w:hAnsiTheme="minorHAnsi" w:cstheme="minorHAnsi"/>
                <w:noProof/>
                <w:sz w:val="22"/>
              </w:rPr>
              <w:t>;</w:t>
            </w:r>
          </w:p>
          <w:p w14:paraId="2890C1D9" w14:textId="77777777" w:rsidR="00306D66" w:rsidRPr="009A44CD" w:rsidRDefault="00306D66" w:rsidP="00084E76">
            <w:pPr>
              <w:pStyle w:val="Point0"/>
              <w:rPr>
                <w:noProof/>
                <w:sz w:val="22"/>
              </w:rPr>
            </w:pPr>
            <w:r w:rsidRPr="009A44CD">
              <w:rPr>
                <w:rFonts w:asciiTheme="minorHAnsi" w:hAnsiTheme="minorHAnsi" w:cstheme="minorHAnsi"/>
                <w:noProof/>
                <w:sz w:val="22"/>
              </w:rPr>
              <w:t>b)</w:t>
            </w:r>
            <w:r w:rsidRPr="009A44CD">
              <w:rPr>
                <w:rFonts w:asciiTheme="minorHAnsi" w:hAnsiTheme="minorHAnsi" w:cstheme="minorHAnsi"/>
                <w:noProof/>
                <w:sz w:val="22"/>
              </w:rPr>
              <w:tab/>
              <w:t>zelené louce s uznávanou vysokou hodnotou biologické rozmanitosti a půdě, která slouží jako stanoviště ohrožených druhů (flóry a fauny) uvedených na Evropském červeném seznamu</w:t>
            </w:r>
            <w:r w:rsidRPr="009A44CD">
              <w:rPr>
                <w:rStyle w:val="Znakapoznpodarou"/>
                <w:rFonts w:asciiTheme="minorHAnsi" w:hAnsiTheme="minorHAnsi" w:cstheme="minorHAnsi"/>
                <w:noProof/>
                <w:sz w:val="22"/>
              </w:rPr>
              <w:footnoteReference w:id="45"/>
            </w:r>
            <w:r w:rsidRPr="009A44CD">
              <w:rPr>
                <w:rFonts w:asciiTheme="minorHAnsi" w:hAnsiTheme="minorHAnsi" w:cstheme="minorHAnsi"/>
                <w:noProof/>
                <w:sz w:val="22"/>
              </w:rPr>
              <w:t xml:space="preserve"> nebo na Červeném</w:t>
            </w:r>
            <w:r w:rsidRPr="009A44CD">
              <w:rPr>
                <w:noProof/>
                <w:sz w:val="22"/>
              </w:rPr>
              <w:t xml:space="preserve"> seznamu ohrožených druhů IUCN</w:t>
            </w:r>
            <w:r w:rsidRPr="009A44CD">
              <w:rPr>
                <w:rStyle w:val="Znakapoznpodarou"/>
                <w:noProof/>
                <w:sz w:val="22"/>
              </w:rPr>
              <w:footnoteReference w:id="46"/>
            </w:r>
            <w:r w:rsidRPr="009A44CD">
              <w:rPr>
                <w:noProof/>
                <w:sz w:val="22"/>
              </w:rPr>
              <w:t>;</w:t>
            </w:r>
          </w:p>
          <w:p w14:paraId="54696C16" w14:textId="77777777" w:rsidR="00306D66" w:rsidRPr="009A44CD" w:rsidRDefault="00306D66" w:rsidP="00084E76">
            <w:pPr>
              <w:overflowPunct w:val="0"/>
              <w:autoSpaceDE w:val="0"/>
              <w:autoSpaceDN w:val="0"/>
              <w:adjustRightInd w:val="0"/>
              <w:spacing w:after="0" w:line="240" w:lineRule="auto"/>
              <w:jc w:val="both"/>
              <w:rPr>
                <w:noProof/>
              </w:rPr>
            </w:pPr>
            <w:r w:rsidRPr="009A44CD">
              <w:rPr>
                <w:noProof/>
              </w:rPr>
              <w:t>c)</w:t>
            </w:r>
            <w:r w:rsidRPr="009A44CD">
              <w:rPr>
                <w:noProof/>
              </w:rPr>
              <w:tab/>
            </w:r>
            <w:r w:rsidRPr="009A44CD">
              <w:rPr>
                <w:rFonts w:cstheme="minorHAnsi"/>
                <w:noProof/>
              </w:rPr>
              <w:t>půdě, která odpovídá definici lesa stanovené ve vnitrostátních právních předpisech nebo používané v národní inventuře skleníkových plynů, nebo pokud taková definice neexistuje, půdě, která je v souladu s definicí lesa podle FAO</w:t>
            </w:r>
            <w:r w:rsidRPr="009A44CD">
              <w:rPr>
                <w:rStyle w:val="Znakapoznpodarou"/>
                <w:rFonts w:cstheme="minorHAnsi"/>
                <w:noProof/>
              </w:rPr>
              <w:footnoteReference w:id="47"/>
            </w:r>
            <w:r w:rsidRPr="009A44CD">
              <w:rPr>
                <w:rFonts w:cstheme="minorHAnsi"/>
                <w:noProof/>
              </w:rPr>
              <w:t>.</w:t>
            </w:r>
          </w:p>
        </w:tc>
        <w:tc>
          <w:tcPr>
            <w:tcW w:w="829" w:type="dxa"/>
            <w:shd w:val="clear" w:color="auto" w:fill="auto"/>
          </w:tcPr>
          <w:p w14:paraId="6B64620E" w14:textId="77777777" w:rsidR="00306D66" w:rsidRPr="009A44CD" w:rsidRDefault="00306D66" w:rsidP="00084E76">
            <w:pPr>
              <w:rPr>
                <w:rFonts w:cstheme="minorHAnsi"/>
              </w:rPr>
            </w:pPr>
          </w:p>
        </w:tc>
        <w:tc>
          <w:tcPr>
            <w:tcW w:w="4257" w:type="dxa"/>
            <w:shd w:val="clear" w:color="auto" w:fill="auto"/>
          </w:tcPr>
          <w:p w14:paraId="051299AB" w14:textId="77777777" w:rsidR="00306D66" w:rsidRPr="004B7A0E" w:rsidRDefault="00306D66" w:rsidP="00084E76">
            <w:pPr>
              <w:rPr>
                <w:rFonts w:cstheme="minorHAnsi"/>
                <w:u w:val="single"/>
              </w:rPr>
            </w:pPr>
          </w:p>
        </w:tc>
      </w:tr>
    </w:tbl>
    <w:p w14:paraId="197D61DD" w14:textId="7C71C8A3" w:rsidR="00306D66" w:rsidRDefault="00306D66" w:rsidP="002313CB">
      <w:pPr>
        <w:spacing w:line="360" w:lineRule="auto"/>
        <w:jc w:val="both"/>
        <w:rPr>
          <w:b/>
          <w:bCs/>
          <w:sz w:val="23"/>
          <w:szCs w:val="23"/>
        </w:rPr>
      </w:pPr>
    </w:p>
    <w:p w14:paraId="342B1857" w14:textId="77777777" w:rsidR="00306D66" w:rsidRDefault="00306D66" w:rsidP="002313CB">
      <w:pPr>
        <w:spacing w:line="360" w:lineRule="auto"/>
        <w:jc w:val="both"/>
        <w:rPr>
          <w:b/>
          <w:bCs/>
          <w:sz w:val="23"/>
          <w:szCs w:val="23"/>
        </w:rPr>
      </w:pPr>
    </w:p>
    <w:p w14:paraId="072F96E2" w14:textId="7959CC58" w:rsidR="002313CB" w:rsidRDefault="002313CB" w:rsidP="002313CB">
      <w:pPr>
        <w:spacing w:line="360" w:lineRule="auto"/>
        <w:jc w:val="both"/>
        <w:rPr>
          <w:b/>
          <w:bCs/>
          <w:sz w:val="23"/>
          <w:szCs w:val="23"/>
        </w:rPr>
      </w:pPr>
      <w:r>
        <w:rPr>
          <w:b/>
          <w:bCs/>
          <w:sz w:val="23"/>
          <w:szCs w:val="23"/>
        </w:rPr>
        <w:t>Pouze pro DS</w:t>
      </w:r>
      <w:r w:rsidR="001E04E9">
        <w:rPr>
          <w:rStyle w:val="Znakapoznpodarou"/>
          <w:b/>
          <w:bCs/>
          <w:sz w:val="23"/>
          <w:szCs w:val="23"/>
        </w:rPr>
        <w:footnoteReference w:id="4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909"/>
        <w:gridCol w:w="4214"/>
      </w:tblGrid>
      <w:tr w:rsidR="001E04E9" w:rsidRPr="00115A90" w14:paraId="368194DB" w14:textId="77777777" w:rsidTr="00615EE2">
        <w:tc>
          <w:tcPr>
            <w:tcW w:w="3974" w:type="dxa"/>
            <w:shd w:val="clear" w:color="auto" w:fill="auto"/>
          </w:tcPr>
          <w:p w14:paraId="401C2E81" w14:textId="77777777" w:rsidR="001E04E9" w:rsidRPr="00115A90" w:rsidRDefault="001E04E9" w:rsidP="00615EE2">
            <w:pPr>
              <w:rPr>
                <w:rFonts w:cstheme="minorHAnsi"/>
                <w:b/>
                <w:bCs/>
              </w:rPr>
            </w:pPr>
            <w:r w:rsidRPr="00115A90">
              <w:rPr>
                <w:rFonts w:cstheme="minorHAnsi"/>
                <w:b/>
                <w:bCs/>
              </w:rPr>
              <w:t>Otázka</w:t>
            </w:r>
          </w:p>
        </w:tc>
        <w:tc>
          <w:tcPr>
            <w:tcW w:w="829" w:type="dxa"/>
            <w:shd w:val="clear" w:color="auto" w:fill="auto"/>
          </w:tcPr>
          <w:p w14:paraId="1430DAAA" w14:textId="77777777" w:rsidR="001E04E9" w:rsidRPr="00115A90" w:rsidRDefault="001E04E9" w:rsidP="00615EE2">
            <w:pPr>
              <w:rPr>
                <w:rFonts w:cstheme="minorHAnsi"/>
                <w:b/>
                <w:bCs/>
                <w:u w:val="single"/>
              </w:rPr>
            </w:pPr>
            <w:r w:rsidRPr="00115A90">
              <w:rPr>
                <w:rFonts w:cstheme="minorHAnsi"/>
                <w:b/>
                <w:bCs/>
                <w:u w:val="single"/>
              </w:rPr>
              <w:t>Ano/ne</w:t>
            </w:r>
          </w:p>
        </w:tc>
        <w:tc>
          <w:tcPr>
            <w:tcW w:w="4257" w:type="dxa"/>
            <w:shd w:val="clear" w:color="auto" w:fill="auto"/>
          </w:tcPr>
          <w:p w14:paraId="31417065" w14:textId="7C51F879" w:rsidR="001E04E9" w:rsidRPr="00115A90" w:rsidRDefault="001E04E9" w:rsidP="00615EE2">
            <w:pPr>
              <w:rPr>
                <w:rFonts w:cstheme="minorHAnsi"/>
                <w:b/>
                <w:bCs/>
              </w:rPr>
            </w:pPr>
            <w:r w:rsidRPr="00115A90">
              <w:rPr>
                <w:rFonts w:cstheme="minorHAnsi"/>
                <w:b/>
                <w:bCs/>
              </w:rPr>
              <w:t>Odůvodnění</w:t>
            </w:r>
          </w:p>
        </w:tc>
      </w:tr>
      <w:tr w:rsidR="001E04E9" w:rsidRPr="00115A90" w14:paraId="41FD8D10" w14:textId="77777777" w:rsidTr="00615EE2">
        <w:tc>
          <w:tcPr>
            <w:tcW w:w="3974" w:type="dxa"/>
            <w:shd w:val="clear" w:color="auto" w:fill="auto"/>
          </w:tcPr>
          <w:p w14:paraId="0CB1369E" w14:textId="5755AD93" w:rsidR="001E04E9" w:rsidRPr="001E04E9" w:rsidRDefault="001E04E9" w:rsidP="001E04E9">
            <w:pPr>
              <w:spacing w:after="200" w:line="276" w:lineRule="auto"/>
              <w:rPr>
                <w:rFonts w:eastAsia="Calibri"/>
                <w:noProof/>
              </w:rPr>
            </w:pPr>
            <w:r>
              <w:rPr>
                <w:rFonts w:cstheme="minorHAnsi"/>
                <w:b/>
                <w:bCs/>
              </w:rPr>
              <w:t xml:space="preserve">Potvrzuji, že projekt splňuje podmínky kapitoly 11 Technických screeningových </w:t>
            </w:r>
            <w:r w:rsidR="009A44CD">
              <w:rPr>
                <w:rFonts w:cstheme="minorHAnsi"/>
                <w:b/>
                <w:bCs/>
              </w:rPr>
              <w:t>kritérií a</w:t>
            </w:r>
            <w:r>
              <w:rPr>
                <w:rFonts w:cstheme="minorHAnsi"/>
                <w:b/>
                <w:bCs/>
              </w:rPr>
              <w:t xml:space="preserve"> </w:t>
            </w:r>
            <w:r w:rsidR="009A44CD">
              <w:rPr>
                <w:rFonts w:cstheme="minorHAnsi"/>
                <w:b/>
                <w:bCs/>
              </w:rPr>
              <w:t xml:space="preserve">v </w:t>
            </w:r>
            <w:r w:rsidR="009A44CD">
              <w:rPr>
                <w:noProof/>
              </w:rPr>
              <w:t>rámci</w:t>
            </w:r>
            <w:r>
              <w:rPr>
                <w:noProof/>
              </w:rPr>
              <w:t xml:space="preserve"> hospodářské činnosti </w:t>
            </w:r>
            <w:r>
              <w:rPr>
                <w:noProof/>
              </w:rPr>
              <w:lastRenderedPageBreak/>
              <w:t>byla zavedena fyzická a nefyzická řešení („adaptační řešení“), která významně snižují nejvýznamnější fyzická rizika spojená s klimatem, jež jsou pro tuto činnost podstatná. A také kriteria uvedená v Dodatku A.</w:t>
            </w:r>
          </w:p>
        </w:tc>
        <w:tc>
          <w:tcPr>
            <w:tcW w:w="829" w:type="dxa"/>
            <w:shd w:val="clear" w:color="auto" w:fill="auto"/>
          </w:tcPr>
          <w:p w14:paraId="058902C6" w14:textId="77777777" w:rsidR="001E04E9" w:rsidRPr="00115A90" w:rsidRDefault="001E04E9" w:rsidP="00615EE2">
            <w:pPr>
              <w:rPr>
                <w:rFonts w:cstheme="minorHAnsi"/>
                <w:b/>
                <w:bCs/>
                <w:u w:val="single"/>
              </w:rPr>
            </w:pPr>
          </w:p>
        </w:tc>
        <w:tc>
          <w:tcPr>
            <w:tcW w:w="4257" w:type="dxa"/>
            <w:shd w:val="clear" w:color="auto" w:fill="auto"/>
          </w:tcPr>
          <w:p w14:paraId="743C2252" w14:textId="77777777" w:rsidR="001E04E9" w:rsidRPr="00115A90" w:rsidRDefault="001E04E9" w:rsidP="00615EE2">
            <w:pPr>
              <w:rPr>
                <w:rFonts w:cstheme="minorHAnsi"/>
                <w:b/>
                <w:bCs/>
              </w:rPr>
            </w:pPr>
          </w:p>
        </w:tc>
      </w:tr>
    </w:tbl>
    <w:p w14:paraId="3ED38087" w14:textId="22447AE3" w:rsidR="001E04E9" w:rsidRDefault="001E04E9" w:rsidP="002313CB">
      <w:pPr>
        <w:spacing w:line="360" w:lineRule="auto"/>
        <w:jc w:val="both"/>
        <w:rPr>
          <w:b/>
          <w:bCs/>
          <w:sz w:val="23"/>
          <w:szCs w:val="23"/>
        </w:rPr>
      </w:pPr>
    </w:p>
    <w:p w14:paraId="382B2A29" w14:textId="2E1B75EC" w:rsidR="0003133C" w:rsidRDefault="0003133C" w:rsidP="002313CB">
      <w:pPr>
        <w:spacing w:line="360" w:lineRule="auto"/>
        <w:jc w:val="both"/>
        <w:rPr>
          <w:b/>
          <w:bCs/>
          <w:sz w:val="23"/>
          <w:szCs w:val="23"/>
        </w:rPr>
      </w:pPr>
      <w:r>
        <w:rPr>
          <w:b/>
          <w:bCs/>
          <w:sz w:val="23"/>
          <w:szCs w:val="23"/>
        </w:rPr>
        <w:t>Pouze pro sociální infrastrukturu</w:t>
      </w:r>
      <w:r>
        <w:rPr>
          <w:rStyle w:val="Znakapoznpodarou"/>
          <w:b/>
          <w:bCs/>
          <w:sz w:val="23"/>
          <w:szCs w:val="23"/>
        </w:rPr>
        <w:footnoteReference w:id="4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909"/>
        <w:gridCol w:w="4212"/>
      </w:tblGrid>
      <w:tr w:rsidR="0003133C" w:rsidRPr="00115A90" w14:paraId="5B9F5DBB" w14:textId="77777777" w:rsidTr="00615EE2">
        <w:tc>
          <w:tcPr>
            <w:tcW w:w="3974" w:type="dxa"/>
            <w:shd w:val="clear" w:color="auto" w:fill="auto"/>
          </w:tcPr>
          <w:p w14:paraId="58F23D3E" w14:textId="77777777" w:rsidR="0003133C" w:rsidRPr="00115A90" w:rsidRDefault="0003133C" w:rsidP="00615EE2">
            <w:pPr>
              <w:rPr>
                <w:rFonts w:cstheme="minorHAnsi"/>
                <w:b/>
                <w:bCs/>
              </w:rPr>
            </w:pPr>
            <w:r w:rsidRPr="00115A90">
              <w:rPr>
                <w:rFonts w:cstheme="minorHAnsi"/>
                <w:b/>
                <w:bCs/>
              </w:rPr>
              <w:t>Otázka</w:t>
            </w:r>
          </w:p>
        </w:tc>
        <w:tc>
          <w:tcPr>
            <w:tcW w:w="829" w:type="dxa"/>
            <w:shd w:val="clear" w:color="auto" w:fill="auto"/>
          </w:tcPr>
          <w:p w14:paraId="60245DEC" w14:textId="77777777" w:rsidR="0003133C" w:rsidRPr="00115A90" w:rsidRDefault="0003133C" w:rsidP="00615EE2">
            <w:pPr>
              <w:rPr>
                <w:rFonts w:cstheme="minorHAnsi"/>
                <w:b/>
                <w:bCs/>
                <w:u w:val="single"/>
              </w:rPr>
            </w:pPr>
            <w:r w:rsidRPr="00115A90">
              <w:rPr>
                <w:rFonts w:cstheme="minorHAnsi"/>
                <w:b/>
                <w:bCs/>
                <w:u w:val="single"/>
              </w:rPr>
              <w:t>Ano/ne</w:t>
            </w:r>
          </w:p>
        </w:tc>
        <w:tc>
          <w:tcPr>
            <w:tcW w:w="4257" w:type="dxa"/>
            <w:shd w:val="clear" w:color="auto" w:fill="auto"/>
          </w:tcPr>
          <w:p w14:paraId="6E33FDE0" w14:textId="77777777" w:rsidR="0003133C" w:rsidRPr="00115A90" w:rsidRDefault="0003133C" w:rsidP="00615EE2">
            <w:pPr>
              <w:rPr>
                <w:rFonts w:cstheme="minorHAnsi"/>
                <w:b/>
                <w:bCs/>
              </w:rPr>
            </w:pPr>
            <w:r w:rsidRPr="00115A90">
              <w:rPr>
                <w:rFonts w:cstheme="minorHAnsi"/>
                <w:b/>
                <w:bCs/>
              </w:rPr>
              <w:t>Odůvodnění</w:t>
            </w:r>
          </w:p>
        </w:tc>
      </w:tr>
      <w:tr w:rsidR="0003133C" w:rsidRPr="00115A90" w14:paraId="230DA8DF" w14:textId="77777777" w:rsidTr="00615EE2">
        <w:tc>
          <w:tcPr>
            <w:tcW w:w="3974" w:type="dxa"/>
            <w:shd w:val="clear" w:color="auto" w:fill="auto"/>
          </w:tcPr>
          <w:p w14:paraId="0BDBA362" w14:textId="3FFF7194" w:rsidR="0003133C" w:rsidRPr="001E04E9" w:rsidRDefault="0003133C" w:rsidP="00615EE2">
            <w:pPr>
              <w:spacing w:after="200" w:line="276" w:lineRule="auto"/>
              <w:rPr>
                <w:rFonts w:eastAsia="Calibri"/>
                <w:noProof/>
              </w:rPr>
            </w:pPr>
            <w:r>
              <w:rPr>
                <w:rFonts w:cstheme="minorHAnsi"/>
                <w:b/>
                <w:bCs/>
              </w:rPr>
              <w:t>Potvrzuji, že projekt splňuje podmínky kapitoly 1</w:t>
            </w:r>
            <w:r w:rsidR="0056612A">
              <w:rPr>
                <w:rFonts w:cstheme="minorHAnsi"/>
                <w:b/>
                <w:bCs/>
              </w:rPr>
              <w:t xml:space="preserve">2 </w:t>
            </w:r>
            <w:r>
              <w:rPr>
                <w:rFonts w:cstheme="minorHAnsi"/>
                <w:b/>
                <w:bCs/>
              </w:rPr>
              <w:t xml:space="preserve">Technických screeningových </w:t>
            </w:r>
            <w:r w:rsidR="009A44CD">
              <w:rPr>
                <w:rFonts w:cstheme="minorHAnsi"/>
                <w:b/>
                <w:bCs/>
              </w:rPr>
              <w:t>kritérií a</w:t>
            </w:r>
            <w:r>
              <w:rPr>
                <w:rFonts w:cstheme="minorHAnsi"/>
                <w:b/>
                <w:bCs/>
              </w:rPr>
              <w:t xml:space="preserve"> </w:t>
            </w:r>
            <w:r w:rsidR="009A44CD">
              <w:rPr>
                <w:rFonts w:cstheme="minorHAnsi"/>
                <w:b/>
                <w:bCs/>
              </w:rPr>
              <w:t xml:space="preserve">v </w:t>
            </w:r>
            <w:r w:rsidR="009A44CD">
              <w:rPr>
                <w:noProof/>
              </w:rPr>
              <w:t>rámci</w:t>
            </w:r>
            <w:r>
              <w:rPr>
                <w:noProof/>
              </w:rPr>
              <w:t xml:space="preserve"> hospodářské činnosti byla zavedena fyzická a nefyzická řešení („adaptační řešení“), která významně snižují nejvýznamnější fyzická rizika spojená s klimatem, jež jsou pro tuto činnost podstatná. A také kriteria uvedená v Dodatku A.</w:t>
            </w:r>
          </w:p>
        </w:tc>
        <w:tc>
          <w:tcPr>
            <w:tcW w:w="829" w:type="dxa"/>
            <w:shd w:val="clear" w:color="auto" w:fill="auto"/>
          </w:tcPr>
          <w:p w14:paraId="04178EEB" w14:textId="77777777" w:rsidR="0003133C" w:rsidRPr="00115A90" w:rsidRDefault="0003133C" w:rsidP="00615EE2">
            <w:pPr>
              <w:rPr>
                <w:rFonts w:cstheme="minorHAnsi"/>
                <w:b/>
                <w:bCs/>
                <w:u w:val="single"/>
              </w:rPr>
            </w:pPr>
          </w:p>
        </w:tc>
        <w:tc>
          <w:tcPr>
            <w:tcW w:w="4257" w:type="dxa"/>
            <w:shd w:val="clear" w:color="auto" w:fill="auto"/>
          </w:tcPr>
          <w:p w14:paraId="16D27636" w14:textId="77777777" w:rsidR="0003133C" w:rsidRPr="00115A90" w:rsidRDefault="0003133C" w:rsidP="00615EE2">
            <w:pPr>
              <w:rPr>
                <w:rFonts w:cstheme="minorHAnsi"/>
                <w:b/>
                <w:bCs/>
              </w:rPr>
            </w:pPr>
          </w:p>
        </w:tc>
      </w:tr>
      <w:tr w:rsidR="0056612A" w:rsidRPr="00115A90" w14:paraId="6346BE59" w14:textId="77777777" w:rsidTr="00615EE2">
        <w:tc>
          <w:tcPr>
            <w:tcW w:w="3974" w:type="dxa"/>
            <w:shd w:val="clear" w:color="auto" w:fill="auto"/>
          </w:tcPr>
          <w:p w14:paraId="6E9224B6" w14:textId="514CB0FA" w:rsidR="0056612A" w:rsidRDefault="0056612A" w:rsidP="00615EE2">
            <w:pPr>
              <w:spacing w:after="200" w:line="276" w:lineRule="auto"/>
              <w:rPr>
                <w:rFonts w:cstheme="minorHAnsi"/>
                <w:b/>
                <w:bCs/>
              </w:rPr>
            </w:pPr>
            <w:r>
              <w:rPr>
                <w:noProof/>
              </w:rPr>
              <w:t xml:space="preserve">Je zaveden plán nakládání s odpady, který zajišťuje 1) bezpečné a k životnímu prostředí šetrné nakládání </w:t>
            </w:r>
            <w:r w:rsidR="00EF5F1B">
              <w:rPr>
                <w:noProof/>
              </w:rPr>
              <w:br/>
            </w:r>
            <w:r>
              <w:rPr>
                <w:noProof/>
              </w:rPr>
              <w:t xml:space="preserve">s nebezpečným odpadem (zejména toxickým a infekčním odpadem) </w:t>
            </w:r>
            <w:r w:rsidR="00EF5F1B">
              <w:rPr>
                <w:noProof/>
              </w:rPr>
              <w:br/>
            </w:r>
            <w:r>
              <w:rPr>
                <w:noProof/>
              </w:rPr>
              <w:t>a léčivými přípravky a 2) maximální opakované použití nebo recyklaci odpadu neklasifikovaného jako nebezpečný, mimo jiné prostřednictvím smluvních dohod s partnery pro nakládání s odpady.</w:t>
            </w:r>
          </w:p>
        </w:tc>
        <w:tc>
          <w:tcPr>
            <w:tcW w:w="829" w:type="dxa"/>
            <w:shd w:val="clear" w:color="auto" w:fill="auto"/>
          </w:tcPr>
          <w:p w14:paraId="77974915" w14:textId="77777777" w:rsidR="0056612A" w:rsidRPr="00115A90" w:rsidRDefault="0056612A" w:rsidP="00615EE2">
            <w:pPr>
              <w:rPr>
                <w:rFonts w:cstheme="minorHAnsi"/>
                <w:b/>
                <w:bCs/>
                <w:u w:val="single"/>
              </w:rPr>
            </w:pPr>
          </w:p>
        </w:tc>
        <w:tc>
          <w:tcPr>
            <w:tcW w:w="4257" w:type="dxa"/>
            <w:shd w:val="clear" w:color="auto" w:fill="auto"/>
          </w:tcPr>
          <w:p w14:paraId="01DBAB49" w14:textId="77777777" w:rsidR="0056612A" w:rsidRPr="00115A90" w:rsidRDefault="0056612A" w:rsidP="00615EE2">
            <w:pPr>
              <w:rPr>
                <w:rFonts w:cstheme="minorHAnsi"/>
                <w:b/>
                <w:bCs/>
              </w:rPr>
            </w:pPr>
          </w:p>
        </w:tc>
      </w:tr>
    </w:tbl>
    <w:p w14:paraId="0F459BD5" w14:textId="740E6D9A" w:rsidR="0003133C" w:rsidRDefault="0003133C" w:rsidP="002313CB">
      <w:pPr>
        <w:spacing w:line="360" w:lineRule="auto"/>
        <w:jc w:val="both"/>
        <w:rPr>
          <w:b/>
          <w:bCs/>
          <w:sz w:val="23"/>
          <w:szCs w:val="23"/>
        </w:rPr>
      </w:pPr>
    </w:p>
    <w:p w14:paraId="4586D7DE" w14:textId="39437083" w:rsidR="0003133C" w:rsidRPr="00C70B23" w:rsidRDefault="0003133C" w:rsidP="009836C2">
      <w:pPr>
        <w:jc w:val="both"/>
        <w:rPr>
          <w:sz w:val="24"/>
          <w:szCs w:val="24"/>
        </w:rPr>
      </w:pPr>
      <w:r>
        <w:rPr>
          <w:sz w:val="24"/>
          <w:szCs w:val="24"/>
        </w:rPr>
        <w:t xml:space="preserve">TDI potvrzuje, že výše uvedené údaje jsou </w:t>
      </w:r>
      <w:r w:rsidR="009A44CD">
        <w:rPr>
          <w:sz w:val="24"/>
          <w:szCs w:val="24"/>
        </w:rPr>
        <w:t>pravdivé a</w:t>
      </w:r>
      <w:r>
        <w:rPr>
          <w:sz w:val="24"/>
          <w:szCs w:val="24"/>
        </w:rPr>
        <w:t xml:space="preserve"> tímto prokazuje, že projekt splnil všechny výše uvedené </w:t>
      </w:r>
      <w:r w:rsidR="009A44CD">
        <w:rPr>
          <w:sz w:val="24"/>
          <w:szCs w:val="24"/>
        </w:rPr>
        <w:t>podmínky zásady</w:t>
      </w:r>
      <w:r>
        <w:rPr>
          <w:sz w:val="24"/>
          <w:szCs w:val="24"/>
        </w:rPr>
        <w:t xml:space="preserve"> DNSH a </w:t>
      </w:r>
      <w:r w:rsidR="009A44CD">
        <w:rPr>
          <w:sz w:val="24"/>
          <w:szCs w:val="24"/>
        </w:rPr>
        <w:t>projekt,</w:t>
      </w:r>
      <w:r>
        <w:rPr>
          <w:sz w:val="24"/>
          <w:szCs w:val="24"/>
        </w:rPr>
        <w:t xml:space="preserve"> resp. stavba v rámci jednotlivých enviromentálních </w:t>
      </w:r>
      <w:r w:rsidR="009A44CD">
        <w:rPr>
          <w:sz w:val="24"/>
          <w:szCs w:val="24"/>
        </w:rPr>
        <w:t>cílů významně</w:t>
      </w:r>
      <w:r w:rsidRPr="00A312AB">
        <w:rPr>
          <w:sz w:val="24"/>
          <w:szCs w:val="24"/>
        </w:rPr>
        <w:t xml:space="preserve"> nepoškodil</w:t>
      </w:r>
      <w:r>
        <w:rPr>
          <w:sz w:val="24"/>
          <w:szCs w:val="24"/>
        </w:rPr>
        <w:t>a</w:t>
      </w:r>
      <w:r w:rsidRPr="00A312AB">
        <w:rPr>
          <w:sz w:val="24"/>
          <w:szCs w:val="24"/>
        </w:rPr>
        <w:t xml:space="preserve"> životní prostředí</w:t>
      </w:r>
      <w:r>
        <w:rPr>
          <w:sz w:val="24"/>
          <w:szCs w:val="24"/>
        </w:rPr>
        <w:t>.</w:t>
      </w:r>
    </w:p>
    <w:p w14:paraId="61143DC2" w14:textId="77777777" w:rsidR="0003133C" w:rsidRPr="003F2687" w:rsidRDefault="0003133C" w:rsidP="0003133C">
      <w:pPr>
        <w:rPr>
          <w:b/>
          <w:bCs/>
          <w:sz w:val="24"/>
          <w:szCs w:val="24"/>
        </w:rPr>
      </w:pPr>
      <w:r w:rsidRPr="003F2687">
        <w:rPr>
          <w:b/>
          <w:bCs/>
          <w:sz w:val="24"/>
          <w:szCs w:val="24"/>
        </w:rPr>
        <w:t>Datum a podpis Technický dozor investora</w:t>
      </w:r>
    </w:p>
    <w:p w14:paraId="60921AB5" w14:textId="77777777" w:rsidR="0003133C" w:rsidRDefault="0003133C" w:rsidP="0003133C">
      <w:pPr>
        <w:rPr>
          <w:sz w:val="24"/>
          <w:szCs w:val="24"/>
        </w:rPr>
      </w:pPr>
    </w:p>
    <w:p w14:paraId="60178CC9" w14:textId="77777777" w:rsidR="0003133C" w:rsidRDefault="0003133C" w:rsidP="0003133C">
      <w:pPr>
        <w:rPr>
          <w:sz w:val="24"/>
          <w:szCs w:val="24"/>
        </w:rPr>
      </w:pPr>
      <w:r>
        <w:rPr>
          <w:sz w:val="24"/>
          <w:szCs w:val="24"/>
        </w:rPr>
        <w:t>___________________</w:t>
      </w:r>
    </w:p>
    <w:p w14:paraId="688FAB1F" w14:textId="77777777" w:rsidR="0003133C" w:rsidRDefault="0003133C" w:rsidP="002313CB">
      <w:pPr>
        <w:spacing w:line="360" w:lineRule="auto"/>
        <w:jc w:val="both"/>
        <w:rPr>
          <w:b/>
          <w:bCs/>
          <w:sz w:val="23"/>
          <w:szCs w:val="23"/>
        </w:rPr>
      </w:pPr>
    </w:p>
    <w:p w14:paraId="74E53037" w14:textId="1777AB6A" w:rsidR="0003133C" w:rsidRDefault="006875C0" w:rsidP="006875C0">
      <w:pPr>
        <w:rPr>
          <w:b/>
          <w:bCs/>
          <w:sz w:val="23"/>
          <w:szCs w:val="23"/>
        </w:rPr>
      </w:pPr>
      <w:r>
        <w:rPr>
          <w:b/>
          <w:bCs/>
          <w:sz w:val="23"/>
          <w:szCs w:val="23"/>
        </w:rPr>
        <w:br w:type="page"/>
      </w:r>
    </w:p>
    <w:p w14:paraId="7A695B4A" w14:textId="77777777" w:rsidR="007B7599" w:rsidRDefault="007B7599" w:rsidP="007B7599">
      <w:pPr>
        <w:pStyle w:val="ManualHeading1"/>
        <w:rPr>
          <w:noProof/>
        </w:rPr>
      </w:pPr>
      <w:bookmarkStart w:id="5" w:name="_Toc69768476"/>
      <w:r>
        <w:rPr>
          <w:noProof/>
        </w:rPr>
        <w:lastRenderedPageBreak/>
        <w:t>Dodatek A: Obecná kritéria zásady „významně nepoškozovat“ u přizpůsobování se změně klimatu</w:t>
      </w:r>
      <w:bookmarkEnd w:id="5"/>
    </w:p>
    <w:p w14:paraId="36E029D5" w14:textId="77777777" w:rsidR="007B7599" w:rsidRDefault="007B7599" w:rsidP="007B7599">
      <w:pPr>
        <w:rPr>
          <w:b/>
          <w:noProof/>
        </w:rPr>
      </w:pPr>
      <w:r>
        <w:rPr>
          <w:b/>
          <w:noProof/>
        </w:rPr>
        <w:t>I. Kritéria</w:t>
      </w:r>
    </w:p>
    <w:p w14:paraId="50B1A546" w14:textId="062E4934"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 xml:space="preserve">Z rizik uvedených v tabulce v oddíle II tohoto dodatku byla identifikována fyzická rizika spojená </w:t>
      </w:r>
      <w:r w:rsidR="00EF5F1B">
        <w:rPr>
          <w:noProof/>
        </w:rPr>
        <w:br/>
      </w:r>
      <w:r>
        <w:rPr>
          <w:noProof/>
        </w:rPr>
        <w:t>s klimatem, která jsou pro danou činnost podstatná, provedením důkladného posouzení klimatických rizik a zranitelností zahrnujícího tyto kroky:</w:t>
      </w:r>
    </w:p>
    <w:p w14:paraId="4A1E408D" w14:textId="77777777"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a)</w:t>
      </w:r>
      <w:r>
        <w:rPr>
          <w:noProof/>
        </w:rPr>
        <w:tab/>
        <w:t>screening činnosti s cílem určit, která fyzická rizika spojená s klimatem ze seznamu v oddíle II tohoto dodatku mohou ovlivnit výkon hospodářské činnosti během její očekávané doby životnosti;</w:t>
      </w:r>
    </w:p>
    <w:p w14:paraId="059F3E10" w14:textId="38BB1653"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b)</w:t>
      </w:r>
      <w:r>
        <w:rPr>
          <w:noProof/>
        </w:rPr>
        <w:tab/>
        <w:t xml:space="preserve">jestliže se má za to, že činnost je ohrožena jedním nebo více fyzickými riziky spojenými </w:t>
      </w:r>
      <w:r w:rsidR="00EF5F1B">
        <w:rPr>
          <w:noProof/>
        </w:rPr>
        <w:br/>
      </w:r>
      <w:r>
        <w:rPr>
          <w:noProof/>
        </w:rPr>
        <w:t>s klimatem uvedenými v oddíle II tohoto dodatku, posouzení klimatických rizik a zranitelností s cílem zhodnotit významnost fyzických rizik souvisejících s klimatem pro danou hospodářskou činnost;</w:t>
      </w:r>
    </w:p>
    <w:p w14:paraId="491CA150" w14:textId="77777777"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c)</w:t>
      </w:r>
      <w:r>
        <w:rPr>
          <w:noProof/>
        </w:rPr>
        <w:tab/>
        <w:t>posouzení adaptačních řešení, která mohou zjištěné fyzické riziko spojené s klimatem snížit.</w:t>
      </w:r>
    </w:p>
    <w:p w14:paraId="6A654810" w14:textId="77777777"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Posouzení klimatických rizik a zranitelností je přiměřené rozsahu činnosti a její předpokládané době životnosti, tudíž:</w:t>
      </w:r>
    </w:p>
    <w:p w14:paraId="4A8A6B06" w14:textId="77777777"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a)</w:t>
      </w:r>
      <w:r>
        <w:rPr>
          <w:noProof/>
        </w:rPr>
        <w:tab/>
        <w:t>u činností s očekávanou životností kratší než deset let se posouzení provádí alespoň pomocí klimatických projekcí nejmenšího vhodného rozsahu;</w:t>
      </w:r>
    </w:p>
    <w:p w14:paraId="3B389D85" w14:textId="77777777"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b)</w:t>
      </w:r>
      <w:r>
        <w:rPr>
          <w:noProof/>
        </w:rPr>
        <w:tab/>
        <w:t>u všech ostatních činností se hodnocení provádí za použití nejmodernějších klimatických projekcí s nejvyšším dostupným rozlišením v rámci celé existující řady budoucích scénářů</w:t>
      </w:r>
      <w:r>
        <w:rPr>
          <w:rStyle w:val="Znakapoznpodarou"/>
          <w:noProof/>
        </w:rPr>
        <w:footnoteReference w:id="50"/>
      </w:r>
      <w:r>
        <w:rPr>
          <w:noProof/>
        </w:rPr>
        <w:t>, které jsou v souladu s očekávanou dobou životnosti dané činnosti, včetně alespoň 10 až 30letých scénářů klimatických projekcí u velkých investic.</w:t>
      </w:r>
    </w:p>
    <w:p w14:paraId="05FFD714" w14:textId="2F56BEE9"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 xml:space="preserve">Klimatické projekce a posouzení dopadů vycházejí z osvědčených postupů a dostupných pokynů </w:t>
      </w:r>
      <w:r w:rsidR="00EF5F1B">
        <w:rPr>
          <w:noProof/>
        </w:rPr>
        <w:br/>
      </w:r>
      <w:r>
        <w:rPr>
          <w:noProof/>
        </w:rPr>
        <w:t xml:space="preserve">a zohledňují nejnovější vědecké poznatky pro analýzu zranitelností a rizik a související metodiky </w:t>
      </w:r>
      <w:r w:rsidR="00934729">
        <w:rPr>
          <w:noProof/>
        </w:rPr>
        <w:br/>
      </w:r>
      <w:r>
        <w:rPr>
          <w:noProof/>
        </w:rPr>
        <w:t>v souladu s nejnovějšími zprávami Mezivládního panelu pro změnu klimatu</w:t>
      </w:r>
      <w:r>
        <w:rPr>
          <w:rStyle w:val="Znakapoznpodarou"/>
          <w:noProof/>
        </w:rPr>
        <w:footnoteReference w:id="51"/>
      </w:r>
      <w:r>
        <w:rPr>
          <w:noProof/>
        </w:rPr>
        <w:t>, vědeckými recenzovanými publikacemi a modely založenými na otevřených zdrojích</w:t>
      </w:r>
      <w:r>
        <w:rPr>
          <w:rStyle w:val="Znakapoznpodarou"/>
          <w:noProof/>
        </w:rPr>
        <w:footnoteReference w:id="52"/>
      </w:r>
      <w:r>
        <w:rPr>
          <w:noProof/>
        </w:rPr>
        <w:t xml:space="preserve"> nebo placenými modely.</w:t>
      </w:r>
    </w:p>
    <w:p w14:paraId="42EAD2FD" w14:textId="77777777"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U stávajících činností a nových činností využívajících stávající hmotná aktiva zavede hospodářský subjekt po dobu až pěti let fyzická a nefyzická řešení („adaptační řešení“), která snižují nejvýznamnější zjištěná fyzická klimatická rizika, jež jsou pro tuto činnost významná. Za účelem zavedení těchto řešení je odpovídajícím způsobem vypracován adaptační plán.</w:t>
      </w:r>
    </w:p>
    <w:p w14:paraId="45ACFAA4" w14:textId="77777777" w:rsidR="007B7599" w:rsidRDefault="007B7599"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U nových činností a stávajících činností využívajících nově vytvořená hmotná aktiva integruje hospodářský subjekt adaptační řešení, která snižují nejvýznamnější zjištěná fyzická klimatická rizika, jež jsou pro tuto činnost v době návrhu a výstavby významná, a zavede je před zahájením provozu.</w:t>
      </w:r>
    </w:p>
    <w:p w14:paraId="67CEC925" w14:textId="4D1EDD9D" w:rsidR="009836C2" w:rsidRPr="006875C0" w:rsidRDefault="007B7599" w:rsidP="006875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lastRenderedPageBreak/>
        <w:t>Zavedená adaptační řešení nemají nepříznivý vliv na adaptační úsilí ani míru odolnosti jiných osob, přírody, kulturního dědictví, aktiv a jiných hospodářských činností vůči fyzickým rizikům souvisejícím se změnou klimatu; jsou v souladu s místními, odvětvovými, regionálními nebo vnitrostátními strategiemi a plány přizpůsobení se změně klimatu; a co nejvíce zvažují využití přírodě blízkých řešení</w:t>
      </w:r>
      <w:r>
        <w:rPr>
          <w:rStyle w:val="Znakapoznpodarou"/>
          <w:noProof/>
        </w:rPr>
        <w:footnoteReference w:id="53"/>
      </w:r>
      <w:r>
        <w:rPr>
          <w:noProof/>
        </w:rPr>
        <w:t xml:space="preserve"> nebo se opírají o modrou nebo zelenou infrastrukturu</w:t>
      </w:r>
      <w:r>
        <w:rPr>
          <w:rStyle w:val="Znakapoznpodarou"/>
          <w:noProof/>
        </w:rPr>
        <w:footnoteReference w:id="54"/>
      </w:r>
      <w:r>
        <w:rPr>
          <w:noProof/>
        </w:rPr>
        <w:t>.</w:t>
      </w:r>
    </w:p>
    <w:p w14:paraId="77F79E80" w14:textId="21738555" w:rsidR="007B7599" w:rsidRDefault="007B7599" w:rsidP="007B7599">
      <w:pPr>
        <w:keepNext/>
        <w:spacing w:before="200" w:after="200" w:line="276" w:lineRule="auto"/>
        <w:rPr>
          <w:b/>
          <w:noProof/>
        </w:rPr>
      </w:pPr>
      <w:r>
        <w:rPr>
          <w:b/>
          <w:noProof/>
        </w:rPr>
        <w:t>II. Klasifikace nebezpečí souvisejících s klimatem</w:t>
      </w:r>
      <w:r>
        <w:rPr>
          <w:rStyle w:val="Znakapoznpodarou"/>
          <w:noProof/>
        </w:rPr>
        <w:footnoteReference w:id="55"/>
      </w:r>
    </w:p>
    <w:tbl>
      <w:tblPr>
        <w:tblStyle w:val="TableGrid1"/>
        <w:tblW w:w="5000" w:type="pct"/>
        <w:tblLook w:val="04A0" w:firstRow="1" w:lastRow="0" w:firstColumn="1" w:lastColumn="0" w:noHBand="0" w:noVBand="1"/>
      </w:tblPr>
      <w:tblGrid>
        <w:gridCol w:w="731"/>
        <w:gridCol w:w="2083"/>
        <w:gridCol w:w="2083"/>
        <w:gridCol w:w="2083"/>
        <w:gridCol w:w="2082"/>
      </w:tblGrid>
      <w:tr w:rsidR="007B7599" w14:paraId="109EAB4E" w14:textId="77777777" w:rsidTr="00615EE2">
        <w:tc>
          <w:tcPr>
            <w:tcW w:w="403" w:type="pct"/>
            <w:shd w:val="clear" w:color="auto" w:fill="F2F2F2" w:themeFill="background1" w:themeFillShade="F2"/>
          </w:tcPr>
          <w:p w14:paraId="71889CA4" w14:textId="77777777" w:rsidR="007B7599" w:rsidRDefault="007B7599" w:rsidP="00615EE2">
            <w:pPr>
              <w:spacing w:before="40" w:after="40" w:line="276" w:lineRule="auto"/>
              <w:rPr>
                <w:noProof/>
                <w:szCs w:val="24"/>
              </w:rPr>
            </w:pPr>
          </w:p>
        </w:tc>
        <w:tc>
          <w:tcPr>
            <w:tcW w:w="1149" w:type="pct"/>
            <w:shd w:val="clear" w:color="auto" w:fill="F2F2F2" w:themeFill="background1" w:themeFillShade="F2"/>
          </w:tcPr>
          <w:p w14:paraId="20EE416E" w14:textId="77777777" w:rsidR="007B7599" w:rsidRDefault="007B7599" w:rsidP="00615EE2">
            <w:pPr>
              <w:spacing w:before="40" w:after="40"/>
              <w:rPr>
                <w:b/>
                <w:noProof/>
              </w:rPr>
            </w:pPr>
            <w:r>
              <w:rPr>
                <w:b/>
                <w:noProof/>
              </w:rPr>
              <w:t>Související s teplotou</w:t>
            </w:r>
          </w:p>
        </w:tc>
        <w:tc>
          <w:tcPr>
            <w:tcW w:w="1149" w:type="pct"/>
            <w:shd w:val="clear" w:color="auto" w:fill="F2F2F2" w:themeFill="background1" w:themeFillShade="F2"/>
          </w:tcPr>
          <w:p w14:paraId="6F50EA8E" w14:textId="77777777" w:rsidR="007B7599" w:rsidRDefault="007B7599" w:rsidP="00615EE2">
            <w:pPr>
              <w:spacing w:before="40" w:after="40"/>
              <w:rPr>
                <w:b/>
                <w:noProof/>
              </w:rPr>
            </w:pPr>
            <w:r>
              <w:rPr>
                <w:b/>
                <w:noProof/>
              </w:rPr>
              <w:t>Související s větrem</w:t>
            </w:r>
          </w:p>
        </w:tc>
        <w:tc>
          <w:tcPr>
            <w:tcW w:w="1149" w:type="pct"/>
            <w:shd w:val="clear" w:color="auto" w:fill="F2F2F2" w:themeFill="background1" w:themeFillShade="F2"/>
          </w:tcPr>
          <w:p w14:paraId="0E434260" w14:textId="77777777" w:rsidR="007B7599" w:rsidRDefault="007B7599" w:rsidP="00615EE2">
            <w:pPr>
              <w:spacing w:before="40" w:after="40"/>
              <w:rPr>
                <w:b/>
                <w:noProof/>
              </w:rPr>
            </w:pPr>
            <w:r>
              <w:rPr>
                <w:b/>
                <w:noProof/>
              </w:rPr>
              <w:t>Související s vodou</w:t>
            </w:r>
          </w:p>
        </w:tc>
        <w:tc>
          <w:tcPr>
            <w:tcW w:w="1149" w:type="pct"/>
            <w:shd w:val="clear" w:color="auto" w:fill="F2F2F2" w:themeFill="background1" w:themeFillShade="F2"/>
          </w:tcPr>
          <w:p w14:paraId="455608DC" w14:textId="77777777" w:rsidR="007B7599" w:rsidRDefault="007B7599" w:rsidP="00615EE2">
            <w:pPr>
              <w:spacing w:before="40" w:after="40"/>
              <w:rPr>
                <w:b/>
                <w:noProof/>
              </w:rPr>
            </w:pPr>
            <w:r>
              <w:rPr>
                <w:b/>
                <w:noProof/>
              </w:rPr>
              <w:t>Související s pevným povrchem</w:t>
            </w:r>
          </w:p>
        </w:tc>
      </w:tr>
      <w:tr w:rsidR="007B7599" w14:paraId="5DF17E4B" w14:textId="77777777" w:rsidTr="00615EE2">
        <w:tc>
          <w:tcPr>
            <w:tcW w:w="403" w:type="pct"/>
            <w:vMerge w:val="restart"/>
            <w:shd w:val="clear" w:color="auto" w:fill="F2F2F2" w:themeFill="background1" w:themeFillShade="F2"/>
            <w:textDirection w:val="btLr"/>
            <w:vAlign w:val="center"/>
          </w:tcPr>
          <w:p w14:paraId="321E7879" w14:textId="77777777" w:rsidR="007B7599" w:rsidRDefault="007B7599" w:rsidP="00615EE2">
            <w:pPr>
              <w:spacing w:before="40" w:after="40"/>
              <w:jc w:val="center"/>
              <w:rPr>
                <w:b/>
                <w:noProof/>
              </w:rPr>
            </w:pPr>
            <w:r>
              <w:rPr>
                <w:b/>
                <w:noProof/>
              </w:rPr>
              <w:t>Chronická</w:t>
            </w:r>
          </w:p>
        </w:tc>
        <w:tc>
          <w:tcPr>
            <w:tcW w:w="1149" w:type="pct"/>
            <w:shd w:val="clear" w:color="auto" w:fill="F2F2F2" w:themeFill="background1" w:themeFillShade="F2"/>
          </w:tcPr>
          <w:p w14:paraId="56008915" w14:textId="77777777" w:rsidR="007B7599" w:rsidRDefault="007B7599" w:rsidP="00615EE2">
            <w:pPr>
              <w:spacing w:before="40" w:after="40"/>
              <w:rPr>
                <w:noProof/>
                <w:szCs w:val="24"/>
              </w:rPr>
            </w:pPr>
            <w:r>
              <w:rPr>
                <w:noProof/>
              </w:rPr>
              <w:t>Měnící se teplota (vzduchu, sladké vody, mořské vody)</w:t>
            </w:r>
          </w:p>
        </w:tc>
        <w:tc>
          <w:tcPr>
            <w:tcW w:w="1149" w:type="pct"/>
            <w:shd w:val="clear" w:color="auto" w:fill="F2F2F2" w:themeFill="background1" w:themeFillShade="F2"/>
          </w:tcPr>
          <w:p w14:paraId="6D97BD46" w14:textId="77777777" w:rsidR="007B7599" w:rsidRDefault="007B7599" w:rsidP="00615EE2">
            <w:pPr>
              <w:spacing w:before="40" w:after="40"/>
              <w:rPr>
                <w:noProof/>
                <w:szCs w:val="24"/>
              </w:rPr>
            </w:pPr>
            <w:r>
              <w:rPr>
                <w:noProof/>
              </w:rPr>
              <w:t>Měnící se větrné poměry</w:t>
            </w:r>
          </w:p>
        </w:tc>
        <w:tc>
          <w:tcPr>
            <w:tcW w:w="1149" w:type="pct"/>
            <w:shd w:val="clear" w:color="auto" w:fill="F2F2F2" w:themeFill="background1" w:themeFillShade="F2"/>
          </w:tcPr>
          <w:p w14:paraId="71450DAE" w14:textId="77777777" w:rsidR="007B7599" w:rsidRDefault="007B7599" w:rsidP="00615EE2">
            <w:pPr>
              <w:spacing w:before="40" w:after="40"/>
              <w:rPr>
                <w:noProof/>
                <w:szCs w:val="24"/>
              </w:rPr>
            </w:pPr>
            <w:r>
              <w:rPr>
                <w:noProof/>
              </w:rPr>
              <w:t>Měnící se srážkové poměry a druhy srážek (déšť, krupobití, sníh/led)</w:t>
            </w:r>
          </w:p>
        </w:tc>
        <w:tc>
          <w:tcPr>
            <w:tcW w:w="1149" w:type="pct"/>
            <w:shd w:val="clear" w:color="auto" w:fill="F2F2F2" w:themeFill="background1" w:themeFillShade="F2"/>
          </w:tcPr>
          <w:p w14:paraId="012AB1BE" w14:textId="77777777" w:rsidR="007B7599" w:rsidRDefault="007B7599" w:rsidP="00615EE2">
            <w:pPr>
              <w:spacing w:before="40" w:after="40"/>
              <w:rPr>
                <w:noProof/>
                <w:szCs w:val="24"/>
              </w:rPr>
            </w:pPr>
            <w:r>
              <w:rPr>
                <w:noProof/>
              </w:rPr>
              <w:t>Eroze pobřeží</w:t>
            </w:r>
          </w:p>
        </w:tc>
      </w:tr>
      <w:tr w:rsidR="007B7599" w14:paraId="65F0A729" w14:textId="77777777" w:rsidTr="00615EE2">
        <w:tc>
          <w:tcPr>
            <w:tcW w:w="403" w:type="pct"/>
            <w:vMerge/>
            <w:shd w:val="clear" w:color="auto" w:fill="F2F2F2" w:themeFill="background1" w:themeFillShade="F2"/>
          </w:tcPr>
          <w:p w14:paraId="1486ECE6" w14:textId="77777777" w:rsidR="007B7599" w:rsidRDefault="007B7599" w:rsidP="00615EE2">
            <w:pPr>
              <w:spacing w:before="40" w:after="40"/>
              <w:rPr>
                <w:b/>
                <w:bCs/>
                <w:noProof/>
                <w:szCs w:val="24"/>
              </w:rPr>
            </w:pPr>
          </w:p>
        </w:tc>
        <w:tc>
          <w:tcPr>
            <w:tcW w:w="1149" w:type="pct"/>
            <w:shd w:val="clear" w:color="auto" w:fill="F2F2F2" w:themeFill="background1" w:themeFillShade="F2"/>
          </w:tcPr>
          <w:p w14:paraId="173AF6D8" w14:textId="77777777" w:rsidR="007B7599" w:rsidRDefault="007B7599" w:rsidP="00615EE2">
            <w:pPr>
              <w:spacing w:before="40" w:after="40"/>
              <w:rPr>
                <w:noProof/>
                <w:szCs w:val="24"/>
              </w:rPr>
            </w:pPr>
            <w:r>
              <w:rPr>
                <w:noProof/>
              </w:rPr>
              <w:t xml:space="preserve">Tepelný stres </w:t>
            </w:r>
          </w:p>
        </w:tc>
        <w:tc>
          <w:tcPr>
            <w:tcW w:w="1149" w:type="pct"/>
            <w:shd w:val="clear" w:color="auto" w:fill="F2F2F2" w:themeFill="background1" w:themeFillShade="F2"/>
          </w:tcPr>
          <w:p w14:paraId="4C1C744A" w14:textId="77777777" w:rsidR="007B7599" w:rsidRDefault="007B7599" w:rsidP="00615EE2">
            <w:pPr>
              <w:spacing w:before="40" w:after="40"/>
              <w:rPr>
                <w:noProof/>
                <w:szCs w:val="24"/>
              </w:rPr>
            </w:pPr>
          </w:p>
        </w:tc>
        <w:tc>
          <w:tcPr>
            <w:tcW w:w="1149" w:type="pct"/>
            <w:shd w:val="clear" w:color="auto" w:fill="F2F2F2" w:themeFill="background1" w:themeFillShade="F2"/>
          </w:tcPr>
          <w:p w14:paraId="7AA62115" w14:textId="77777777" w:rsidR="007B7599" w:rsidRDefault="007B7599" w:rsidP="00615EE2">
            <w:pPr>
              <w:spacing w:before="40" w:after="40"/>
              <w:rPr>
                <w:noProof/>
                <w:szCs w:val="24"/>
              </w:rPr>
            </w:pPr>
            <w:r>
              <w:rPr>
                <w:noProof/>
              </w:rPr>
              <w:t>Proměnlivost srážek nebo hydrologická proměnlivost</w:t>
            </w:r>
          </w:p>
        </w:tc>
        <w:tc>
          <w:tcPr>
            <w:tcW w:w="1149" w:type="pct"/>
            <w:shd w:val="clear" w:color="auto" w:fill="F2F2F2" w:themeFill="background1" w:themeFillShade="F2"/>
          </w:tcPr>
          <w:p w14:paraId="5250198A" w14:textId="77777777" w:rsidR="007B7599" w:rsidRDefault="007B7599" w:rsidP="00615EE2">
            <w:pPr>
              <w:spacing w:before="40" w:after="40"/>
              <w:rPr>
                <w:noProof/>
                <w:szCs w:val="24"/>
              </w:rPr>
            </w:pPr>
            <w:r>
              <w:rPr>
                <w:noProof/>
              </w:rPr>
              <w:t>Degradace půdy</w:t>
            </w:r>
          </w:p>
        </w:tc>
      </w:tr>
      <w:tr w:rsidR="007B7599" w14:paraId="7C3FC191" w14:textId="77777777" w:rsidTr="00615EE2">
        <w:tc>
          <w:tcPr>
            <w:tcW w:w="403" w:type="pct"/>
            <w:vMerge/>
            <w:shd w:val="clear" w:color="auto" w:fill="F2F2F2" w:themeFill="background1" w:themeFillShade="F2"/>
          </w:tcPr>
          <w:p w14:paraId="5C49BC8A" w14:textId="77777777" w:rsidR="007B7599" w:rsidRDefault="007B7599" w:rsidP="00615EE2">
            <w:pPr>
              <w:spacing w:before="40" w:after="40"/>
              <w:rPr>
                <w:b/>
                <w:bCs/>
                <w:noProof/>
                <w:szCs w:val="24"/>
              </w:rPr>
            </w:pPr>
          </w:p>
        </w:tc>
        <w:tc>
          <w:tcPr>
            <w:tcW w:w="1149" w:type="pct"/>
            <w:shd w:val="clear" w:color="auto" w:fill="F2F2F2" w:themeFill="background1" w:themeFillShade="F2"/>
          </w:tcPr>
          <w:p w14:paraId="13D2E283" w14:textId="77777777" w:rsidR="007B7599" w:rsidRDefault="007B7599" w:rsidP="00615EE2">
            <w:pPr>
              <w:spacing w:before="40" w:after="40"/>
              <w:rPr>
                <w:noProof/>
                <w:szCs w:val="24"/>
              </w:rPr>
            </w:pPr>
            <w:r>
              <w:rPr>
                <w:noProof/>
              </w:rPr>
              <w:t>Proměnlivost teploty</w:t>
            </w:r>
          </w:p>
        </w:tc>
        <w:tc>
          <w:tcPr>
            <w:tcW w:w="1149" w:type="pct"/>
            <w:shd w:val="clear" w:color="auto" w:fill="F2F2F2" w:themeFill="background1" w:themeFillShade="F2"/>
          </w:tcPr>
          <w:p w14:paraId="1C48700B" w14:textId="77777777" w:rsidR="007B7599" w:rsidRDefault="007B7599" w:rsidP="00615EE2">
            <w:pPr>
              <w:spacing w:before="40" w:after="40"/>
              <w:rPr>
                <w:noProof/>
                <w:szCs w:val="24"/>
              </w:rPr>
            </w:pPr>
          </w:p>
        </w:tc>
        <w:tc>
          <w:tcPr>
            <w:tcW w:w="1149" w:type="pct"/>
            <w:shd w:val="clear" w:color="auto" w:fill="F2F2F2" w:themeFill="background1" w:themeFillShade="F2"/>
          </w:tcPr>
          <w:p w14:paraId="21FF0F2B" w14:textId="77777777" w:rsidR="007B7599" w:rsidRDefault="007B7599" w:rsidP="00615EE2">
            <w:pPr>
              <w:spacing w:before="40" w:after="40"/>
              <w:rPr>
                <w:noProof/>
                <w:szCs w:val="24"/>
              </w:rPr>
            </w:pPr>
            <w:r>
              <w:rPr>
                <w:noProof/>
              </w:rPr>
              <w:t>Okyselování oceánů</w:t>
            </w:r>
          </w:p>
        </w:tc>
        <w:tc>
          <w:tcPr>
            <w:tcW w:w="1149" w:type="pct"/>
            <w:shd w:val="clear" w:color="auto" w:fill="F2F2F2" w:themeFill="background1" w:themeFillShade="F2"/>
          </w:tcPr>
          <w:p w14:paraId="50F5AECD" w14:textId="77777777" w:rsidR="007B7599" w:rsidRDefault="007B7599" w:rsidP="00615EE2">
            <w:pPr>
              <w:spacing w:before="40" w:after="40"/>
              <w:rPr>
                <w:noProof/>
                <w:szCs w:val="24"/>
              </w:rPr>
            </w:pPr>
            <w:r>
              <w:rPr>
                <w:noProof/>
              </w:rPr>
              <w:t>Eroze půdy</w:t>
            </w:r>
          </w:p>
        </w:tc>
      </w:tr>
      <w:tr w:rsidR="007B7599" w14:paraId="2D130A29" w14:textId="77777777" w:rsidTr="00615EE2">
        <w:tc>
          <w:tcPr>
            <w:tcW w:w="403" w:type="pct"/>
            <w:vMerge/>
            <w:shd w:val="clear" w:color="auto" w:fill="F2F2F2" w:themeFill="background1" w:themeFillShade="F2"/>
          </w:tcPr>
          <w:p w14:paraId="34F1C260" w14:textId="77777777" w:rsidR="007B7599" w:rsidRDefault="007B7599" w:rsidP="00615EE2">
            <w:pPr>
              <w:spacing w:before="40" w:after="40"/>
              <w:rPr>
                <w:b/>
                <w:bCs/>
                <w:noProof/>
                <w:szCs w:val="24"/>
              </w:rPr>
            </w:pPr>
          </w:p>
        </w:tc>
        <w:tc>
          <w:tcPr>
            <w:tcW w:w="1149" w:type="pct"/>
            <w:shd w:val="clear" w:color="auto" w:fill="F2F2F2" w:themeFill="background1" w:themeFillShade="F2"/>
          </w:tcPr>
          <w:p w14:paraId="39BAA987" w14:textId="77777777" w:rsidR="007B7599" w:rsidRDefault="007B7599" w:rsidP="00615EE2">
            <w:pPr>
              <w:spacing w:before="40" w:after="40"/>
              <w:rPr>
                <w:noProof/>
                <w:szCs w:val="24"/>
              </w:rPr>
            </w:pPr>
            <w:r>
              <w:rPr>
                <w:noProof/>
              </w:rPr>
              <w:t>Tání permafrostu</w:t>
            </w:r>
          </w:p>
        </w:tc>
        <w:tc>
          <w:tcPr>
            <w:tcW w:w="1149" w:type="pct"/>
            <w:shd w:val="clear" w:color="auto" w:fill="F2F2F2" w:themeFill="background1" w:themeFillShade="F2"/>
          </w:tcPr>
          <w:p w14:paraId="490672EA" w14:textId="77777777" w:rsidR="007B7599" w:rsidRDefault="007B7599" w:rsidP="00615EE2">
            <w:pPr>
              <w:spacing w:before="40" w:after="40"/>
              <w:rPr>
                <w:noProof/>
                <w:szCs w:val="24"/>
              </w:rPr>
            </w:pPr>
          </w:p>
        </w:tc>
        <w:tc>
          <w:tcPr>
            <w:tcW w:w="1149" w:type="pct"/>
            <w:shd w:val="clear" w:color="auto" w:fill="F2F2F2" w:themeFill="background1" w:themeFillShade="F2"/>
          </w:tcPr>
          <w:p w14:paraId="177350CE" w14:textId="77777777" w:rsidR="007B7599" w:rsidRDefault="007B7599" w:rsidP="00615EE2">
            <w:pPr>
              <w:spacing w:before="40" w:after="40"/>
              <w:rPr>
                <w:noProof/>
                <w:szCs w:val="24"/>
              </w:rPr>
            </w:pPr>
            <w:r>
              <w:rPr>
                <w:noProof/>
              </w:rPr>
              <w:t>Zasolování</w:t>
            </w:r>
          </w:p>
        </w:tc>
        <w:tc>
          <w:tcPr>
            <w:tcW w:w="1149" w:type="pct"/>
            <w:shd w:val="clear" w:color="auto" w:fill="F2F2F2" w:themeFill="background1" w:themeFillShade="F2"/>
          </w:tcPr>
          <w:p w14:paraId="3DEFA17D" w14:textId="77777777" w:rsidR="007B7599" w:rsidRDefault="007B7599" w:rsidP="00615EE2">
            <w:pPr>
              <w:spacing w:before="40" w:after="40"/>
              <w:rPr>
                <w:noProof/>
                <w:szCs w:val="24"/>
              </w:rPr>
            </w:pPr>
            <w:r>
              <w:rPr>
                <w:noProof/>
              </w:rPr>
              <w:t>Soliflukce</w:t>
            </w:r>
          </w:p>
        </w:tc>
      </w:tr>
      <w:tr w:rsidR="007B7599" w14:paraId="2002BFD1" w14:textId="77777777" w:rsidTr="00615EE2">
        <w:tc>
          <w:tcPr>
            <w:tcW w:w="403" w:type="pct"/>
            <w:vMerge/>
            <w:shd w:val="clear" w:color="auto" w:fill="F2F2F2" w:themeFill="background1" w:themeFillShade="F2"/>
          </w:tcPr>
          <w:p w14:paraId="4E7980E3" w14:textId="77777777" w:rsidR="007B7599" w:rsidRDefault="007B7599" w:rsidP="00615EE2">
            <w:pPr>
              <w:spacing w:before="40" w:after="40"/>
              <w:rPr>
                <w:b/>
                <w:bCs/>
                <w:noProof/>
                <w:szCs w:val="24"/>
              </w:rPr>
            </w:pPr>
          </w:p>
        </w:tc>
        <w:tc>
          <w:tcPr>
            <w:tcW w:w="1149" w:type="pct"/>
            <w:shd w:val="clear" w:color="auto" w:fill="F2F2F2" w:themeFill="background1" w:themeFillShade="F2"/>
          </w:tcPr>
          <w:p w14:paraId="265274EF" w14:textId="77777777" w:rsidR="007B7599" w:rsidRDefault="007B7599" w:rsidP="00615EE2">
            <w:pPr>
              <w:spacing w:before="40" w:after="40"/>
              <w:rPr>
                <w:noProof/>
                <w:szCs w:val="24"/>
              </w:rPr>
            </w:pPr>
          </w:p>
        </w:tc>
        <w:tc>
          <w:tcPr>
            <w:tcW w:w="1149" w:type="pct"/>
            <w:shd w:val="clear" w:color="auto" w:fill="F2F2F2" w:themeFill="background1" w:themeFillShade="F2"/>
          </w:tcPr>
          <w:p w14:paraId="445CC0F4" w14:textId="77777777" w:rsidR="007B7599" w:rsidRDefault="007B7599" w:rsidP="00615EE2">
            <w:pPr>
              <w:spacing w:before="40" w:after="40"/>
              <w:rPr>
                <w:noProof/>
                <w:szCs w:val="24"/>
              </w:rPr>
            </w:pPr>
          </w:p>
        </w:tc>
        <w:tc>
          <w:tcPr>
            <w:tcW w:w="1149" w:type="pct"/>
            <w:shd w:val="clear" w:color="auto" w:fill="F2F2F2" w:themeFill="background1" w:themeFillShade="F2"/>
          </w:tcPr>
          <w:p w14:paraId="35631919" w14:textId="77777777" w:rsidR="007B7599" w:rsidRDefault="007B7599" w:rsidP="00615EE2">
            <w:pPr>
              <w:spacing w:before="40" w:after="40"/>
              <w:rPr>
                <w:noProof/>
                <w:szCs w:val="24"/>
              </w:rPr>
            </w:pPr>
            <w:r>
              <w:rPr>
                <w:noProof/>
              </w:rPr>
              <w:t xml:space="preserve">Zvyšování hladiny moří </w:t>
            </w:r>
          </w:p>
        </w:tc>
        <w:tc>
          <w:tcPr>
            <w:tcW w:w="1149" w:type="pct"/>
            <w:shd w:val="clear" w:color="auto" w:fill="F2F2F2" w:themeFill="background1" w:themeFillShade="F2"/>
          </w:tcPr>
          <w:p w14:paraId="35C6A05C" w14:textId="77777777" w:rsidR="007B7599" w:rsidRDefault="007B7599" w:rsidP="00615EE2">
            <w:pPr>
              <w:spacing w:before="40" w:after="40"/>
              <w:rPr>
                <w:noProof/>
                <w:szCs w:val="24"/>
              </w:rPr>
            </w:pPr>
          </w:p>
        </w:tc>
      </w:tr>
      <w:tr w:rsidR="007B7599" w14:paraId="42D302AF" w14:textId="77777777" w:rsidTr="00615EE2">
        <w:tc>
          <w:tcPr>
            <w:tcW w:w="403" w:type="pct"/>
            <w:vMerge/>
            <w:shd w:val="clear" w:color="auto" w:fill="F2F2F2" w:themeFill="background1" w:themeFillShade="F2"/>
          </w:tcPr>
          <w:p w14:paraId="248578F6" w14:textId="77777777" w:rsidR="007B7599" w:rsidRDefault="007B7599" w:rsidP="00615EE2">
            <w:pPr>
              <w:spacing w:before="40" w:after="40"/>
              <w:rPr>
                <w:b/>
                <w:bCs/>
                <w:noProof/>
                <w:szCs w:val="24"/>
              </w:rPr>
            </w:pPr>
          </w:p>
        </w:tc>
        <w:tc>
          <w:tcPr>
            <w:tcW w:w="1149" w:type="pct"/>
            <w:shd w:val="clear" w:color="auto" w:fill="F2F2F2" w:themeFill="background1" w:themeFillShade="F2"/>
          </w:tcPr>
          <w:p w14:paraId="2F7E4C83" w14:textId="77777777" w:rsidR="007B7599" w:rsidRDefault="007B7599" w:rsidP="00615EE2">
            <w:pPr>
              <w:spacing w:before="40" w:after="40"/>
              <w:rPr>
                <w:noProof/>
                <w:szCs w:val="24"/>
              </w:rPr>
            </w:pPr>
          </w:p>
        </w:tc>
        <w:tc>
          <w:tcPr>
            <w:tcW w:w="1149" w:type="pct"/>
            <w:shd w:val="clear" w:color="auto" w:fill="F2F2F2" w:themeFill="background1" w:themeFillShade="F2"/>
          </w:tcPr>
          <w:p w14:paraId="1B49FA96" w14:textId="77777777" w:rsidR="007B7599" w:rsidRDefault="007B7599" w:rsidP="00615EE2">
            <w:pPr>
              <w:spacing w:before="40" w:after="40"/>
              <w:rPr>
                <w:noProof/>
                <w:szCs w:val="24"/>
              </w:rPr>
            </w:pPr>
          </w:p>
        </w:tc>
        <w:tc>
          <w:tcPr>
            <w:tcW w:w="1149" w:type="pct"/>
            <w:shd w:val="clear" w:color="auto" w:fill="F2F2F2" w:themeFill="background1" w:themeFillShade="F2"/>
          </w:tcPr>
          <w:p w14:paraId="001EFA6D" w14:textId="77777777" w:rsidR="007B7599" w:rsidRDefault="007B7599" w:rsidP="00615EE2">
            <w:pPr>
              <w:spacing w:before="40" w:after="40"/>
              <w:rPr>
                <w:noProof/>
                <w:szCs w:val="24"/>
              </w:rPr>
            </w:pPr>
            <w:r>
              <w:rPr>
                <w:noProof/>
              </w:rPr>
              <w:t>Vodní stres</w:t>
            </w:r>
          </w:p>
        </w:tc>
        <w:tc>
          <w:tcPr>
            <w:tcW w:w="1149" w:type="pct"/>
            <w:shd w:val="clear" w:color="auto" w:fill="F2F2F2" w:themeFill="background1" w:themeFillShade="F2"/>
          </w:tcPr>
          <w:p w14:paraId="3F79E856" w14:textId="77777777" w:rsidR="007B7599" w:rsidRDefault="007B7599" w:rsidP="00615EE2">
            <w:pPr>
              <w:spacing w:before="40" w:after="40"/>
              <w:rPr>
                <w:noProof/>
                <w:szCs w:val="24"/>
              </w:rPr>
            </w:pPr>
          </w:p>
        </w:tc>
      </w:tr>
      <w:tr w:rsidR="007B7599" w14:paraId="7095A042" w14:textId="77777777" w:rsidTr="00615EE2">
        <w:tc>
          <w:tcPr>
            <w:tcW w:w="403" w:type="pct"/>
            <w:vMerge w:val="restart"/>
            <w:shd w:val="clear" w:color="auto" w:fill="F2F2F2" w:themeFill="background1" w:themeFillShade="F2"/>
            <w:textDirection w:val="btLr"/>
            <w:vAlign w:val="center"/>
          </w:tcPr>
          <w:p w14:paraId="341ADAD4" w14:textId="77777777" w:rsidR="007B7599" w:rsidRDefault="007B7599" w:rsidP="00615EE2">
            <w:pPr>
              <w:spacing w:before="40" w:after="40"/>
              <w:jc w:val="center"/>
              <w:rPr>
                <w:b/>
                <w:noProof/>
              </w:rPr>
            </w:pPr>
            <w:r>
              <w:rPr>
                <w:b/>
                <w:noProof/>
              </w:rPr>
              <w:t>Akutní</w:t>
            </w:r>
          </w:p>
        </w:tc>
        <w:tc>
          <w:tcPr>
            <w:tcW w:w="1149" w:type="pct"/>
            <w:shd w:val="clear" w:color="auto" w:fill="F2F2F2" w:themeFill="background1" w:themeFillShade="F2"/>
          </w:tcPr>
          <w:p w14:paraId="0549B609" w14:textId="77777777" w:rsidR="007B7599" w:rsidRDefault="007B7599" w:rsidP="00615EE2">
            <w:pPr>
              <w:spacing w:before="40" w:after="40"/>
              <w:rPr>
                <w:noProof/>
                <w:szCs w:val="24"/>
              </w:rPr>
            </w:pPr>
            <w:r>
              <w:rPr>
                <w:noProof/>
              </w:rPr>
              <w:t>Vlna veder</w:t>
            </w:r>
          </w:p>
        </w:tc>
        <w:tc>
          <w:tcPr>
            <w:tcW w:w="1149" w:type="pct"/>
            <w:shd w:val="clear" w:color="auto" w:fill="F2F2F2" w:themeFill="background1" w:themeFillShade="F2"/>
          </w:tcPr>
          <w:p w14:paraId="77D92187" w14:textId="77777777" w:rsidR="007B7599" w:rsidRDefault="007B7599" w:rsidP="00615EE2">
            <w:pPr>
              <w:spacing w:before="40" w:after="40"/>
              <w:rPr>
                <w:noProof/>
                <w:szCs w:val="24"/>
              </w:rPr>
            </w:pPr>
            <w:r>
              <w:rPr>
                <w:noProof/>
              </w:rPr>
              <w:t xml:space="preserve">Cyklón, hurikán, tajfun </w:t>
            </w:r>
          </w:p>
        </w:tc>
        <w:tc>
          <w:tcPr>
            <w:tcW w:w="1149" w:type="pct"/>
            <w:shd w:val="clear" w:color="auto" w:fill="F2F2F2" w:themeFill="background1" w:themeFillShade="F2"/>
          </w:tcPr>
          <w:p w14:paraId="5FE822F7" w14:textId="77777777" w:rsidR="007B7599" w:rsidRDefault="007B7599" w:rsidP="00615EE2">
            <w:pPr>
              <w:spacing w:before="40" w:after="40"/>
              <w:rPr>
                <w:noProof/>
                <w:szCs w:val="24"/>
              </w:rPr>
            </w:pPr>
            <w:r>
              <w:rPr>
                <w:noProof/>
              </w:rPr>
              <w:t>Sucho</w:t>
            </w:r>
          </w:p>
        </w:tc>
        <w:tc>
          <w:tcPr>
            <w:tcW w:w="1149" w:type="pct"/>
            <w:shd w:val="clear" w:color="auto" w:fill="F2F2F2" w:themeFill="background1" w:themeFillShade="F2"/>
          </w:tcPr>
          <w:p w14:paraId="67923F5C" w14:textId="77777777" w:rsidR="007B7599" w:rsidRDefault="007B7599" w:rsidP="00615EE2">
            <w:pPr>
              <w:spacing w:before="40" w:after="40"/>
              <w:rPr>
                <w:noProof/>
                <w:szCs w:val="24"/>
              </w:rPr>
            </w:pPr>
            <w:r>
              <w:rPr>
                <w:noProof/>
              </w:rPr>
              <w:t>Lavina</w:t>
            </w:r>
          </w:p>
        </w:tc>
      </w:tr>
      <w:tr w:rsidR="007B7599" w14:paraId="2813E1C2" w14:textId="77777777" w:rsidTr="00615EE2">
        <w:tc>
          <w:tcPr>
            <w:tcW w:w="403" w:type="pct"/>
            <w:vMerge/>
            <w:shd w:val="clear" w:color="auto" w:fill="F2F2F2" w:themeFill="background1" w:themeFillShade="F2"/>
          </w:tcPr>
          <w:p w14:paraId="3731FD23" w14:textId="77777777" w:rsidR="007B7599" w:rsidRDefault="007B7599" w:rsidP="00615EE2">
            <w:pPr>
              <w:spacing w:before="40" w:after="40" w:line="276" w:lineRule="auto"/>
              <w:rPr>
                <w:noProof/>
                <w:szCs w:val="24"/>
              </w:rPr>
            </w:pPr>
          </w:p>
        </w:tc>
        <w:tc>
          <w:tcPr>
            <w:tcW w:w="1149" w:type="pct"/>
            <w:shd w:val="clear" w:color="auto" w:fill="F2F2F2" w:themeFill="background1" w:themeFillShade="F2"/>
          </w:tcPr>
          <w:p w14:paraId="13C8F69E" w14:textId="77777777" w:rsidR="007B7599" w:rsidRDefault="007B7599" w:rsidP="00615EE2">
            <w:pPr>
              <w:spacing w:before="40" w:after="40"/>
              <w:rPr>
                <w:noProof/>
                <w:szCs w:val="24"/>
              </w:rPr>
            </w:pPr>
            <w:r>
              <w:rPr>
                <w:noProof/>
              </w:rPr>
              <w:t>Studená vlna / mráz</w:t>
            </w:r>
          </w:p>
        </w:tc>
        <w:tc>
          <w:tcPr>
            <w:tcW w:w="1149" w:type="pct"/>
            <w:shd w:val="clear" w:color="auto" w:fill="F2F2F2" w:themeFill="background1" w:themeFillShade="F2"/>
          </w:tcPr>
          <w:p w14:paraId="1FA9C924" w14:textId="77777777" w:rsidR="007B7599" w:rsidRDefault="007B7599" w:rsidP="00615EE2">
            <w:pPr>
              <w:spacing w:before="40" w:after="40"/>
              <w:rPr>
                <w:noProof/>
                <w:szCs w:val="24"/>
              </w:rPr>
            </w:pPr>
            <w:r>
              <w:rPr>
                <w:noProof/>
              </w:rPr>
              <w:t>Bouře (včetně sněhových, prachových a písečných)</w:t>
            </w:r>
          </w:p>
        </w:tc>
        <w:tc>
          <w:tcPr>
            <w:tcW w:w="1149" w:type="pct"/>
            <w:shd w:val="clear" w:color="auto" w:fill="F2F2F2" w:themeFill="background1" w:themeFillShade="F2"/>
          </w:tcPr>
          <w:p w14:paraId="4F963754" w14:textId="77777777" w:rsidR="007B7599" w:rsidRDefault="007B7599" w:rsidP="00615EE2">
            <w:pPr>
              <w:spacing w:before="40" w:after="40"/>
              <w:rPr>
                <w:noProof/>
                <w:szCs w:val="24"/>
              </w:rPr>
            </w:pPr>
            <w:r>
              <w:rPr>
                <w:noProof/>
              </w:rPr>
              <w:t>Silné srážky (déšť, krupobití, sníh/led)</w:t>
            </w:r>
          </w:p>
        </w:tc>
        <w:tc>
          <w:tcPr>
            <w:tcW w:w="1149" w:type="pct"/>
            <w:shd w:val="clear" w:color="auto" w:fill="F2F2F2" w:themeFill="background1" w:themeFillShade="F2"/>
          </w:tcPr>
          <w:p w14:paraId="50D575C5" w14:textId="77777777" w:rsidR="007B7599" w:rsidRDefault="007B7599" w:rsidP="00615EE2">
            <w:pPr>
              <w:spacing w:before="40" w:after="40"/>
              <w:rPr>
                <w:noProof/>
                <w:szCs w:val="24"/>
              </w:rPr>
            </w:pPr>
            <w:r>
              <w:rPr>
                <w:noProof/>
              </w:rPr>
              <w:t>Sesuv půdy</w:t>
            </w:r>
          </w:p>
        </w:tc>
      </w:tr>
      <w:tr w:rsidR="007B7599" w14:paraId="5995F52E" w14:textId="77777777" w:rsidTr="00615EE2">
        <w:tc>
          <w:tcPr>
            <w:tcW w:w="403" w:type="pct"/>
            <w:vMerge/>
            <w:shd w:val="clear" w:color="auto" w:fill="F2F2F2" w:themeFill="background1" w:themeFillShade="F2"/>
          </w:tcPr>
          <w:p w14:paraId="1DC88521" w14:textId="77777777" w:rsidR="007B7599" w:rsidRDefault="007B7599" w:rsidP="00615EE2">
            <w:pPr>
              <w:spacing w:before="40" w:after="40" w:line="276" w:lineRule="auto"/>
              <w:rPr>
                <w:noProof/>
                <w:szCs w:val="24"/>
              </w:rPr>
            </w:pPr>
          </w:p>
        </w:tc>
        <w:tc>
          <w:tcPr>
            <w:tcW w:w="1149" w:type="pct"/>
            <w:shd w:val="clear" w:color="auto" w:fill="F2F2F2" w:themeFill="background1" w:themeFillShade="F2"/>
          </w:tcPr>
          <w:p w14:paraId="30A7F890" w14:textId="77777777" w:rsidR="007B7599" w:rsidRDefault="007B7599" w:rsidP="00615EE2">
            <w:pPr>
              <w:spacing w:before="40" w:after="40"/>
              <w:rPr>
                <w:noProof/>
                <w:szCs w:val="24"/>
              </w:rPr>
            </w:pPr>
            <w:r>
              <w:rPr>
                <w:noProof/>
              </w:rPr>
              <w:t>Lesní požár</w:t>
            </w:r>
          </w:p>
        </w:tc>
        <w:tc>
          <w:tcPr>
            <w:tcW w:w="1149" w:type="pct"/>
            <w:shd w:val="clear" w:color="auto" w:fill="F2F2F2" w:themeFill="background1" w:themeFillShade="F2"/>
          </w:tcPr>
          <w:p w14:paraId="36F78148" w14:textId="77777777" w:rsidR="007B7599" w:rsidRDefault="007B7599" w:rsidP="00615EE2">
            <w:pPr>
              <w:spacing w:before="40" w:after="40"/>
              <w:rPr>
                <w:noProof/>
                <w:szCs w:val="24"/>
              </w:rPr>
            </w:pPr>
            <w:r>
              <w:rPr>
                <w:noProof/>
              </w:rPr>
              <w:t>Tornádo</w:t>
            </w:r>
          </w:p>
        </w:tc>
        <w:tc>
          <w:tcPr>
            <w:tcW w:w="1149" w:type="pct"/>
            <w:shd w:val="clear" w:color="auto" w:fill="F2F2F2" w:themeFill="background1" w:themeFillShade="F2"/>
          </w:tcPr>
          <w:p w14:paraId="5027803F" w14:textId="77777777" w:rsidR="007B7599" w:rsidRDefault="007B7599" w:rsidP="00615EE2">
            <w:pPr>
              <w:spacing w:before="40" w:after="40"/>
              <w:rPr>
                <w:noProof/>
                <w:szCs w:val="24"/>
              </w:rPr>
            </w:pPr>
            <w:r>
              <w:rPr>
                <w:noProof/>
              </w:rPr>
              <w:t xml:space="preserve">Povodeň (pobřežní, říční, dešťová, způsobená podzemními vodami) </w:t>
            </w:r>
          </w:p>
        </w:tc>
        <w:tc>
          <w:tcPr>
            <w:tcW w:w="1149" w:type="pct"/>
            <w:shd w:val="clear" w:color="auto" w:fill="F2F2F2" w:themeFill="background1" w:themeFillShade="F2"/>
          </w:tcPr>
          <w:p w14:paraId="166FC99B" w14:textId="77777777" w:rsidR="007B7599" w:rsidRDefault="007B7599" w:rsidP="00615EE2">
            <w:pPr>
              <w:spacing w:before="40" w:after="40"/>
              <w:rPr>
                <w:noProof/>
                <w:szCs w:val="24"/>
              </w:rPr>
            </w:pPr>
            <w:r>
              <w:rPr>
                <w:noProof/>
              </w:rPr>
              <w:t>Sesedání půdy</w:t>
            </w:r>
          </w:p>
        </w:tc>
      </w:tr>
      <w:tr w:rsidR="007B7599" w14:paraId="71C012D1" w14:textId="77777777" w:rsidTr="00615EE2">
        <w:tc>
          <w:tcPr>
            <w:tcW w:w="403" w:type="pct"/>
            <w:vMerge/>
            <w:shd w:val="clear" w:color="auto" w:fill="F2F2F2" w:themeFill="background1" w:themeFillShade="F2"/>
          </w:tcPr>
          <w:p w14:paraId="68EBD68D" w14:textId="77777777" w:rsidR="007B7599" w:rsidRDefault="007B7599" w:rsidP="00615EE2">
            <w:pPr>
              <w:spacing w:before="40" w:after="40" w:line="276" w:lineRule="auto"/>
              <w:rPr>
                <w:noProof/>
                <w:szCs w:val="24"/>
              </w:rPr>
            </w:pPr>
          </w:p>
        </w:tc>
        <w:tc>
          <w:tcPr>
            <w:tcW w:w="1149" w:type="pct"/>
            <w:shd w:val="clear" w:color="auto" w:fill="F2F2F2" w:themeFill="background1" w:themeFillShade="F2"/>
          </w:tcPr>
          <w:p w14:paraId="3A92CE31" w14:textId="77777777" w:rsidR="007B7599" w:rsidRDefault="007B7599" w:rsidP="00615EE2">
            <w:pPr>
              <w:spacing w:before="40" w:after="40"/>
              <w:rPr>
                <w:noProof/>
                <w:szCs w:val="24"/>
              </w:rPr>
            </w:pPr>
          </w:p>
        </w:tc>
        <w:tc>
          <w:tcPr>
            <w:tcW w:w="1149" w:type="pct"/>
            <w:shd w:val="clear" w:color="auto" w:fill="F2F2F2" w:themeFill="background1" w:themeFillShade="F2"/>
          </w:tcPr>
          <w:p w14:paraId="2CFD0804" w14:textId="77777777" w:rsidR="007B7599" w:rsidRDefault="007B7599" w:rsidP="00615EE2">
            <w:pPr>
              <w:spacing w:before="40" w:after="40"/>
              <w:rPr>
                <w:noProof/>
                <w:szCs w:val="24"/>
              </w:rPr>
            </w:pPr>
          </w:p>
        </w:tc>
        <w:tc>
          <w:tcPr>
            <w:tcW w:w="1149" w:type="pct"/>
            <w:shd w:val="clear" w:color="auto" w:fill="F2F2F2" w:themeFill="background1" w:themeFillShade="F2"/>
          </w:tcPr>
          <w:p w14:paraId="02294F9C" w14:textId="77777777" w:rsidR="007B7599" w:rsidRDefault="007B7599" w:rsidP="00615EE2">
            <w:pPr>
              <w:spacing w:before="40" w:after="40"/>
              <w:rPr>
                <w:noProof/>
                <w:szCs w:val="24"/>
              </w:rPr>
            </w:pPr>
            <w:r>
              <w:rPr>
                <w:noProof/>
              </w:rPr>
              <w:t>Protržení ledovcového jezera</w:t>
            </w:r>
          </w:p>
        </w:tc>
        <w:tc>
          <w:tcPr>
            <w:tcW w:w="1149" w:type="pct"/>
            <w:shd w:val="clear" w:color="auto" w:fill="F2F2F2" w:themeFill="background1" w:themeFillShade="F2"/>
          </w:tcPr>
          <w:p w14:paraId="05DFB219" w14:textId="77777777" w:rsidR="007B7599" w:rsidRDefault="007B7599" w:rsidP="00615EE2">
            <w:pPr>
              <w:spacing w:before="40" w:after="40"/>
              <w:rPr>
                <w:noProof/>
                <w:szCs w:val="24"/>
              </w:rPr>
            </w:pPr>
          </w:p>
        </w:tc>
      </w:tr>
    </w:tbl>
    <w:p w14:paraId="1AD17153" w14:textId="03078449" w:rsidR="00EB46EA" w:rsidRDefault="00EB46EA" w:rsidP="009836C2">
      <w:pPr>
        <w:pStyle w:val="ManualHeading1"/>
        <w:ind w:left="0" w:firstLine="0"/>
        <w:jc w:val="center"/>
        <w:rPr>
          <w:noProof/>
        </w:rPr>
      </w:pPr>
      <w:bookmarkStart w:id="6" w:name="_Toc69768477"/>
      <w:bookmarkStart w:id="7" w:name="_Toc69768479"/>
      <w:r>
        <w:rPr>
          <w:noProof/>
        </w:rPr>
        <w:lastRenderedPageBreak/>
        <w:t>Dodatek B: Obecná kritéria zásady „významně nepoškozovat“ pro udržitelné využívání a ochranu vodních a mořských zdrojů</w:t>
      </w:r>
      <w:bookmarkEnd w:id="6"/>
    </w:p>
    <w:p w14:paraId="6FF53CC4" w14:textId="4890DDDC" w:rsidR="00EB46EA" w:rsidRDefault="00EB46EA"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Jsou zjištěna a řešena rizika zhoršování stavu životního prostředí související se zachováním kvality vody a předcházením vodnímu stresu s cílem dosáhnout dobrého stavu vod a dobrého ekologického potenciálu ve smyslu čl. 2 bodů 22 a 23 nařízení (EU) 2020/852 v souladu se směrnicí Evropského parlamentu a Rady 2000/60/ES</w:t>
      </w:r>
      <w:r>
        <w:rPr>
          <w:rStyle w:val="Znakapoznpodarou"/>
          <w:noProof/>
        </w:rPr>
        <w:footnoteReference w:id="56"/>
      </w:r>
      <w:r>
        <w:rPr>
          <w:noProof/>
        </w:rPr>
        <w:t xml:space="preserve"> a s plánem hospodaření s vodou a ochrany vod vypracovaným na základě uvedené směrnice pro potenciálně zasažený vodní útvar nebo útvary, a to po konzultaci </w:t>
      </w:r>
      <w:r w:rsidR="00934729">
        <w:rPr>
          <w:noProof/>
        </w:rPr>
        <w:br/>
      </w:r>
      <w:r>
        <w:rPr>
          <w:noProof/>
        </w:rPr>
        <w:t>s příslušnými zúčastněnými stranami.</w:t>
      </w:r>
    </w:p>
    <w:p w14:paraId="3B6B34B2" w14:textId="2649D47F" w:rsidR="00EB46EA" w:rsidRDefault="00EB46EA"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Pokud se provádí posuzování vlivů na životní prostředí v souladu se směrnicí 2011/92/EU</w:t>
      </w:r>
      <w:r>
        <w:rPr>
          <w:rStyle w:val="Znakapoznpodarou"/>
          <w:noProof/>
        </w:rPr>
        <w:footnoteReference w:id="57"/>
      </w:r>
      <w:r>
        <w:rPr>
          <w:noProof/>
        </w:rPr>
        <w:t xml:space="preserve"> a zahrnuje posouzení dopadu na vodní útvary v souladu se směrnicí Evropského parlamentu a Rady 2000/60/ES, není nutné žádné další posouzení dopadu na vodní útvary za předpokladu, že byla vyřešena zjištěná rizika.</w:t>
      </w:r>
    </w:p>
    <w:p w14:paraId="638AD6F3" w14:textId="789C1ECE" w:rsidR="00EB46EA" w:rsidRDefault="00EB46EA" w:rsidP="00EB46EA">
      <w:pPr>
        <w:pStyle w:val="ManualHeading1"/>
        <w:rPr>
          <w:noProof/>
        </w:rPr>
      </w:pPr>
      <w:r>
        <w:rPr>
          <w:noProof/>
        </w:rPr>
        <w:t xml:space="preserve">Dodatek D: Obecná kritéria zásady „významně nepoškozovat“ pro ochranu </w:t>
      </w:r>
      <w:r w:rsidR="00934729">
        <w:rPr>
          <w:noProof/>
        </w:rPr>
        <w:br/>
      </w:r>
      <w:r>
        <w:rPr>
          <w:noProof/>
        </w:rPr>
        <w:t>a obnovu biologické rozmanitosti a ekosystémů</w:t>
      </w:r>
      <w:bookmarkEnd w:id="7"/>
    </w:p>
    <w:p w14:paraId="60651692" w14:textId="77777777" w:rsidR="00EB46EA" w:rsidRDefault="00EB46EA" w:rsidP="00EB46EA">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rPr>
          <w:noProof/>
        </w:rPr>
      </w:pPr>
      <w:r>
        <w:rPr>
          <w:noProof/>
        </w:rPr>
        <w:t>Bylo provedeno posouzení vlivů na životní prostředí (EIA) nebo screening</w:t>
      </w:r>
      <w:r>
        <w:rPr>
          <w:rStyle w:val="Znakapoznpodarou"/>
          <w:noProof/>
        </w:rPr>
        <w:footnoteReference w:id="58"/>
      </w:r>
      <w:r>
        <w:rPr>
          <w:noProof/>
        </w:rPr>
        <w:t xml:space="preserve"> v souladu se směrnicí 2011/92/EU</w:t>
      </w:r>
      <w:r>
        <w:rPr>
          <w:rStyle w:val="Znakapoznpodarou"/>
          <w:noProof/>
        </w:rPr>
        <w:footnoteReference w:id="59"/>
      </w:r>
      <w:r>
        <w:rPr>
          <w:noProof/>
        </w:rPr>
        <w:t>.</w:t>
      </w:r>
    </w:p>
    <w:p w14:paraId="211FC744" w14:textId="77777777" w:rsidR="00EB46EA" w:rsidRDefault="00EB46EA" w:rsidP="00EB46EA">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rPr>
          <w:noProof/>
        </w:rPr>
      </w:pPr>
      <w:r>
        <w:rPr>
          <w:noProof/>
        </w:rPr>
        <w:t>V případě, že bylo provedeno posouzení vlivů na životní prostředí, jsou provedena požadovaná zmírňující a kompenzační opatření na ochranu životního prostředí.</w:t>
      </w:r>
    </w:p>
    <w:p w14:paraId="709ED36D" w14:textId="7969E453" w:rsidR="007B7599" w:rsidRPr="009836C2" w:rsidRDefault="00EB46EA" w:rsidP="009836C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200" w:line="276" w:lineRule="auto"/>
        <w:jc w:val="both"/>
        <w:rPr>
          <w:noProof/>
        </w:rPr>
      </w:pPr>
      <w:r>
        <w:rPr>
          <w:noProof/>
        </w:rPr>
        <w:t>U lokalit/provozů umístěných v oblastech citlivých z hlediska biologické rozmanitosti nebo v jejich blízkosti (včetně sítě chráněných oblastí Natura 2000, míst světového dědictví UNESCO a klíčových oblastí biologické rozmanitosti, jakož i dalších chráněných oblastí) bylo případně provedeno příslušné posouzení</w:t>
      </w:r>
      <w:r>
        <w:rPr>
          <w:rStyle w:val="Znakapoznpodarou"/>
          <w:noProof/>
        </w:rPr>
        <w:footnoteReference w:id="60"/>
      </w:r>
      <w:r>
        <w:rPr>
          <w:noProof/>
        </w:rPr>
        <w:t xml:space="preserve"> a na základě jeho závěrů jsou provedena nezbytná zmírňující opatření</w:t>
      </w:r>
      <w:r>
        <w:rPr>
          <w:rStyle w:val="Znakapoznpodarou"/>
          <w:noProof/>
        </w:rPr>
        <w:footnoteReference w:id="61"/>
      </w:r>
      <w:r>
        <w:rPr>
          <w:noProof/>
        </w:rPr>
        <w:t>.</w:t>
      </w:r>
    </w:p>
    <w:sectPr w:rsidR="007B7599" w:rsidRPr="009836C2" w:rsidSect="00983C0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BD65" w14:textId="77777777" w:rsidR="009836C2" w:rsidRDefault="009836C2" w:rsidP="00D0545F">
      <w:pPr>
        <w:spacing w:after="0" w:line="240" w:lineRule="auto"/>
      </w:pPr>
      <w:r>
        <w:separator/>
      </w:r>
    </w:p>
  </w:endnote>
  <w:endnote w:type="continuationSeparator" w:id="0">
    <w:p w14:paraId="1DD8637E" w14:textId="77777777" w:rsidR="009836C2" w:rsidRDefault="009836C2" w:rsidP="00D0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2DB0" w14:textId="08118641" w:rsidR="009836C2" w:rsidRDefault="009836C2" w:rsidP="000D6569">
    <w:pPr>
      <w:pStyle w:val="Zpat"/>
    </w:pPr>
  </w:p>
  <w:p w14:paraId="30C04C58" w14:textId="77777777" w:rsidR="009836C2" w:rsidRDefault="009836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7232" w14:textId="77777777" w:rsidR="009836C2" w:rsidRDefault="009836C2" w:rsidP="00D0545F">
      <w:pPr>
        <w:spacing w:after="0" w:line="240" w:lineRule="auto"/>
      </w:pPr>
      <w:r>
        <w:separator/>
      </w:r>
    </w:p>
  </w:footnote>
  <w:footnote w:type="continuationSeparator" w:id="0">
    <w:p w14:paraId="5E207C61" w14:textId="77777777" w:rsidR="009836C2" w:rsidRDefault="009836C2" w:rsidP="00D0545F">
      <w:pPr>
        <w:spacing w:after="0" w:line="240" w:lineRule="auto"/>
      </w:pPr>
      <w:r>
        <w:continuationSeparator/>
      </w:r>
    </w:p>
  </w:footnote>
  <w:footnote w:id="1">
    <w:p w14:paraId="67BC30C1" w14:textId="77777777" w:rsidR="009836C2" w:rsidRPr="004035C9" w:rsidRDefault="009836C2" w:rsidP="00115A90">
      <w:pPr>
        <w:pStyle w:val="Textpoznpodarou"/>
        <w:jc w:val="both"/>
        <w:rPr>
          <w:sz w:val="18"/>
          <w:szCs w:val="18"/>
        </w:rPr>
      </w:pPr>
      <w:r w:rsidRPr="004035C9">
        <w:rPr>
          <w:rStyle w:val="Znakapoznpodarou"/>
          <w:sz w:val="18"/>
          <w:szCs w:val="18"/>
        </w:rPr>
        <w:footnoteRef/>
      </w:r>
      <w:r w:rsidRPr="004035C9">
        <w:rPr>
          <w:sz w:val="18"/>
          <w:szCs w:val="18"/>
        </w:rPr>
        <w:t xml:space="preserve"> Systém ekoznačky EU je stanoven Nařízením Evropského parlamentu a Rady (ES) č. 66/2010 o ekoznačce EU. Seznam skupin výrobků, pro něž byla stanovena kritéria ekoznačky EU, je k dispozici na adrese: </w:t>
      </w:r>
      <w:hyperlink r:id="rId1" w:history="1">
        <w:r w:rsidRPr="004035C9">
          <w:rPr>
            <w:rStyle w:val="Hypertextovodkaz"/>
            <w:rFonts w:eastAsia="MS Gothic"/>
            <w:sz w:val="18"/>
            <w:szCs w:val="18"/>
          </w:rPr>
          <w:t>https://ec.europa.eu/environment/ecolabel/products-groups-and-criteria.html</w:t>
        </w:r>
      </w:hyperlink>
      <w:r w:rsidRPr="004035C9">
        <w:rPr>
          <w:sz w:val="18"/>
          <w:szCs w:val="18"/>
        </w:rPr>
        <w:t xml:space="preserve"> </w:t>
      </w:r>
    </w:p>
  </w:footnote>
  <w:footnote w:id="2">
    <w:p w14:paraId="39A74F0E" w14:textId="77777777" w:rsidR="009836C2" w:rsidRPr="004035C9" w:rsidRDefault="009836C2" w:rsidP="00115A90">
      <w:pPr>
        <w:pStyle w:val="Textpoznpodarou"/>
        <w:jc w:val="both"/>
        <w:rPr>
          <w:sz w:val="18"/>
          <w:szCs w:val="18"/>
        </w:rPr>
      </w:pPr>
      <w:r w:rsidRPr="004035C9">
        <w:rPr>
          <w:rStyle w:val="Znakapoznpodarou"/>
          <w:sz w:val="18"/>
          <w:szCs w:val="18"/>
        </w:rPr>
        <w:footnoteRef/>
      </w:r>
      <w:r w:rsidRPr="004035C9">
        <w:rPr>
          <w:sz w:val="18"/>
          <w:szCs w:val="18"/>
        </w:rPr>
        <w:t xml:space="preserve"> Ekoznačky typu I stanoví norma ISO 14024:2018.</w:t>
      </w:r>
    </w:p>
  </w:footnote>
  <w:footnote w:id="3">
    <w:p w14:paraId="00B5F083" w14:textId="77777777" w:rsidR="009836C2" w:rsidRPr="004035C9" w:rsidRDefault="009836C2" w:rsidP="00115A90">
      <w:pPr>
        <w:pStyle w:val="Textpoznpodarou"/>
        <w:jc w:val="both"/>
        <w:rPr>
          <w:sz w:val="18"/>
          <w:szCs w:val="18"/>
        </w:rPr>
      </w:pPr>
      <w:r w:rsidRPr="004035C9">
        <w:rPr>
          <w:rStyle w:val="Znakapoznpodarou"/>
          <w:sz w:val="18"/>
          <w:szCs w:val="18"/>
        </w:rPr>
        <w:footnoteRef/>
      </w:r>
      <w:r w:rsidRPr="004035C9">
        <w:rPr>
          <w:sz w:val="18"/>
          <w:szCs w:val="18"/>
        </w:rPr>
        <w:t xml:space="preserve"> </w:t>
      </w:r>
      <w:hyperlink r:id="rId2" w:history="1">
        <w:r w:rsidRPr="004035C9">
          <w:rPr>
            <w:rStyle w:val="Hypertextovodkaz"/>
            <w:rFonts w:eastAsia="MS Gothic"/>
            <w:sz w:val="18"/>
            <w:szCs w:val="18"/>
          </w:rPr>
          <w:t>https://ec.europa.eu/environment/emas/emas_publications/sectoral_reference_documents_en.htm</w:t>
        </w:r>
      </w:hyperlink>
      <w:r w:rsidRPr="004035C9">
        <w:rPr>
          <w:sz w:val="18"/>
          <w:szCs w:val="18"/>
        </w:rPr>
        <w:t xml:space="preserve"> </w:t>
      </w:r>
    </w:p>
  </w:footnote>
  <w:footnote w:id="4">
    <w:p w14:paraId="42B52493" w14:textId="638BEDFB" w:rsidR="009836C2" w:rsidRPr="00AD249C" w:rsidRDefault="009836C2" w:rsidP="00115A90">
      <w:pPr>
        <w:pStyle w:val="Textpoznpodarou"/>
        <w:jc w:val="both"/>
        <w:rPr>
          <w:sz w:val="18"/>
          <w:szCs w:val="18"/>
        </w:rPr>
      </w:pPr>
      <w:r w:rsidRPr="004035C9">
        <w:rPr>
          <w:rStyle w:val="Znakapoznpodarou"/>
          <w:sz w:val="18"/>
          <w:szCs w:val="18"/>
        </w:rPr>
        <w:footnoteRef/>
      </w:r>
      <w:r w:rsidRPr="004035C9">
        <w:rPr>
          <w:sz w:val="18"/>
          <w:szCs w:val="18"/>
        </w:rPr>
        <w:t xml:space="preserve"> Evropská komise stanovila kritéria EU pro zadávání zelených veřejných zakázek pro velký počet skupin výrobků: </w:t>
      </w:r>
      <w:hyperlink r:id="rId3" w:history="1">
        <w:r w:rsidRPr="004035C9">
          <w:rPr>
            <w:rStyle w:val="Hypertextovodkaz"/>
            <w:rFonts w:eastAsia="Cambria"/>
            <w:sz w:val="18"/>
            <w:szCs w:val="18"/>
          </w:rPr>
          <w:t>Kritéria pro zadávání zelených veřejných zakázek pro infrastrukturu odpadních vod – Regionální politika – Evropská komise (europa.eu)</w:t>
        </w:r>
      </w:hyperlink>
    </w:p>
  </w:footnote>
  <w:footnote w:id="5">
    <w:p w14:paraId="6A08BB2C" w14:textId="77777777" w:rsidR="009836C2" w:rsidRPr="00AD249C" w:rsidRDefault="009836C2" w:rsidP="00137B1B">
      <w:pPr>
        <w:pStyle w:val="Textpoznpodarou"/>
        <w:jc w:val="both"/>
        <w:rPr>
          <w:sz w:val="18"/>
          <w:szCs w:val="18"/>
        </w:rPr>
      </w:pPr>
      <w:r w:rsidRPr="00AD249C">
        <w:rPr>
          <w:rStyle w:val="Znakapoznpodarou"/>
          <w:sz w:val="18"/>
          <w:szCs w:val="18"/>
        </w:rPr>
        <w:footnoteRef/>
      </w:r>
      <w:r w:rsidRPr="00AD249C">
        <w:rPr>
          <w:sz w:val="18"/>
          <w:szCs w:val="18"/>
        </w:rPr>
        <w:t xml:space="preserve"> Tento typ podpůrných důkazů se uplatňuje na činnosti spadající do oblasti působnosti směrnice 2010/75/EU („směrnice o průmyslových emisích“). Seznam dostupných závěrů o BAT a BREF je k dispozici na adrese: </w:t>
      </w:r>
      <w:hyperlink r:id="rId4" w:history="1">
        <w:r w:rsidRPr="00AD249C">
          <w:rPr>
            <w:rStyle w:val="Hypertextovodkaz"/>
            <w:rFonts w:eastAsia="MS Gothic"/>
            <w:sz w:val="18"/>
            <w:szCs w:val="18"/>
          </w:rPr>
          <w:t xml:space="preserve">https://eippcb.jrc.ec.europa.eu/reference </w:t>
        </w:r>
      </w:hyperlink>
      <w:r w:rsidRPr="00AD249C">
        <w:rPr>
          <w:sz w:val="18"/>
          <w:szCs w:val="18"/>
        </w:rPr>
        <w:t xml:space="preserve"> </w:t>
      </w:r>
    </w:p>
  </w:footnote>
  <w:footnote w:id="6">
    <w:p w14:paraId="5CE43ED6" w14:textId="77777777" w:rsidR="009836C2" w:rsidRPr="00AD249C" w:rsidRDefault="009836C2" w:rsidP="00137B1B">
      <w:pPr>
        <w:pStyle w:val="Textpoznpodarou"/>
        <w:jc w:val="both"/>
        <w:rPr>
          <w:sz w:val="18"/>
          <w:szCs w:val="18"/>
        </w:rPr>
      </w:pPr>
      <w:r w:rsidRPr="00AD249C">
        <w:rPr>
          <w:rStyle w:val="Znakapoznpodarou"/>
          <w:sz w:val="18"/>
          <w:szCs w:val="18"/>
        </w:rPr>
        <w:footnoteRef/>
      </w:r>
      <w:r w:rsidRPr="00AD249C">
        <w:rPr>
          <w:sz w:val="18"/>
          <w:szCs w:val="18"/>
        </w:rPr>
        <w:t xml:space="preserve"> Tato otázka se zabývá prevencí a omezováním znečištění způsobeného průmyslovými činnostmi. Ustanovení čl. 3 bodu 18 směrnice 2010/75/EU („směrnice o průmyslových emisích“) definuje „nebezpečné látky“ jako: „látky nebo směsi vymezené v článku 3 nařízení Evropského parlamentu a Rady (ES) č. 1272/2008 o klasifikaci, označování a balení látek a směsí“. Článek 58 směrnice o průmyslových emisích dále stanoví: „Látky nebo směsi, které jsou z důvodu obsahu těkavých organických sloučenin klasifikovány nařízením (ES) č. 1272/2008 jako karcinogenní, mutagenní nebo toxické pro reprodukci a kterým jsou přiřazeny standardní věty o nebezpečnosti H340, H350, H350i, H360D nebo H360F nebo které musí být těmito větami označovány, musí být co nejdříve a v nejvyšší možné míře nahrazeny méně škodlivými látkami nebo směsmi.“</w:t>
      </w:r>
    </w:p>
  </w:footnote>
  <w:footnote w:id="7">
    <w:p w14:paraId="3B4B6F2F" w14:textId="77777777" w:rsidR="009836C2" w:rsidRPr="00AD249C" w:rsidRDefault="009836C2" w:rsidP="00137B1B">
      <w:pPr>
        <w:pStyle w:val="Textpoznpodarou"/>
        <w:jc w:val="both"/>
        <w:rPr>
          <w:sz w:val="18"/>
          <w:szCs w:val="18"/>
        </w:rPr>
      </w:pPr>
      <w:r w:rsidRPr="00AD249C">
        <w:rPr>
          <w:rStyle w:val="Znakapoznpodarou"/>
          <w:sz w:val="18"/>
          <w:szCs w:val="18"/>
        </w:rPr>
        <w:footnoteRef/>
      </w:r>
      <w:r w:rsidRPr="00AD249C">
        <w:rPr>
          <w:sz w:val="18"/>
          <w:szCs w:val="18"/>
        </w:rPr>
        <w:t xml:space="preserve"> Jak je stanoveno ve směrnici 2009/128/ES o udržitelném používání.</w:t>
      </w:r>
    </w:p>
  </w:footnote>
  <w:footnote w:id="8">
    <w:p w14:paraId="57F536F0" w14:textId="77777777" w:rsidR="009836C2" w:rsidRPr="00AD249C" w:rsidRDefault="009836C2" w:rsidP="00137B1B">
      <w:pPr>
        <w:pStyle w:val="Textpoznpodarou"/>
        <w:jc w:val="both"/>
        <w:rPr>
          <w:sz w:val="18"/>
          <w:szCs w:val="18"/>
        </w:rPr>
      </w:pPr>
      <w:r w:rsidRPr="00AD249C">
        <w:rPr>
          <w:rStyle w:val="Znakapoznpodarou"/>
          <w:sz w:val="18"/>
          <w:szCs w:val="18"/>
        </w:rPr>
        <w:footnoteRef/>
      </w:r>
      <w:r w:rsidRPr="00AD249C">
        <w:rPr>
          <w:sz w:val="18"/>
          <w:szCs w:val="18"/>
        </w:rPr>
        <w:t xml:space="preserve"> Závěry Rady o dalších krocích k tomu, aby se EU stala regionem osvědčených postupů v boji proti antimikrobiální rezistenci (2019/C 214/01): </w:t>
      </w:r>
    </w:p>
    <w:p w14:paraId="75497F5C" w14:textId="77777777" w:rsidR="009836C2" w:rsidRDefault="00597684" w:rsidP="00137B1B">
      <w:pPr>
        <w:pStyle w:val="Textpoznpodarou"/>
        <w:jc w:val="both"/>
      </w:pPr>
      <w:hyperlink r:id="rId5" w:history="1">
        <w:r w:rsidR="009836C2" w:rsidRPr="00AD249C">
          <w:rPr>
            <w:rStyle w:val="Hypertextovodkaz"/>
            <w:rFonts w:eastAsia="MS Gothic"/>
            <w:sz w:val="18"/>
            <w:szCs w:val="18"/>
          </w:rPr>
          <w:t>https://eur-lex.europa.eu/legal-content/CS/TXT/?uri=uriserv%3AOJ.C_.2019.214.01.0001.01.CES&amp;toc=OJ%3AC%3A2019%3A214%3AFULL</w:t>
        </w:r>
      </w:hyperlink>
      <w:r w:rsidR="009836C2">
        <w:t xml:space="preserve"> </w:t>
      </w:r>
    </w:p>
  </w:footnote>
  <w:footnote w:id="9">
    <w:p w14:paraId="2870A950" w14:textId="77777777" w:rsidR="009836C2" w:rsidRPr="00AD249C" w:rsidRDefault="009836C2" w:rsidP="00137B1B">
      <w:pPr>
        <w:pStyle w:val="Textpoznpodarou"/>
        <w:rPr>
          <w:sz w:val="18"/>
          <w:szCs w:val="18"/>
        </w:rPr>
      </w:pPr>
      <w:r w:rsidRPr="00AD249C">
        <w:rPr>
          <w:rStyle w:val="Znakapoznpodarou"/>
          <w:sz w:val="18"/>
          <w:szCs w:val="18"/>
        </w:rPr>
        <w:footnoteRef/>
      </w:r>
      <w:r w:rsidRPr="00AD249C">
        <w:rPr>
          <w:sz w:val="18"/>
          <w:szCs w:val="18"/>
        </w:rPr>
        <w:t xml:space="preserve"> V souladu s metodickými pokyny k ustanovením čl. 6 odst. 3 a 4 směrnice o ochraně přírodních stanovišť 92/43/EHS: </w:t>
      </w:r>
      <w:hyperlink r:id="rId6" w:history="1">
        <w:r w:rsidRPr="00AD249C">
          <w:rPr>
            <w:rStyle w:val="Hypertextovodkaz"/>
            <w:rFonts w:eastAsia="MS Gothic"/>
            <w:sz w:val="18"/>
            <w:szCs w:val="18"/>
          </w:rPr>
          <w:t>https://eur-lex.europa.eu/legal-content/CS/TXT/?uri=uriserv%3AOJ.C_.2021.437.01.0001.01.CES&amp;toc=OJ%3AC%3A2021%3A437%3AFULL</w:t>
        </w:r>
      </w:hyperlink>
      <w:r w:rsidRPr="00AD249C">
        <w:rPr>
          <w:sz w:val="18"/>
          <w:szCs w:val="18"/>
        </w:rPr>
        <w:t xml:space="preserve"> </w:t>
      </w:r>
    </w:p>
  </w:footnote>
  <w:footnote w:id="10">
    <w:p w14:paraId="17FF0970" w14:textId="3925E195" w:rsidR="009836C2" w:rsidRDefault="009836C2">
      <w:pPr>
        <w:pStyle w:val="Textpoznpodarou"/>
      </w:pPr>
      <w:r>
        <w:rPr>
          <w:rStyle w:val="Znakapoznpodarou"/>
        </w:rPr>
        <w:footnoteRef/>
      </w:r>
      <w:r>
        <w:t xml:space="preserve"> </w:t>
      </w:r>
      <w:r w:rsidRPr="006875C0">
        <w:rPr>
          <w:i/>
          <w:iCs/>
          <w:noProof/>
          <w:sz w:val="18"/>
          <w:szCs w:val="18"/>
        </w:rPr>
        <w:t>Technická screeningová kritéria kapitola 7</w:t>
      </w:r>
    </w:p>
  </w:footnote>
  <w:footnote w:id="11">
    <w:p w14:paraId="013F797B" w14:textId="0EDF2C4E" w:rsidR="009836C2" w:rsidRDefault="009836C2" w:rsidP="001B709B">
      <w:pPr>
        <w:pStyle w:val="Textpoznpodarou"/>
        <w:rPr>
          <w:rFonts w:cs="Calibri"/>
        </w:rPr>
      </w:pPr>
      <w:r>
        <w:rPr>
          <w:rStyle w:val="Znakapoznpodarou"/>
        </w:rPr>
        <w:footnoteRef/>
      </w:r>
      <w:r>
        <w:t xml:space="preserve"> </w:t>
      </w:r>
      <w:r w:rsidRPr="00615EE2">
        <w:rPr>
          <w:sz w:val="18"/>
          <w:szCs w:val="18"/>
        </w:rPr>
        <w:t>Vypočtené množství energie nutné k pokrytí energetické potřeby spojené s typickým využitím budovy, vyjádřené číselným ukazatelem celkové spotřeby primární energie v kWh/m2 za rok a vycházející z příslušné národní metodiky výpočtu, které je uvedeno v průkazu energetické náročnosti.</w:t>
      </w:r>
    </w:p>
  </w:footnote>
  <w:footnote w:id="12">
    <w:p w14:paraId="7B24173B" w14:textId="072EC00F" w:rsidR="009836C2" w:rsidRPr="00615EE2" w:rsidRDefault="009836C2" w:rsidP="001B709B">
      <w:pPr>
        <w:pStyle w:val="Textpoznpodarou"/>
        <w:rPr>
          <w:rFonts w:cs="Calibri"/>
          <w:sz w:val="18"/>
          <w:szCs w:val="18"/>
        </w:rPr>
      </w:pPr>
      <w:r>
        <w:rPr>
          <w:rStyle w:val="Znakapoznpodarou"/>
        </w:rPr>
        <w:footnoteRef/>
      </w:r>
      <w:r>
        <w:t xml:space="preserve"> </w:t>
      </w:r>
      <w:r w:rsidRPr="00615EE2">
        <w:rPr>
          <w:sz w:val="18"/>
          <w:szCs w:val="18"/>
        </w:rPr>
        <w:t>Směrnice Evropského parlamentu a Rady 2010/31/EU ze dne 19. května 2010 o energetické náročnosti budov (Úř. věst. L 153, 18.6.2010, s. 13).</w:t>
      </w:r>
    </w:p>
  </w:footnote>
  <w:footnote w:id="13">
    <w:p w14:paraId="5EDD0C17" w14:textId="0F3B5D0F" w:rsidR="009836C2" w:rsidRPr="00615EE2" w:rsidRDefault="009836C2" w:rsidP="001B709B">
      <w:pPr>
        <w:pStyle w:val="Textpoznpodarou"/>
        <w:rPr>
          <w:sz w:val="18"/>
          <w:szCs w:val="18"/>
        </w:rPr>
      </w:pPr>
      <w:r>
        <w:rPr>
          <w:rStyle w:val="Znakapoznpodarou"/>
        </w:rPr>
        <w:footnoteRef/>
      </w:r>
      <w:r>
        <w:t xml:space="preserve"> </w:t>
      </w:r>
      <w:r w:rsidRPr="00615EE2">
        <w:rPr>
          <w:sz w:val="18"/>
          <w:szCs w:val="18"/>
        </w:rPr>
        <w:t>U bytových budov se zkoušky provádějí pro reprezentativní soubor druhů bytových jednotek.</w:t>
      </w:r>
    </w:p>
  </w:footnote>
  <w:footnote w:id="14">
    <w:p w14:paraId="6125C03F" w14:textId="5245767D" w:rsidR="009836C2" w:rsidRPr="00615EE2" w:rsidRDefault="009836C2" w:rsidP="001B709B">
      <w:pPr>
        <w:pStyle w:val="Textpoznpodarou"/>
        <w:rPr>
          <w:rFonts w:cs="Calibri"/>
          <w:sz w:val="18"/>
          <w:szCs w:val="18"/>
        </w:rPr>
      </w:pPr>
      <w:r w:rsidRPr="00615EE2">
        <w:rPr>
          <w:rStyle w:val="Znakapoznpodarou"/>
          <w:sz w:val="18"/>
          <w:szCs w:val="18"/>
        </w:rPr>
        <w:footnoteRef/>
      </w:r>
      <w:r w:rsidRPr="00615EE2">
        <w:rPr>
          <w:sz w:val="18"/>
          <w:szCs w:val="18"/>
        </w:rPr>
        <w:t xml:space="preserve"> Zkoušky se provádějí v souladu s normou EN 13187 (Tepelné chování budov – Kvalitativní určení tepelných nepravidelností v pláštích budov – Infračervená metoda) a EN 13829 (Tepelné chování budov – Stanovení průvzdušnosti budov – Tlaková metoda) nebo rovnocennými normami akceptovanými příslušným stavebním kontrolním orgánem v místě, kde se budova nachází. </w:t>
      </w:r>
    </w:p>
  </w:footnote>
  <w:footnote w:id="15">
    <w:p w14:paraId="004D0E54" w14:textId="0EA60353" w:rsidR="009836C2" w:rsidRPr="00615EE2" w:rsidRDefault="009836C2" w:rsidP="001B709B">
      <w:pPr>
        <w:pStyle w:val="Textpoznpodarou"/>
        <w:rPr>
          <w:sz w:val="18"/>
          <w:szCs w:val="18"/>
        </w:rPr>
      </w:pPr>
      <w:r w:rsidRPr="00615EE2">
        <w:rPr>
          <w:rStyle w:val="Znakapoznpodarou"/>
          <w:sz w:val="18"/>
          <w:szCs w:val="18"/>
        </w:rPr>
        <w:footnoteRef/>
      </w:r>
      <w:r w:rsidRPr="00615EE2">
        <w:rPr>
          <w:sz w:val="18"/>
          <w:szCs w:val="18"/>
        </w:rPr>
        <w:t xml:space="preserve"> U bytových budov jsou údaje vypočteny a sděleny pro reprezentativní soubor druhů bytových jednotek.</w:t>
      </w:r>
    </w:p>
  </w:footnote>
  <w:footnote w:id="16">
    <w:p w14:paraId="272B4D09" w14:textId="73F6DBB3" w:rsidR="009836C2" w:rsidRPr="00615EE2" w:rsidRDefault="009836C2" w:rsidP="001B709B">
      <w:pPr>
        <w:pStyle w:val="Textpoznpodarou"/>
        <w:rPr>
          <w:rFonts w:cs="Calibri"/>
          <w:sz w:val="18"/>
          <w:szCs w:val="18"/>
        </w:rPr>
      </w:pPr>
      <w:r w:rsidRPr="00615EE2">
        <w:rPr>
          <w:rStyle w:val="Znakapoznpodarou"/>
          <w:sz w:val="18"/>
          <w:szCs w:val="18"/>
        </w:rPr>
        <w:footnoteRef/>
      </w:r>
      <w:r w:rsidRPr="00615EE2">
        <w:rPr>
          <w:sz w:val="18"/>
          <w:szCs w:val="18"/>
        </w:rPr>
        <w:t xml:space="preserve"> Potenciál globálního oteplování je uveden jako číselný ukazatel pro každou fázi životního cyklu vyjádřený v kg ekvivalentu CO</w:t>
      </w:r>
      <w:r w:rsidRPr="00615EE2">
        <w:rPr>
          <w:sz w:val="18"/>
          <w:szCs w:val="18"/>
          <w:vertAlign w:val="superscript"/>
        </w:rPr>
        <w:t>2</w:t>
      </w:r>
      <w:r w:rsidRPr="00615EE2">
        <w:rPr>
          <w:sz w:val="18"/>
          <w:szCs w:val="18"/>
        </w:rPr>
        <w:t xml:space="preserve"> (užitné vnitřní podlahové plochy) jako roční průměr z 50letého referenčního období. Výběr údajů, vymezení scénářů a výpočty se provádějí v souladu s normou EN 15978 (BS EN 15978:2011. Udržitelnost staveb – Posuzování environmentálních vlastností budov – Výpočtová metoda). Rozsah stavebních prvků a technického vybavení odpovídá definicím uvedeným ve společném rámci EU Level(s) pro ukazatel 1.2. Pokud existuje vnitrostátní výpočetní nástroj nebo pokud je tento nástroj nutný pro sdělování informací nebo pro získávání stavebních povolení, lze k poskytnutí požadovaných údajů použít příslušný nástroj. Lze použít i jiné výpočetní nástroje, pokud splňují minimální kritéria stanovená společným rámcem EU Level(s) (verze ze dne [datum přijetí]: </w:t>
      </w:r>
      <w:hyperlink r:id="rId7" w:history="1">
        <w:r w:rsidRPr="00615EE2">
          <w:rPr>
            <w:rStyle w:val="Hypertextovodkaz"/>
            <w:sz w:val="18"/>
            <w:szCs w:val="18"/>
          </w:rPr>
          <w:t>https://susproc.jrc.ec.europa.eu/product-bureau/product-groups/412/documents</w:t>
        </w:r>
      </w:hyperlink>
      <w:r w:rsidRPr="00615EE2">
        <w:rPr>
          <w:sz w:val="18"/>
          <w:szCs w:val="18"/>
        </w:rPr>
        <w:t>), viz uživatelská příručka pro ukazatel 1.2.</w:t>
      </w:r>
    </w:p>
  </w:footnote>
  <w:footnote w:id="17">
    <w:p w14:paraId="2A083D5A" w14:textId="6F421E84" w:rsidR="009836C2" w:rsidRPr="00C654EC" w:rsidRDefault="009836C2" w:rsidP="009A44CD">
      <w:pPr>
        <w:spacing w:line="360" w:lineRule="auto"/>
        <w:rPr>
          <w:rFonts w:cstheme="minorHAnsi"/>
        </w:rPr>
      </w:pPr>
      <w:r w:rsidRPr="00615EE2">
        <w:rPr>
          <w:rStyle w:val="Znakapoznpodarou"/>
          <w:rFonts w:ascii="Calibri" w:eastAsia="Times New Roman" w:hAnsi="Calibri" w:cs="Times New Roman"/>
          <w:sz w:val="18"/>
          <w:szCs w:val="18"/>
          <w:lang w:eastAsia="cs-CZ"/>
        </w:rPr>
        <w:footnoteRef/>
      </w:r>
      <w:r w:rsidRPr="00615EE2">
        <w:rPr>
          <w:sz w:val="18"/>
          <w:szCs w:val="18"/>
        </w:rPr>
        <w:t xml:space="preserve">  </w:t>
      </w:r>
      <w:r w:rsidRPr="00615EE2">
        <w:rPr>
          <w:rFonts w:ascii="Calibri" w:eastAsia="Times New Roman" w:hAnsi="Calibri" w:cs="Times New Roman"/>
          <w:sz w:val="18"/>
          <w:szCs w:val="18"/>
          <w:lang w:eastAsia="cs-CZ"/>
        </w:rPr>
        <w:t xml:space="preserve">Viz </w:t>
      </w:r>
      <w:bookmarkStart w:id="3" w:name="_Toc69768454"/>
      <w:r w:rsidRPr="00615EE2">
        <w:rPr>
          <w:rFonts w:ascii="Calibri" w:eastAsia="Times New Roman" w:hAnsi="Calibri" w:cs="Times New Roman"/>
          <w:sz w:val="18"/>
          <w:szCs w:val="18"/>
          <w:lang w:eastAsia="cs-CZ"/>
        </w:rPr>
        <w:t>7.1.Výstavba nových budov</w:t>
      </w:r>
      <w:bookmarkEnd w:id="3"/>
      <w:r>
        <w:rPr>
          <w:rFonts w:ascii="Calibri" w:eastAsia="Times New Roman" w:hAnsi="Calibri"/>
          <w:sz w:val="20"/>
          <w:szCs w:val="20"/>
          <w:lang w:eastAsia="cs-CZ"/>
        </w:rPr>
        <w:t xml:space="preserve"> </w:t>
      </w:r>
      <w:hyperlink r:id="rId8" w:history="1">
        <w:r w:rsidRPr="00615EE2">
          <w:rPr>
            <w:rStyle w:val="Hypertextovodkaz"/>
            <w:rFonts w:ascii="Calibri" w:eastAsia="Times New Roman" w:hAnsi="Calibri" w:cs="Times New Roman"/>
            <w:sz w:val="18"/>
            <w:szCs w:val="18"/>
            <w:lang w:eastAsia="cs-CZ"/>
          </w:rPr>
          <w:t>https://eurlex.europa.eu/legalcontent/CS/TXT/?uri=PI_COM%3AC%282021%292800</w:t>
        </w:r>
      </w:hyperlink>
    </w:p>
    <w:p w14:paraId="14AE9AB2" w14:textId="19265DF8" w:rsidR="009836C2" w:rsidRPr="007B7599" w:rsidRDefault="009836C2" w:rsidP="007B7599">
      <w:pPr>
        <w:pStyle w:val="ManualHeading2"/>
        <w:tabs>
          <w:tab w:val="clear" w:pos="850"/>
          <w:tab w:val="left" w:pos="709"/>
        </w:tabs>
        <w:jc w:val="left"/>
        <w:rPr>
          <w:rFonts w:eastAsia="Times New Roman"/>
          <w:noProof/>
        </w:rPr>
      </w:pPr>
    </w:p>
    <w:p w14:paraId="4CF9205F" w14:textId="097159DC" w:rsidR="009836C2" w:rsidRDefault="009836C2">
      <w:pPr>
        <w:pStyle w:val="Textpoznpodarou"/>
      </w:pPr>
    </w:p>
  </w:footnote>
  <w:footnote w:id="18">
    <w:p w14:paraId="3114D08A" w14:textId="33EDDA08" w:rsidR="009836C2" w:rsidRPr="00615EE2" w:rsidRDefault="009836C2" w:rsidP="006875C0">
      <w:pPr>
        <w:pStyle w:val="Textpoznpodarou"/>
        <w:jc w:val="both"/>
        <w:rPr>
          <w:sz w:val="18"/>
          <w:szCs w:val="18"/>
        </w:rPr>
      </w:pPr>
      <w:r w:rsidRPr="00615EE2">
        <w:rPr>
          <w:rStyle w:val="Znakapoznpodarou"/>
          <w:sz w:val="18"/>
          <w:szCs w:val="18"/>
        </w:rPr>
        <w:footnoteRef/>
      </w:r>
      <w:r w:rsidRPr="00615EE2">
        <w:rPr>
          <w:sz w:val="18"/>
          <w:szCs w:val="18"/>
        </w:rPr>
        <w:t xml:space="preserve"> Protokol EU pro nakládání se stavebním a demoličním odpadem (verze ze dne [datum přijetí]: https://ec.europa.eu/growth/content/eu-construction-and-demolition-waste-protocol-0_en).</w:t>
      </w:r>
    </w:p>
  </w:footnote>
  <w:footnote w:id="19">
    <w:p w14:paraId="0690FFEC" w14:textId="7DB0F38F" w:rsidR="009836C2" w:rsidRPr="00615EE2" w:rsidRDefault="009836C2" w:rsidP="006875C0">
      <w:pPr>
        <w:pStyle w:val="Textpoznpodarou"/>
        <w:jc w:val="both"/>
        <w:rPr>
          <w:sz w:val="18"/>
          <w:szCs w:val="18"/>
        </w:rPr>
      </w:pPr>
      <w:r w:rsidRPr="00615EE2">
        <w:rPr>
          <w:rStyle w:val="Znakapoznpodarou"/>
          <w:sz w:val="18"/>
          <w:szCs w:val="18"/>
        </w:rPr>
        <w:footnoteRef/>
      </w:r>
      <w:r w:rsidRPr="00615EE2">
        <w:rPr>
          <w:sz w:val="18"/>
          <w:szCs w:val="18"/>
        </w:rPr>
        <w:t xml:space="preserve"> ISO 20887:2020, Udržitelnost u budov a inženýrských staveb – Návrh umožňující demontáž a přizpůsobivost – Zásady, požadavky a pokyny (verze ze dne [datum přijetí]: https://www.iso.org/standard/69370.html).</w:t>
      </w:r>
    </w:p>
  </w:footnote>
  <w:footnote w:id="20">
    <w:p w14:paraId="6045D9BE" w14:textId="57B624F3" w:rsidR="009836C2" w:rsidRPr="00615EE2" w:rsidRDefault="009836C2" w:rsidP="006875C0">
      <w:pPr>
        <w:pStyle w:val="Textpoznpodarou"/>
        <w:jc w:val="both"/>
        <w:rPr>
          <w:sz w:val="18"/>
          <w:szCs w:val="18"/>
        </w:rPr>
      </w:pPr>
      <w:r w:rsidRPr="00615EE2">
        <w:rPr>
          <w:rStyle w:val="Znakapoznpodarou"/>
          <w:sz w:val="18"/>
          <w:szCs w:val="18"/>
        </w:rPr>
        <w:footnoteRef/>
      </w:r>
      <w:r w:rsidRPr="00615EE2">
        <w:rPr>
          <w:sz w:val="18"/>
          <w:szCs w:val="18"/>
        </w:rPr>
        <w:t xml:space="preserve"> Platí pro barvy a laky, obklady stropů, podlahové krytiny, včetně použitých lepidel a tmelů, vnitřní izolaci a vnitřní povrchové úpravy, jako je ošetření proti vlhkosti a plísni.</w:t>
      </w:r>
    </w:p>
  </w:footnote>
  <w:footnote w:id="21">
    <w:p w14:paraId="72BF42C2" w14:textId="77A53171" w:rsidR="009836C2" w:rsidRPr="00615EE2" w:rsidRDefault="009836C2" w:rsidP="006875C0">
      <w:pPr>
        <w:pStyle w:val="Textpoznpodarou"/>
        <w:jc w:val="both"/>
        <w:rPr>
          <w:sz w:val="18"/>
          <w:szCs w:val="18"/>
        </w:rPr>
      </w:pPr>
      <w:r w:rsidRPr="00615EE2">
        <w:rPr>
          <w:rStyle w:val="Znakapoznpodarou"/>
          <w:sz w:val="18"/>
          <w:szCs w:val="18"/>
        </w:rPr>
        <w:footnoteRef/>
      </w:r>
      <w:r w:rsidRPr="00615EE2">
        <w:rPr>
          <w:sz w:val="18"/>
          <w:szCs w:val="18"/>
        </w:rPr>
        <w:t xml:space="preserve"> CEN/TS 16516: 2013, Stavební výrobky – Posuzování uvolňování nebezpečných látek – Stanovení emisí do vnitřního ovzduší.</w:t>
      </w:r>
    </w:p>
  </w:footnote>
  <w:footnote w:id="22">
    <w:p w14:paraId="2E710C88" w14:textId="379AA657" w:rsidR="009836C2" w:rsidRPr="00615EE2" w:rsidRDefault="009836C2" w:rsidP="006875C0">
      <w:pPr>
        <w:pStyle w:val="Textpoznpodarou"/>
        <w:jc w:val="both"/>
        <w:rPr>
          <w:sz w:val="18"/>
          <w:szCs w:val="18"/>
        </w:rPr>
      </w:pPr>
      <w:r w:rsidRPr="00615EE2">
        <w:rPr>
          <w:rStyle w:val="Znakapoznpodarou"/>
          <w:sz w:val="18"/>
          <w:szCs w:val="18"/>
        </w:rPr>
        <w:footnoteRef/>
      </w:r>
      <w:r w:rsidRPr="00615EE2">
        <w:rPr>
          <w:sz w:val="18"/>
          <w:szCs w:val="18"/>
        </w:rPr>
        <w:t xml:space="preserve"> ISO 16000-3:2011, Vnitřní ovzduší – Část 3: Stanovení formaldehydu a dalších karbonylových sloučenin ve vnitřním ovzduší a ve zkušební komoře – Aktivní metoda odběru vzorků (verze ze dne [datum přijetí]: https://www.iso.org/standard/51812.html).</w:t>
      </w:r>
    </w:p>
  </w:footnote>
  <w:footnote w:id="23">
    <w:p w14:paraId="41FA8137" w14:textId="1131F3FF" w:rsidR="009836C2" w:rsidRPr="00615EE2" w:rsidRDefault="009836C2" w:rsidP="006875C0">
      <w:pPr>
        <w:pStyle w:val="Textpoznpodarou"/>
        <w:jc w:val="both"/>
        <w:rPr>
          <w:sz w:val="18"/>
          <w:szCs w:val="18"/>
        </w:rPr>
      </w:pPr>
      <w:r w:rsidRPr="00615EE2">
        <w:rPr>
          <w:rStyle w:val="Znakapoznpodarou"/>
          <w:sz w:val="18"/>
          <w:szCs w:val="18"/>
        </w:rPr>
        <w:footnoteRef/>
      </w:r>
      <w:r w:rsidRPr="00615EE2">
        <w:rPr>
          <w:sz w:val="18"/>
          <w:szCs w:val="18"/>
        </w:rPr>
        <w:t xml:space="preserve"> Mezní hodnoty emisí pro karcinogenní těkavé organické sloučeniny se vztahují k 28dennímu zkušebnímu období.</w:t>
      </w:r>
    </w:p>
  </w:footnote>
  <w:footnote w:id="24">
    <w:p w14:paraId="423C0395" w14:textId="140864BC" w:rsidR="009836C2" w:rsidRPr="00615EE2" w:rsidRDefault="009836C2" w:rsidP="006875C0">
      <w:pPr>
        <w:pStyle w:val="Textpoznpodarou"/>
        <w:jc w:val="both"/>
        <w:rPr>
          <w:sz w:val="18"/>
          <w:szCs w:val="18"/>
        </w:rPr>
      </w:pPr>
      <w:r w:rsidRPr="00615EE2">
        <w:rPr>
          <w:rStyle w:val="Znakapoznpodarou"/>
          <w:sz w:val="18"/>
          <w:szCs w:val="18"/>
        </w:rPr>
        <w:footnoteRef/>
      </w:r>
      <w:r w:rsidRPr="00615EE2">
        <w:rPr>
          <w:sz w:val="18"/>
          <w:szCs w:val="18"/>
        </w:rPr>
        <w:t xml:space="preserve"> ISO 18400 série Kvalita půdy – Odběr vzorků.</w:t>
      </w:r>
    </w:p>
  </w:footnote>
  <w:footnote w:id="25">
    <w:p w14:paraId="1244F915" w14:textId="48BCCF23" w:rsidR="009836C2" w:rsidRPr="00615EE2" w:rsidRDefault="009836C2" w:rsidP="006875C0">
      <w:pPr>
        <w:pStyle w:val="Textpoznpodarou"/>
        <w:jc w:val="both"/>
        <w:rPr>
          <w:rFonts w:cs="Calibri"/>
          <w:sz w:val="18"/>
          <w:szCs w:val="18"/>
        </w:rPr>
      </w:pPr>
      <w:r w:rsidRPr="00615EE2">
        <w:rPr>
          <w:rStyle w:val="Znakapoznpodarou"/>
          <w:sz w:val="18"/>
          <w:szCs w:val="18"/>
        </w:rPr>
        <w:footnoteRef/>
      </w:r>
      <w:r w:rsidRPr="00615EE2">
        <w:rPr>
          <w:sz w:val="18"/>
          <w:szCs w:val="18"/>
        </w:rPr>
        <w:t xml:space="preserve"> JRC ESDCA, LUCAS: rámcový průzkum využití půdy a krajinného pokryvu (verze ze dne [datum přijetí]: https://esdac.jrc.ec.europa.eu/projects/lucas).</w:t>
      </w:r>
    </w:p>
  </w:footnote>
  <w:footnote w:id="26">
    <w:p w14:paraId="7B145FB6" w14:textId="4869D5CB" w:rsidR="009836C2" w:rsidRPr="00615EE2" w:rsidRDefault="009836C2" w:rsidP="006875C0">
      <w:pPr>
        <w:pStyle w:val="Textpoznpodarou"/>
        <w:jc w:val="both"/>
        <w:rPr>
          <w:sz w:val="18"/>
          <w:szCs w:val="18"/>
        </w:rPr>
      </w:pPr>
      <w:r w:rsidRPr="00615EE2">
        <w:rPr>
          <w:rStyle w:val="Znakapoznpodarou"/>
          <w:sz w:val="18"/>
          <w:szCs w:val="18"/>
        </w:rPr>
        <w:footnoteRef/>
      </w:r>
      <w:r w:rsidRPr="00615EE2">
        <w:rPr>
          <w:sz w:val="18"/>
          <w:szCs w:val="18"/>
        </w:rPr>
        <w:t xml:space="preserve"> </w:t>
      </w:r>
      <w:r w:rsidRPr="00615EE2">
        <w:rPr>
          <w:color w:val="080100"/>
          <w:sz w:val="18"/>
          <w:szCs w:val="18"/>
          <w:shd w:val="clear" w:color="auto" w:fill="FFFFFF"/>
        </w:rPr>
        <w:t xml:space="preserve">IUCN, </w:t>
      </w:r>
      <w:r w:rsidRPr="00615EE2">
        <w:rPr>
          <w:rStyle w:val="Zdraznn"/>
          <w:color w:val="080100"/>
          <w:sz w:val="18"/>
          <w:szCs w:val="18"/>
          <w:bdr w:val="none" w:sz="0" w:space="0" w:color="auto" w:frame="1"/>
        </w:rPr>
        <w:t xml:space="preserve">Evropský červený seznam ohrožených druhů IUCN (verze ze dne [datum přijetí]: </w:t>
      </w:r>
      <w:r w:rsidRPr="00615EE2">
        <w:rPr>
          <w:color w:val="080100"/>
          <w:sz w:val="18"/>
          <w:szCs w:val="18"/>
          <w:shd w:val="clear" w:color="auto" w:fill="FFFFFF"/>
        </w:rPr>
        <w:t>https://www.iucn.org/regions/europe/our-work/biodiversity-conservation/european-red-list-threatened-species).</w:t>
      </w:r>
    </w:p>
  </w:footnote>
  <w:footnote w:id="27">
    <w:p w14:paraId="57A8B516" w14:textId="51275AFF" w:rsidR="009836C2" w:rsidRDefault="009836C2" w:rsidP="006875C0">
      <w:pPr>
        <w:pStyle w:val="Textpoznpodarou"/>
        <w:jc w:val="both"/>
      </w:pPr>
      <w:r w:rsidRPr="00615EE2">
        <w:rPr>
          <w:rStyle w:val="Znakapoznpodarou"/>
          <w:sz w:val="18"/>
          <w:szCs w:val="18"/>
        </w:rPr>
        <w:footnoteRef/>
      </w:r>
      <w:r w:rsidRPr="00615EE2">
        <w:rPr>
          <w:sz w:val="18"/>
          <w:szCs w:val="18"/>
        </w:rPr>
        <w:t xml:space="preserve"> </w:t>
      </w:r>
      <w:r w:rsidRPr="00615EE2">
        <w:rPr>
          <w:color w:val="080100"/>
          <w:sz w:val="18"/>
          <w:szCs w:val="18"/>
          <w:shd w:val="clear" w:color="auto" w:fill="FFFFFF"/>
        </w:rPr>
        <w:t xml:space="preserve">IUCN, </w:t>
      </w:r>
      <w:r w:rsidRPr="00615EE2">
        <w:rPr>
          <w:rStyle w:val="Zdraznn"/>
          <w:color w:val="080100"/>
          <w:sz w:val="18"/>
          <w:szCs w:val="18"/>
          <w:bdr w:val="none" w:sz="0" w:space="0" w:color="auto" w:frame="1"/>
        </w:rPr>
        <w:t xml:space="preserve">Červený seznam ohrožených druhů IUCN (verze ze dne [datum přijetí]: </w:t>
      </w:r>
      <w:r w:rsidRPr="00615EE2">
        <w:rPr>
          <w:color w:val="080100"/>
          <w:sz w:val="18"/>
          <w:szCs w:val="18"/>
          <w:shd w:val="clear" w:color="auto" w:fill="FFFFFF"/>
        </w:rPr>
        <w:t>https://www.iucnredlist.org).</w:t>
      </w:r>
    </w:p>
  </w:footnote>
  <w:footnote w:id="28">
    <w:p w14:paraId="7E380373" w14:textId="7CF62D65" w:rsidR="009836C2" w:rsidRPr="00615EE2" w:rsidRDefault="009836C2" w:rsidP="006875C0">
      <w:pPr>
        <w:pStyle w:val="Textpoznpodarou"/>
        <w:jc w:val="both"/>
        <w:rPr>
          <w:sz w:val="18"/>
          <w:szCs w:val="18"/>
        </w:rPr>
      </w:pPr>
      <w:r w:rsidRPr="00615EE2">
        <w:rPr>
          <w:rStyle w:val="Znakapoznpodarou"/>
          <w:sz w:val="18"/>
          <w:szCs w:val="18"/>
        </w:rPr>
        <w:footnoteRef/>
      </w:r>
      <w:r w:rsidRPr="00615EE2">
        <w:rPr>
          <w:sz w:val="18"/>
          <w:szCs w:val="18"/>
        </w:rPr>
        <w:t xml:space="preserve"> Půda o rozloze větší než 0,5 hektaru se stromy vyššími než pět metrů a korunovým zápojem tvořícím více než 10 % nebo se stromy schopnými dosáhnout těchto limitů </w:t>
      </w:r>
      <w:r w:rsidRPr="00615EE2">
        <w:rPr>
          <w:i/>
          <w:iCs/>
          <w:sz w:val="18"/>
          <w:szCs w:val="18"/>
        </w:rPr>
        <w:t>in situ</w:t>
      </w:r>
      <w:r w:rsidRPr="00615EE2">
        <w:rPr>
          <w:sz w:val="18"/>
          <w:szCs w:val="18"/>
        </w:rPr>
        <w:t xml:space="preserve">. Nezahrnuje území, u něhož převažuje zemědělské nebo městské využití. Posouzení globálních lesních zdrojů FAO 2020. Pojmy a definice (verze ze dne [datum přijetí]: </w:t>
      </w:r>
      <w:hyperlink r:id="rId9" w:history="1">
        <w:r w:rsidRPr="00615EE2">
          <w:rPr>
            <w:rStyle w:val="Hypertextovodkaz"/>
            <w:rFonts w:eastAsia="Cambria"/>
            <w:sz w:val="18"/>
            <w:szCs w:val="18"/>
          </w:rPr>
          <w:t>http://www.fao.org/3/I8661EN/i8661en.pdf</w:t>
        </w:r>
      </w:hyperlink>
      <w:r w:rsidRPr="00615EE2">
        <w:rPr>
          <w:sz w:val="18"/>
          <w:szCs w:val="18"/>
        </w:rPr>
        <w:t>).</w:t>
      </w:r>
    </w:p>
  </w:footnote>
  <w:footnote w:id="29">
    <w:p w14:paraId="75459A1C" w14:textId="77777777" w:rsidR="009836C2" w:rsidRPr="00615EE2" w:rsidRDefault="009836C2" w:rsidP="006875C0">
      <w:pPr>
        <w:spacing w:after="0" w:line="20" w:lineRule="atLeast"/>
        <w:jc w:val="both"/>
        <w:rPr>
          <w:b/>
          <w:sz w:val="18"/>
          <w:szCs w:val="18"/>
        </w:rPr>
      </w:pPr>
      <w:r w:rsidRPr="00615EE2">
        <w:rPr>
          <w:rStyle w:val="Znakapoznpodarou"/>
          <w:rFonts w:ascii="Calibri" w:eastAsia="Times New Roman" w:hAnsi="Calibri" w:cs="Times New Roman"/>
          <w:sz w:val="18"/>
          <w:szCs w:val="18"/>
          <w:lang w:eastAsia="cs-CZ"/>
        </w:rPr>
        <w:footnoteRef/>
      </w:r>
      <w:r w:rsidRPr="00615EE2">
        <w:rPr>
          <w:rStyle w:val="Znakapoznpodarou"/>
          <w:rFonts w:ascii="Calibri" w:eastAsia="Times New Roman" w:hAnsi="Calibri" w:cs="Times New Roman"/>
          <w:sz w:val="18"/>
          <w:szCs w:val="18"/>
          <w:lang w:eastAsia="cs-CZ"/>
        </w:rPr>
        <w:t xml:space="preserve"> </w:t>
      </w:r>
      <w:bookmarkStart w:id="4" w:name="_Toc69768455"/>
      <w:r w:rsidRPr="00615EE2">
        <w:rPr>
          <w:sz w:val="18"/>
          <w:szCs w:val="18"/>
        </w:rPr>
        <w:t xml:space="preserve"> Kapitola 7.2.</w:t>
      </w:r>
      <w:r w:rsidRPr="00615EE2">
        <w:rPr>
          <w:sz w:val="18"/>
          <w:szCs w:val="18"/>
        </w:rPr>
        <w:tab/>
        <w:t>Renovace stávajících budov</w:t>
      </w:r>
      <w:bookmarkEnd w:id="4"/>
      <w:r w:rsidRPr="00615EE2">
        <w:rPr>
          <w:sz w:val="18"/>
          <w:szCs w:val="18"/>
        </w:rPr>
        <w:t xml:space="preserve">   </w:t>
      </w:r>
      <w:r w:rsidRPr="00615EE2">
        <w:rPr>
          <w:b/>
          <w:sz w:val="18"/>
          <w:szCs w:val="18"/>
        </w:rPr>
        <w:t xml:space="preserve">   </w:t>
      </w:r>
    </w:p>
    <w:p w14:paraId="57D1CDCA" w14:textId="7E95861B" w:rsidR="009836C2" w:rsidRPr="00615EE2" w:rsidRDefault="009836C2" w:rsidP="006875C0">
      <w:pPr>
        <w:pStyle w:val="Textpoznpodarou"/>
        <w:spacing w:line="20" w:lineRule="atLeast"/>
        <w:jc w:val="both"/>
        <w:rPr>
          <w:rFonts w:eastAsia="Cambria"/>
          <w:color w:val="0000FF"/>
          <w:sz w:val="18"/>
          <w:szCs w:val="18"/>
          <w:u w:val="single"/>
        </w:rPr>
      </w:pPr>
      <w:r w:rsidRPr="00615EE2">
        <w:rPr>
          <w:rStyle w:val="Hypertextovodkaz"/>
          <w:rFonts w:eastAsia="Cambria"/>
          <w:sz w:val="18"/>
          <w:szCs w:val="18"/>
        </w:rPr>
        <w:t xml:space="preserve"> </w:t>
      </w:r>
      <w:hyperlink r:id="rId10" w:history="1">
        <w:r w:rsidRPr="00615EE2">
          <w:rPr>
            <w:rStyle w:val="Hypertextovodkaz"/>
            <w:rFonts w:eastAsia="Cambria"/>
            <w:sz w:val="18"/>
            <w:szCs w:val="18"/>
          </w:rPr>
          <w:t>https://eur-lex.europa.eu/legal-content/CS/TXT/?uri=PI_COM%3AC%282021%292800</w:t>
        </w:r>
      </w:hyperlink>
    </w:p>
  </w:footnote>
  <w:footnote w:id="30">
    <w:p w14:paraId="04085D3E" w14:textId="77777777" w:rsidR="00306D66" w:rsidRDefault="00306D66" w:rsidP="00306D66">
      <w:pPr>
        <w:pStyle w:val="Textpoznpodarou"/>
        <w:rPr>
          <w:rFonts w:cs="Calibri"/>
        </w:rPr>
      </w:pPr>
      <w:r>
        <w:rPr>
          <w:rStyle w:val="Znakapoznpodarou"/>
        </w:rPr>
        <w:footnoteRef/>
      </w:r>
      <w:r>
        <w:t xml:space="preserve"> </w:t>
      </w:r>
      <w:r w:rsidRPr="00615EE2">
        <w:rPr>
          <w:sz w:val="18"/>
          <w:szCs w:val="18"/>
        </w:rPr>
        <w:t>Vypočtené množství energie nutné k pokrytí energetické potřeby spojené s typickým využitím budovy, vyjádřené číselným ukazatelem celkové spotřeby primární energie v kWh/m2 za rok a vycházející z příslušné národní metodiky výpočtu, které je uvedeno v průkazu energetické náročnosti.</w:t>
      </w:r>
    </w:p>
  </w:footnote>
  <w:footnote w:id="31">
    <w:p w14:paraId="4FEDD097" w14:textId="77777777" w:rsidR="00306D66" w:rsidRPr="00615EE2" w:rsidRDefault="00306D66" w:rsidP="00306D66">
      <w:pPr>
        <w:pStyle w:val="Textpoznpodarou"/>
        <w:rPr>
          <w:rFonts w:cs="Calibri"/>
          <w:sz w:val="18"/>
          <w:szCs w:val="18"/>
        </w:rPr>
      </w:pPr>
      <w:r>
        <w:rPr>
          <w:rStyle w:val="Znakapoznpodarou"/>
        </w:rPr>
        <w:footnoteRef/>
      </w:r>
      <w:r>
        <w:t xml:space="preserve"> </w:t>
      </w:r>
      <w:r w:rsidRPr="00615EE2">
        <w:rPr>
          <w:sz w:val="18"/>
          <w:szCs w:val="18"/>
        </w:rPr>
        <w:t>Směrnice Evropského parlamentu a Rady 2010/31/EU ze dne 19. května 2010 o energetické náročnosti budov (Úř. věst. L 153, 18.6.2010, s. 13).</w:t>
      </w:r>
    </w:p>
  </w:footnote>
  <w:footnote w:id="32">
    <w:p w14:paraId="71680C1E" w14:textId="77777777" w:rsidR="00306D66" w:rsidRPr="00615EE2" w:rsidRDefault="00306D66" w:rsidP="00306D66">
      <w:pPr>
        <w:pStyle w:val="Textpoznpodarou"/>
        <w:rPr>
          <w:sz w:val="18"/>
          <w:szCs w:val="18"/>
        </w:rPr>
      </w:pPr>
      <w:r>
        <w:rPr>
          <w:rStyle w:val="Znakapoznpodarou"/>
        </w:rPr>
        <w:footnoteRef/>
      </w:r>
      <w:r>
        <w:t xml:space="preserve"> </w:t>
      </w:r>
      <w:r w:rsidRPr="00615EE2">
        <w:rPr>
          <w:sz w:val="18"/>
          <w:szCs w:val="18"/>
        </w:rPr>
        <w:t>U bytových budov se zkoušky provádějí pro reprezentativní soubor druhů bytových jednotek.</w:t>
      </w:r>
    </w:p>
  </w:footnote>
  <w:footnote w:id="33">
    <w:p w14:paraId="3FA5BDE1" w14:textId="77777777" w:rsidR="00306D66" w:rsidRPr="00615EE2" w:rsidRDefault="00306D66" w:rsidP="00306D66">
      <w:pPr>
        <w:pStyle w:val="Textpoznpodarou"/>
        <w:rPr>
          <w:rFonts w:cs="Calibri"/>
          <w:sz w:val="18"/>
          <w:szCs w:val="18"/>
        </w:rPr>
      </w:pPr>
      <w:r w:rsidRPr="00615EE2">
        <w:rPr>
          <w:rStyle w:val="Znakapoznpodarou"/>
          <w:sz w:val="18"/>
          <w:szCs w:val="18"/>
        </w:rPr>
        <w:footnoteRef/>
      </w:r>
      <w:r w:rsidRPr="00615EE2">
        <w:rPr>
          <w:sz w:val="18"/>
          <w:szCs w:val="18"/>
        </w:rPr>
        <w:t xml:space="preserve"> Zkoušky se provádějí v souladu s normou EN 13187 (Tepelné chování budov – Kvalitativní určení tepelných nepravidelností v pláštích budov – Infračervená metoda) a EN 13829 (Tepelné chování budov – Stanovení průvzdušnosti budov – Tlaková metoda) nebo rovnocennými normami akceptovanými příslušným stavebním kontrolním orgánem v místě, kde se budova nachází. </w:t>
      </w:r>
    </w:p>
  </w:footnote>
  <w:footnote w:id="34">
    <w:p w14:paraId="547238A1" w14:textId="77777777" w:rsidR="00306D66" w:rsidRPr="00615EE2" w:rsidRDefault="00306D66" w:rsidP="00306D66">
      <w:pPr>
        <w:pStyle w:val="Textpoznpodarou"/>
        <w:rPr>
          <w:sz w:val="18"/>
          <w:szCs w:val="18"/>
        </w:rPr>
      </w:pPr>
      <w:r w:rsidRPr="00615EE2">
        <w:rPr>
          <w:rStyle w:val="Znakapoznpodarou"/>
          <w:sz w:val="18"/>
          <w:szCs w:val="18"/>
        </w:rPr>
        <w:footnoteRef/>
      </w:r>
      <w:r w:rsidRPr="00615EE2">
        <w:rPr>
          <w:sz w:val="18"/>
          <w:szCs w:val="18"/>
        </w:rPr>
        <w:t xml:space="preserve"> U bytových budov jsou údaje vypočteny a sděleny pro reprezentativní soubor druhů bytových jednotek.</w:t>
      </w:r>
    </w:p>
  </w:footnote>
  <w:footnote w:id="35">
    <w:p w14:paraId="3CF354CD" w14:textId="77777777" w:rsidR="00306D66" w:rsidRPr="00615EE2" w:rsidRDefault="00306D66" w:rsidP="00306D66">
      <w:pPr>
        <w:pStyle w:val="Textpoznpodarou"/>
        <w:rPr>
          <w:rFonts w:cs="Calibri"/>
          <w:sz w:val="18"/>
          <w:szCs w:val="18"/>
        </w:rPr>
      </w:pPr>
      <w:r w:rsidRPr="00615EE2">
        <w:rPr>
          <w:rStyle w:val="Znakapoznpodarou"/>
          <w:sz w:val="18"/>
          <w:szCs w:val="18"/>
        </w:rPr>
        <w:footnoteRef/>
      </w:r>
      <w:r w:rsidRPr="00615EE2">
        <w:rPr>
          <w:sz w:val="18"/>
          <w:szCs w:val="18"/>
        </w:rPr>
        <w:t xml:space="preserve"> Potenciál globálního oteplování je uveden jako číselný ukazatel pro každou fázi životního cyklu vyjádřený v kg ekvivalentu CO</w:t>
      </w:r>
      <w:r w:rsidRPr="00615EE2">
        <w:rPr>
          <w:sz w:val="18"/>
          <w:szCs w:val="18"/>
          <w:vertAlign w:val="superscript"/>
        </w:rPr>
        <w:t>2</w:t>
      </w:r>
      <w:r w:rsidRPr="00615EE2">
        <w:rPr>
          <w:sz w:val="18"/>
          <w:szCs w:val="18"/>
        </w:rPr>
        <w:t xml:space="preserve"> (užitné vnitřní podlahové plochy) jako roční průměr z 50letého referenčního období. Výběr údajů, vymezení scénářů a výpočty se provádějí v souladu s normou EN 15978 (BS EN 15978:2011. Udržitelnost staveb – Posuzování environmentálních vlastností budov – Výpočtová metoda). Rozsah stavebních prvků a technického vybavení odpovídá definicím uvedeným ve společném rámci EU Level(s) pro ukazatel 1.2. Pokud existuje vnitrostátní výpočetní nástroj nebo pokud je tento nástroj nutný pro sdělování informací nebo pro získávání stavebních povolení, lze k poskytnutí požadovaných údajů použít příslušný nástroj. Lze použít i jiné výpočetní nástroje, pokud splňují minimální kritéria stanovená společným rámcem EU Level(s) (verze ze dne [datum přijetí]: </w:t>
      </w:r>
      <w:hyperlink r:id="rId11" w:history="1">
        <w:r w:rsidRPr="00615EE2">
          <w:rPr>
            <w:rStyle w:val="Hypertextovodkaz"/>
            <w:sz w:val="18"/>
            <w:szCs w:val="18"/>
          </w:rPr>
          <w:t>https://susproc.jrc.ec.europa.eu/product-bureau/product-groups/412/documents</w:t>
        </w:r>
      </w:hyperlink>
      <w:r w:rsidRPr="00615EE2">
        <w:rPr>
          <w:sz w:val="18"/>
          <w:szCs w:val="18"/>
        </w:rPr>
        <w:t>), viz uživatelská příručka pro ukazatel 1.2.</w:t>
      </w:r>
    </w:p>
  </w:footnote>
  <w:footnote w:id="36">
    <w:p w14:paraId="5E090DEB" w14:textId="77777777" w:rsidR="00306D66" w:rsidRPr="00C654EC" w:rsidRDefault="00306D66" w:rsidP="00306D66">
      <w:pPr>
        <w:spacing w:line="360" w:lineRule="auto"/>
        <w:rPr>
          <w:rFonts w:cstheme="minorHAnsi"/>
        </w:rPr>
      </w:pPr>
      <w:r w:rsidRPr="00615EE2">
        <w:rPr>
          <w:rStyle w:val="Znakapoznpodarou"/>
          <w:rFonts w:ascii="Calibri" w:eastAsia="Times New Roman" w:hAnsi="Calibri" w:cs="Times New Roman"/>
          <w:sz w:val="18"/>
          <w:szCs w:val="18"/>
          <w:lang w:eastAsia="cs-CZ"/>
        </w:rPr>
        <w:footnoteRef/>
      </w:r>
      <w:r w:rsidRPr="00615EE2">
        <w:rPr>
          <w:sz w:val="18"/>
          <w:szCs w:val="18"/>
        </w:rPr>
        <w:t xml:space="preserve">  </w:t>
      </w:r>
      <w:r w:rsidRPr="00615EE2">
        <w:rPr>
          <w:rFonts w:ascii="Calibri" w:eastAsia="Times New Roman" w:hAnsi="Calibri" w:cs="Times New Roman"/>
          <w:sz w:val="18"/>
          <w:szCs w:val="18"/>
          <w:lang w:eastAsia="cs-CZ"/>
        </w:rPr>
        <w:t>Viz 7.1.Výstavba nových budov</w:t>
      </w:r>
      <w:r>
        <w:rPr>
          <w:rFonts w:ascii="Calibri" w:eastAsia="Times New Roman" w:hAnsi="Calibri"/>
          <w:sz w:val="20"/>
          <w:szCs w:val="20"/>
          <w:lang w:eastAsia="cs-CZ"/>
        </w:rPr>
        <w:t xml:space="preserve"> </w:t>
      </w:r>
      <w:hyperlink r:id="rId12" w:history="1">
        <w:r w:rsidRPr="00615EE2">
          <w:rPr>
            <w:rStyle w:val="Hypertextovodkaz"/>
            <w:rFonts w:ascii="Calibri" w:eastAsia="Times New Roman" w:hAnsi="Calibri" w:cs="Times New Roman"/>
            <w:sz w:val="18"/>
            <w:szCs w:val="18"/>
            <w:lang w:eastAsia="cs-CZ"/>
          </w:rPr>
          <w:t>https://eurlex.europa.eu/legalcontent/CS/TXT/?uri=PI_COM%3AC%282021%292800</w:t>
        </w:r>
      </w:hyperlink>
    </w:p>
    <w:p w14:paraId="1C67DB39" w14:textId="77777777" w:rsidR="00306D66" w:rsidRPr="007B7599" w:rsidRDefault="00306D66" w:rsidP="00306D66">
      <w:pPr>
        <w:pStyle w:val="ManualHeading2"/>
        <w:tabs>
          <w:tab w:val="clear" w:pos="850"/>
          <w:tab w:val="left" w:pos="709"/>
        </w:tabs>
        <w:jc w:val="left"/>
        <w:rPr>
          <w:rFonts w:eastAsia="Times New Roman"/>
          <w:noProof/>
        </w:rPr>
      </w:pPr>
    </w:p>
    <w:p w14:paraId="5751CDEE" w14:textId="77777777" w:rsidR="00306D66" w:rsidRDefault="00306D66" w:rsidP="00306D66">
      <w:pPr>
        <w:pStyle w:val="Textpoznpodarou"/>
      </w:pPr>
    </w:p>
  </w:footnote>
  <w:footnote w:id="37">
    <w:p w14:paraId="78561473" w14:textId="77777777" w:rsidR="00306D66" w:rsidRPr="00615EE2" w:rsidRDefault="00306D66" w:rsidP="00306D66">
      <w:pPr>
        <w:pStyle w:val="Textpoznpodarou"/>
        <w:jc w:val="both"/>
        <w:rPr>
          <w:sz w:val="18"/>
          <w:szCs w:val="18"/>
        </w:rPr>
      </w:pPr>
      <w:r w:rsidRPr="00615EE2">
        <w:rPr>
          <w:rStyle w:val="Znakapoznpodarou"/>
          <w:sz w:val="18"/>
          <w:szCs w:val="18"/>
        </w:rPr>
        <w:footnoteRef/>
      </w:r>
      <w:r w:rsidRPr="00615EE2">
        <w:rPr>
          <w:sz w:val="18"/>
          <w:szCs w:val="18"/>
        </w:rPr>
        <w:t xml:space="preserve"> Protokol EU pro nakládání se stavebním a demoličním odpadem (verze ze dne [datum přijetí]: https://ec.europa.eu/growth/content/eu-construction-and-demolition-waste-protocol-0_en).</w:t>
      </w:r>
    </w:p>
  </w:footnote>
  <w:footnote w:id="38">
    <w:p w14:paraId="195B7CAF" w14:textId="77777777" w:rsidR="00306D66" w:rsidRPr="00615EE2" w:rsidRDefault="00306D66" w:rsidP="00306D66">
      <w:pPr>
        <w:pStyle w:val="Textpoznpodarou"/>
        <w:jc w:val="both"/>
        <w:rPr>
          <w:sz w:val="18"/>
          <w:szCs w:val="18"/>
        </w:rPr>
      </w:pPr>
      <w:r w:rsidRPr="00615EE2">
        <w:rPr>
          <w:rStyle w:val="Znakapoznpodarou"/>
          <w:sz w:val="18"/>
          <w:szCs w:val="18"/>
        </w:rPr>
        <w:footnoteRef/>
      </w:r>
      <w:r w:rsidRPr="00615EE2">
        <w:rPr>
          <w:sz w:val="18"/>
          <w:szCs w:val="18"/>
        </w:rPr>
        <w:t xml:space="preserve"> ISO 20887:2020, Udržitelnost u budov a inženýrských staveb – Návrh umožňující demontáž a přizpůsobivost – Zásady, požadavky a pokyny (verze ze dne [datum přijetí]: https://www.iso.org/standard/69370.html).</w:t>
      </w:r>
    </w:p>
  </w:footnote>
  <w:footnote w:id="39">
    <w:p w14:paraId="65CB179E" w14:textId="77777777" w:rsidR="00306D66" w:rsidRPr="00615EE2" w:rsidRDefault="00306D66" w:rsidP="00306D66">
      <w:pPr>
        <w:pStyle w:val="Textpoznpodarou"/>
        <w:jc w:val="both"/>
        <w:rPr>
          <w:sz w:val="18"/>
          <w:szCs w:val="18"/>
        </w:rPr>
      </w:pPr>
      <w:r w:rsidRPr="00615EE2">
        <w:rPr>
          <w:rStyle w:val="Znakapoznpodarou"/>
          <w:sz w:val="18"/>
          <w:szCs w:val="18"/>
        </w:rPr>
        <w:footnoteRef/>
      </w:r>
      <w:r w:rsidRPr="00615EE2">
        <w:rPr>
          <w:sz w:val="18"/>
          <w:szCs w:val="18"/>
        </w:rPr>
        <w:t xml:space="preserve"> Platí pro barvy a laky, obklady stropů, podlahové krytiny, včetně použitých lepidel a tmelů, vnitřní izolaci a vnitřní povrchové úpravy, jako je ošetření proti vlhkosti a plísni.</w:t>
      </w:r>
    </w:p>
  </w:footnote>
  <w:footnote w:id="40">
    <w:p w14:paraId="3B5604A1" w14:textId="77777777" w:rsidR="00306D66" w:rsidRPr="00615EE2" w:rsidRDefault="00306D66" w:rsidP="00306D66">
      <w:pPr>
        <w:pStyle w:val="Textpoznpodarou"/>
        <w:jc w:val="both"/>
        <w:rPr>
          <w:sz w:val="18"/>
          <w:szCs w:val="18"/>
        </w:rPr>
      </w:pPr>
      <w:r w:rsidRPr="00615EE2">
        <w:rPr>
          <w:rStyle w:val="Znakapoznpodarou"/>
          <w:sz w:val="18"/>
          <w:szCs w:val="18"/>
        </w:rPr>
        <w:footnoteRef/>
      </w:r>
      <w:r w:rsidRPr="00615EE2">
        <w:rPr>
          <w:sz w:val="18"/>
          <w:szCs w:val="18"/>
        </w:rPr>
        <w:t xml:space="preserve"> CEN/TS 16516: 2013, Stavební výrobky – Posuzování uvolňování nebezpečných látek – Stanovení emisí do vnitřního ovzduší.</w:t>
      </w:r>
    </w:p>
  </w:footnote>
  <w:footnote w:id="41">
    <w:p w14:paraId="6DFC7478" w14:textId="77777777" w:rsidR="00306D66" w:rsidRPr="00615EE2" w:rsidRDefault="00306D66" w:rsidP="00306D66">
      <w:pPr>
        <w:pStyle w:val="Textpoznpodarou"/>
        <w:jc w:val="both"/>
        <w:rPr>
          <w:sz w:val="18"/>
          <w:szCs w:val="18"/>
        </w:rPr>
      </w:pPr>
      <w:r w:rsidRPr="00615EE2">
        <w:rPr>
          <w:rStyle w:val="Znakapoznpodarou"/>
          <w:sz w:val="18"/>
          <w:szCs w:val="18"/>
        </w:rPr>
        <w:footnoteRef/>
      </w:r>
      <w:r w:rsidRPr="00615EE2">
        <w:rPr>
          <w:sz w:val="18"/>
          <w:szCs w:val="18"/>
        </w:rPr>
        <w:t xml:space="preserve"> ISO 16000-3:2011, Vnitřní ovzduší – Část 3: Stanovení formaldehydu a dalších karbonylových sloučenin ve vnitřním ovzduší a ve zkušební komoře – Aktivní metoda odběru vzorků (verze ze dne [datum přijetí]: https://www.iso.org/standard/51812.html).</w:t>
      </w:r>
    </w:p>
  </w:footnote>
  <w:footnote w:id="42">
    <w:p w14:paraId="090D1396" w14:textId="77777777" w:rsidR="00306D66" w:rsidRPr="00615EE2" w:rsidRDefault="00306D66" w:rsidP="00306D66">
      <w:pPr>
        <w:pStyle w:val="Textpoznpodarou"/>
        <w:jc w:val="both"/>
        <w:rPr>
          <w:sz w:val="18"/>
          <w:szCs w:val="18"/>
        </w:rPr>
      </w:pPr>
      <w:r w:rsidRPr="00615EE2">
        <w:rPr>
          <w:rStyle w:val="Znakapoznpodarou"/>
          <w:sz w:val="18"/>
          <w:szCs w:val="18"/>
        </w:rPr>
        <w:footnoteRef/>
      </w:r>
      <w:r w:rsidRPr="00615EE2">
        <w:rPr>
          <w:sz w:val="18"/>
          <w:szCs w:val="18"/>
        </w:rPr>
        <w:t xml:space="preserve"> Mezní hodnoty emisí pro karcinogenní těkavé organické sloučeniny se vztahují k 28dennímu zkušebnímu období.</w:t>
      </w:r>
    </w:p>
  </w:footnote>
  <w:footnote w:id="43">
    <w:p w14:paraId="55B51BDC" w14:textId="77777777" w:rsidR="00306D66" w:rsidRPr="00615EE2" w:rsidRDefault="00306D66" w:rsidP="00306D66">
      <w:pPr>
        <w:pStyle w:val="Textpoznpodarou"/>
        <w:jc w:val="both"/>
        <w:rPr>
          <w:sz w:val="18"/>
          <w:szCs w:val="18"/>
        </w:rPr>
      </w:pPr>
      <w:r w:rsidRPr="00615EE2">
        <w:rPr>
          <w:rStyle w:val="Znakapoznpodarou"/>
          <w:sz w:val="18"/>
          <w:szCs w:val="18"/>
        </w:rPr>
        <w:footnoteRef/>
      </w:r>
      <w:r w:rsidRPr="00615EE2">
        <w:rPr>
          <w:sz w:val="18"/>
          <w:szCs w:val="18"/>
        </w:rPr>
        <w:t xml:space="preserve"> ISO 18400 série Kvalita půdy – Odběr vzorků.</w:t>
      </w:r>
    </w:p>
  </w:footnote>
  <w:footnote w:id="44">
    <w:p w14:paraId="1FFAB3DF" w14:textId="77777777" w:rsidR="00306D66" w:rsidRPr="00615EE2" w:rsidRDefault="00306D66" w:rsidP="00306D66">
      <w:pPr>
        <w:pStyle w:val="Textpoznpodarou"/>
        <w:jc w:val="both"/>
        <w:rPr>
          <w:rFonts w:cs="Calibri"/>
          <w:sz w:val="18"/>
          <w:szCs w:val="18"/>
        </w:rPr>
      </w:pPr>
      <w:r w:rsidRPr="00615EE2">
        <w:rPr>
          <w:rStyle w:val="Znakapoznpodarou"/>
          <w:sz w:val="18"/>
          <w:szCs w:val="18"/>
        </w:rPr>
        <w:footnoteRef/>
      </w:r>
      <w:r w:rsidRPr="00615EE2">
        <w:rPr>
          <w:sz w:val="18"/>
          <w:szCs w:val="18"/>
        </w:rPr>
        <w:t xml:space="preserve"> JRC ESDCA, LUCAS: rámcový průzkum využití půdy a krajinného pokryvu (verze ze dne [datum přijetí]: https://esdac.jrc.ec.europa.eu/projects/lucas).</w:t>
      </w:r>
    </w:p>
  </w:footnote>
  <w:footnote w:id="45">
    <w:p w14:paraId="6FD32988" w14:textId="77777777" w:rsidR="00306D66" w:rsidRPr="00615EE2" w:rsidRDefault="00306D66" w:rsidP="00306D66">
      <w:pPr>
        <w:pStyle w:val="Textpoznpodarou"/>
        <w:jc w:val="both"/>
        <w:rPr>
          <w:sz w:val="18"/>
          <w:szCs w:val="18"/>
        </w:rPr>
      </w:pPr>
      <w:r w:rsidRPr="00615EE2">
        <w:rPr>
          <w:rStyle w:val="Znakapoznpodarou"/>
          <w:sz w:val="18"/>
          <w:szCs w:val="18"/>
        </w:rPr>
        <w:footnoteRef/>
      </w:r>
      <w:r w:rsidRPr="00615EE2">
        <w:rPr>
          <w:sz w:val="18"/>
          <w:szCs w:val="18"/>
        </w:rPr>
        <w:t xml:space="preserve"> </w:t>
      </w:r>
      <w:r w:rsidRPr="00615EE2">
        <w:rPr>
          <w:color w:val="080100"/>
          <w:sz w:val="18"/>
          <w:szCs w:val="18"/>
          <w:shd w:val="clear" w:color="auto" w:fill="FFFFFF"/>
        </w:rPr>
        <w:t xml:space="preserve">IUCN, </w:t>
      </w:r>
      <w:r w:rsidRPr="00615EE2">
        <w:rPr>
          <w:rStyle w:val="Zdraznn"/>
          <w:color w:val="080100"/>
          <w:sz w:val="18"/>
          <w:szCs w:val="18"/>
          <w:bdr w:val="none" w:sz="0" w:space="0" w:color="auto" w:frame="1"/>
        </w:rPr>
        <w:t xml:space="preserve">Evropský červený seznam ohrožených druhů IUCN (verze ze dne [datum přijetí]: </w:t>
      </w:r>
      <w:r w:rsidRPr="00615EE2">
        <w:rPr>
          <w:color w:val="080100"/>
          <w:sz w:val="18"/>
          <w:szCs w:val="18"/>
          <w:shd w:val="clear" w:color="auto" w:fill="FFFFFF"/>
        </w:rPr>
        <w:t>https://www.iucn.org/regions/europe/our-work/biodiversity-conservation/european-red-list-threatened-species).</w:t>
      </w:r>
    </w:p>
  </w:footnote>
  <w:footnote w:id="46">
    <w:p w14:paraId="12ED371A" w14:textId="77777777" w:rsidR="00306D66" w:rsidRDefault="00306D66" w:rsidP="00306D66">
      <w:pPr>
        <w:pStyle w:val="Textpoznpodarou"/>
        <w:jc w:val="both"/>
      </w:pPr>
      <w:r w:rsidRPr="00615EE2">
        <w:rPr>
          <w:rStyle w:val="Znakapoznpodarou"/>
          <w:sz w:val="18"/>
          <w:szCs w:val="18"/>
        </w:rPr>
        <w:footnoteRef/>
      </w:r>
      <w:r w:rsidRPr="00615EE2">
        <w:rPr>
          <w:sz w:val="18"/>
          <w:szCs w:val="18"/>
        </w:rPr>
        <w:t xml:space="preserve"> </w:t>
      </w:r>
      <w:r w:rsidRPr="00615EE2">
        <w:rPr>
          <w:color w:val="080100"/>
          <w:sz w:val="18"/>
          <w:szCs w:val="18"/>
          <w:shd w:val="clear" w:color="auto" w:fill="FFFFFF"/>
        </w:rPr>
        <w:t xml:space="preserve">IUCN, </w:t>
      </w:r>
      <w:r w:rsidRPr="00615EE2">
        <w:rPr>
          <w:rStyle w:val="Zdraznn"/>
          <w:color w:val="080100"/>
          <w:sz w:val="18"/>
          <w:szCs w:val="18"/>
          <w:bdr w:val="none" w:sz="0" w:space="0" w:color="auto" w:frame="1"/>
        </w:rPr>
        <w:t xml:space="preserve">Červený seznam ohrožených druhů IUCN (verze ze dne [datum přijetí]: </w:t>
      </w:r>
      <w:r w:rsidRPr="00615EE2">
        <w:rPr>
          <w:color w:val="080100"/>
          <w:sz w:val="18"/>
          <w:szCs w:val="18"/>
          <w:shd w:val="clear" w:color="auto" w:fill="FFFFFF"/>
        </w:rPr>
        <w:t>https://www.iucnredlist.org).</w:t>
      </w:r>
    </w:p>
  </w:footnote>
  <w:footnote w:id="47">
    <w:p w14:paraId="31679B1E" w14:textId="77777777" w:rsidR="00306D66" w:rsidRPr="00615EE2" w:rsidRDefault="00306D66" w:rsidP="00306D66">
      <w:pPr>
        <w:pStyle w:val="Textpoznpodarou"/>
        <w:jc w:val="both"/>
        <w:rPr>
          <w:sz w:val="18"/>
          <w:szCs w:val="18"/>
        </w:rPr>
      </w:pPr>
      <w:r w:rsidRPr="00615EE2">
        <w:rPr>
          <w:rStyle w:val="Znakapoznpodarou"/>
          <w:sz w:val="18"/>
          <w:szCs w:val="18"/>
        </w:rPr>
        <w:footnoteRef/>
      </w:r>
      <w:r w:rsidRPr="00615EE2">
        <w:rPr>
          <w:sz w:val="18"/>
          <w:szCs w:val="18"/>
        </w:rPr>
        <w:t xml:space="preserve"> Půda o rozloze větší než 0,5 hektaru se stromy vyššími než pět metrů a korunovým zápojem tvořícím více než 10 % nebo se stromy schopnými dosáhnout těchto limitů </w:t>
      </w:r>
      <w:r w:rsidRPr="00615EE2">
        <w:rPr>
          <w:i/>
          <w:iCs/>
          <w:sz w:val="18"/>
          <w:szCs w:val="18"/>
        </w:rPr>
        <w:t>in situ</w:t>
      </w:r>
      <w:r w:rsidRPr="00615EE2">
        <w:rPr>
          <w:sz w:val="18"/>
          <w:szCs w:val="18"/>
        </w:rPr>
        <w:t xml:space="preserve">. Nezahrnuje území, u něhož převažuje zemědělské nebo městské využití. Posouzení globálních lesních zdrojů FAO 2020. Pojmy a definice (verze ze dne [datum přijetí]: </w:t>
      </w:r>
      <w:hyperlink r:id="rId13" w:history="1">
        <w:r w:rsidRPr="00615EE2">
          <w:rPr>
            <w:rStyle w:val="Hypertextovodkaz"/>
            <w:rFonts w:eastAsia="Cambria"/>
            <w:sz w:val="18"/>
            <w:szCs w:val="18"/>
          </w:rPr>
          <w:t>http://www.fao.org/3/I8661EN/i8661en.pdf</w:t>
        </w:r>
      </w:hyperlink>
      <w:r w:rsidRPr="00615EE2">
        <w:rPr>
          <w:sz w:val="18"/>
          <w:szCs w:val="18"/>
        </w:rPr>
        <w:t>).</w:t>
      </w:r>
    </w:p>
  </w:footnote>
  <w:footnote w:id="48">
    <w:p w14:paraId="634E4DC8" w14:textId="41CA4151" w:rsidR="009836C2" w:rsidRPr="00615EE2" w:rsidRDefault="009836C2" w:rsidP="006875C0">
      <w:pPr>
        <w:pStyle w:val="Textpoznpodarou"/>
        <w:spacing w:line="20" w:lineRule="atLeast"/>
        <w:jc w:val="both"/>
        <w:rPr>
          <w:sz w:val="18"/>
          <w:szCs w:val="18"/>
        </w:rPr>
      </w:pPr>
      <w:r w:rsidRPr="00615EE2">
        <w:rPr>
          <w:rStyle w:val="Znakapoznpodarou"/>
          <w:sz w:val="18"/>
          <w:szCs w:val="18"/>
        </w:rPr>
        <w:footnoteRef/>
      </w:r>
      <w:r w:rsidRPr="00615EE2">
        <w:rPr>
          <w:sz w:val="18"/>
          <w:szCs w:val="18"/>
        </w:rPr>
        <w:t xml:space="preserve"> Viz kapitola 11 Technických screeningových kritérií </w:t>
      </w:r>
      <w:hyperlink r:id="rId14" w:history="1">
        <w:r w:rsidRPr="00615EE2">
          <w:rPr>
            <w:rStyle w:val="Hypertextovodkaz"/>
            <w:rFonts w:eastAsia="Cambria"/>
            <w:sz w:val="18"/>
            <w:szCs w:val="18"/>
          </w:rPr>
          <w:t>EUR-Lex - C(2021)2800 - EN - EUR-Lex (europa.eu)</w:t>
        </w:r>
      </w:hyperlink>
    </w:p>
  </w:footnote>
  <w:footnote w:id="49">
    <w:p w14:paraId="6E87B234" w14:textId="084E132C" w:rsidR="009836C2" w:rsidRPr="00615EE2" w:rsidRDefault="009836C2" w:rsidP="006875C0">
      <w:pPr>
        <w:pStyle w:val="Textpoznpodarou"/>
        <w:spacing w:line="20" w:lineRule="atLeast"/>
        <w:jc w:val="both"/>
        <w:rPr>
          <w:sz w:val="18"/>
          <w:szCs w:val="18"/>
        </w:rPr>
      </w:pPr>
      <w:r w:rsidRPr="00615EE2">
        <w:rPr>
          <w:rStyle w:val="Znakapoznpodarou"/>
          <w:sz w:val="18"/>
          <w:szCs w:val="18"/>
        </w:rPr>
        <w:footnoteRef/>
      </w:r>
      <w:r w:rsidRPr="00615EE2">
        <w:rPr>
          <w:sz w:val="18"/>
          <w:szCs w:val="18"/>
        </w:rPr>
        <w:t xml:space="preserve"> Viz kapitola 12 Technických screeningových kritérií </w:t>
      </w:r>
      <w:hyperlink r:id="rId15" w:history="1">
        <w:r w:rsidRPr="00615EE2">
          <w:rPr>
            <w:rStyle w:val="Hypertextovodkaz"/>
            <w:rFonts w:eastAsia="Cambria"/>
            <w:sz w:val="18"/>
            <w:szCs w:val="18"/>
          </w:rPr>
          <w:t>EUR-Lex - C(2021)2800 - EN - EUR-Lex (europa.eu)</w:t>
        </w:r>
      </w:hyperlink>
    </w:p>
  </w:footnote>
  <w:footnote w:id="50">
    <w:p w14:paraId="6703C339" w14:textId="63AA2CFF" w:rsidR="009836C2" w:rsidRPr="00615EE2" w:rsidRDefault="009836C2" w:rsidP="007B7599">
      <w:pPr>
        <w:pStyle w:val="Textpoznpodarou"/>
        <w:rPr>
          <w:rFonts w:asciiTheme="minorHAnsi" w:hAnsiTheme="minorHAnsi" w:cstheme="minorHAnsi"/>
          <w:sz w:val="18"/>
          <w:szCs w:val="18"/>
        </w:rPr>
      </w:pPr>
      <w:r w:rsidRPr="00615EE2">
        <w:rPr>
          <w:rStyle w:val="Znakapoznpodarou"/>
          <w:rFonts w:asciiTheme="minorHAnsi" w:hAnsiTheme="minorHAnsi" w:cstheme="minorHAnsi"/>
          <w:sz w:val="18"/>
          <w:szCs w:val="18"/>
        </w:rPr>
        <w:footnoteRef/>
      </w:r>
      <w:r w:rsidRPr="00615EE2">
        <w:rPr>
          <w:rFonts w:asciiTheme="minorHAnsi" w:hAnsiTheme="minorHAnsi" w:cstheme="minorHAnsi"/>
          <w:sz w:val="18"/>
          <w:szCs w:val="18"/>
        </w:rPr>
        <w:t xml:space="preserve"> Budoucí scénáře zahrnují reprezentativní směry vývoje koncentrací Mezivládního panelu pro změnu klimatu RCP2.6, RCP4.5, RCP6.0 a RCP8.5.</w:t>
      </w:r>
    </w:p>
  </w:footnote>
  <w:footnote w:id="51">
    <w:p w14:paraId="166550C1" w14:textId="269E32B8" w:rsidR="009836C2" w:rsidRPr="00615EE2" w:rsidRDefault="009836C2" w:rsidP="007B7599">
      <w:pPr>
        <w:pStyle w:val="Textpoznpodarou"/>
        <w:rPr>
          <w:rFonts w:asciiTheme="minorHAnsi" w:hAnsiTheme="minorHAnsi" w:cstheme="minorHAnsi"/>
          <w:sz w:val="18"/>
          <w:szCs w:val="18"/>
        </w:rPr>
      </w:pPr>
      <w:r w:rsidRPr="00615EE2">
        <w:rPr>
          <w:rStyle w:val="Znakapoznpodarou"/>
          <w:rFonts w:asciiTheme="minorHAnsi" w:hAnsiTheme="minorHAnsi" w:cstheme="minorHAnsi"/>
          <w:sz w:val="18"/>
          <w:szCs w:val="18"/>
        </w:rPr>
        <w:footnoteRef/>
      </w:r>
      <w:r w:rsidRPr="00615EE2">
        <w:rPr>
          <w:rFonts w:asciiTheme="minorHAnsi" w:hAnsiTheme="minorHAnsi" w:cstheme="minorHAnsi"/>
          <w:sz w:val="18"/>
          <w:szCs w:val="18"/>
        </w:rPr>
        <w:t xml:space="preserve"> Hodnotící zprávy o změně klimatu: Dopady, přizpůsobení se a zranitelnost, pravidelně uveřejňované Mezivládním panelem pro změnu klimatu (IPCC), orgánem Organizace spojených národů pro hodnocení vědeckých poznatků týkajících se změny klimatu, https://www.ipcc.ch/reports/.</w:t>
      </w:r>
    </w:p>
  </w:footnote>
  <w:footnote w:id="52">
    <w:p w14:paraId="47D7B6EF" w14:textId="55222349" w:rsidR="009836C2" w:rsidRPr="00615EE2" w:rsidRDefault="009836C2" w:rsidP="007B7599">
      <w:pPr>
        <w:pStyle w:val="Textpoznpodarou"/>
        <w:rPr>
          <w:rFonts w:asciiTheme="minorHAnsi" w:hAnsiTheme="minorHAnsi" w:cstheme="minorHAnsi"/>
          <w:sz w:val="18"/>
          <w:szCs w:val="18"/>
        </w:rPr>
      </w:pPr>
      <w:r w:rsidRPr="00615EE2">
        <w:rPr>
          <w:rStyle w:val="Znakapoznpodarou"/>
          <w:rFonts w:asciiTheme="minorHAnsi" w:hAnsiTheme="minorHAnsi" w:cstheme="minorHAnsi"/>
          <w:sz w:val="18"/>
          <w:szCs w:val="18"/>
        </w:rPr>
        <w:footnoteRef/>
      </w:r>
      <w:r w:rsidRPr="00615EE2">
        <w:rPr>
          <w:rFonts w:asciiTheme="minorHAnsi" w:hAnsiTheme="minorHAnsi" w:cstheme="minorHAnsi"/>
          <w:sz w:val="18"/>
          <w:szCs w:val="18"/>
        </w:rPr>
        <w:t xml:space="preserve"> Například služby programu Copernicus spravované Evropskou komisí.</w:t>
      </w:r>
    </w:p>
  </w:footnote>
  <w:footnote w:id="53">
    <w:p w14:paraId="3991B8DB" w14:textId="64A83CB1" w:rsidR="009836C2" w:rsidRPr="00615EE2" w:rsidRDefault="009836C2" w:rsidP="007B7599">
      <w:pPr>
        <w:pStyle w:val="Textpoznpodarou"/>
        <w:rPr>
          <w:rFonts w:asciiTheme="minorHAnsi" w:hAnsiTheme="minorHAnsi" w:cstheme="minorHAnsi"/>
          <w:sz w:val="18"/>
          <w:szCs w:val="18"/>
        </w:rPr>
      </w:pPr>
      <w:r w:rsidRPr="00615EE2">
        <w:rPr>
          <w:rStyle w:val="Znakapoznpodarou"/>
          <w:rFonts w:asciiTheme="minorHAnsi" w:hAnsiTheme="minorHAnsi" w:cstheme="minorHAnsi"/>
          <w:sz w:val="18"/>
          <w:szCs w:val="18"/>
        </w:rPr>
        <w:footnoteRef/>
      </w:r>
      <w:r w:rsidRPr="00615EE2">
        <w:rPr>
          <w:rFonts w:asciiTheme="minorHAnsi" w:hAnsiTheme="minorHAnsi" w:cstheme="minorHAnsi"/>
          <w:sz w:val="18"/>
          <w:szCs w:val="18"/>
        </w:rPr>
        <w:t xml:space="preserve"> Přírodě blízká řešení jsou definována jako „řešení inspirovaná a podporovaná přírodou, která jsou nákladově efektivní a současně environmentálně, sociálně a hospodářsky přínosná a přispívají k budování odolnosti. Tato řešení přinášejí do měst, krajiny a mořského prostředí větší počet různorodějších přírodních a přirozených prvků a procesů, a to prostřednictvím místně přizpůsobených, systémových zásahů, které účinně využívají zdroje“. Přírodě blízká řešení jsou proto prospěšná pro biologickou rozmanitost a podporují fungování ekosystémových služeb. (Verze ze dne [datum přijetí]: https://ec.europa.eu/research/environment/index.cfm?pg=nbs).</w:t>
      </w:r>
    </w:p>
  </w:footnote>
  <w:footnote w:id="54">
    <w:p w14:paraId="266D6EB8" w14:textId="355B38E0" w:rsidR="009836C2" w:rsidRPr="00615EE2" w:rsidRDefault="009836C2" w:rsidP="007B7599">
      <w:pPr>
        <w:pStyle w:val="Textpoznpodarou"/>
        <w:rPr>
          <w:rFonts w:asciiTheme="minorHAnsi" w:hAnsiTheme="minorHAnsi" w:cstheme="minorHAnsi"/>
          <w:sz w:val="18"/>
          <w:szCs w:val="18"/>
        </w:rPr>
      </w:pPr>
      <w:r w:rsidRPr="00615EE2">
        <w:rPr>
          <w:rStyle w:val="Znakapoznpodarou"/>
          <w:rFonts w:asciiTheme="minorHAnsi" w:hAnsiTheme="minorHAnsi" w:cstheme="minorHAnsi"/>
          <w:sz w:val="18"/>
          <w:szCs w:val="18"/>
        </w:rPr>
        <w:footnoteRef/>
      </w:r>
      <w:r w:rsidRPr="00615EE2">
        <w:rPr>
          <w:rFonts w:asciiTheme="minorHAnsi" w:hAnsiTheme="minorHAnsi" w:cstheme="minorHAnsi"/>
          <w:sz w:val="18"/>
          <w:szCs w:val="18"/>
        </w:rPr>
        <w:t xml:space="preserve"> Viz sdělení Komise Evropskému parlamentu, Radě, Evropskému hospodářskému a sociálnímu výboru a Výboru regionů: Zelená infrastruktura – zlepšování přírodního kapitálu Evropy (COM/2013/0249 final).</w:t>
      </w:r>
    </w:p>
  </w:footnote>
  <w:footnote w:id="55">
    <w:p w14:paraId="4F3D556B" w14:textId="3721B072" w:rsidR="009836C2" w:rsidRDefault="009836C2" w:rsidP="007B7599">
      <w:pPr>
        <w:pStyle w:val="Textpoznpodarou"/>
      </w:pPr>
      <w:r w:rsidRPr="00615EE2">
        <w:rPr>
          <w:rStyle w:val="Znakapoznpodarou"/>
          <w:rFonts w:asciiTheme="minorHAnsi" w:hAnsiTheme="minorHAnsi" w:cstheme="minorHAnsi"/>
          <w:sz w:val="18"/>
          <w:szCs w:val="18"/>
        </w:rPr>
        <w:footnoteRef/>
      </w:r>
      <w:r w:rsidRPr="00615EE2">
        <w:rPr>
          <w:rFonts w:asciiTheme="minorHAnsi" w:hAnsiTheme="minorHAnsi" w:cstheme="minorHAnsi"/>
          <w:sz w:val="18"/>
          <w:szCs w:val="18"/>
        </w:rPr>
        <w:t xml:space="preserve"> Seznam nebezpečí souvisejících s klimatem v této tabulce není úplný a představuje pouze orientační seznam nejrozšířenějších nebezpečí, která by měla být při posuzování klimatických rizik a zranitelností zohledněna jako minimum.</w:t>
      </w:r>
    </w:p>
  </w:footnote>
  <w:footnote w:id="56">
    <w:p w14:paraId="77EC9A91" w14:textId="5D0375AD" w:rsidR="009836C2" w:rsidRPr="00615EE2" w:rsidRDefault="009836C2" w:rsidP="00EB46EA">
      <w:pPr>
        <w:pStyle w:val="Textpoznpodarou"/>
        <w:rPr>
          <w:sz w:val="18"/>
          <w:szCs w:val="18"/>
        </w:rPr>
      </w:pPr>
      <w:r w:rsidRPr="00615EE2">
        <w:rPr>
          <w:rStyle w:val="Znakapoznpodarou"/>
          <w:sz w:val="18"/>
          <w:szCs w:val="18"/>
        </w:rPr>
        <w:footnoteRef/>
      </w:r>
      <w:r w:rsidRPr="00615EE2">
        <w:rPr>
          <w:sz w:val="18"/>
          <w:szCs w:val="18"/>
        </w:rPr>
        <w:t xml:space="preserve"> Směrnice Evropského parlamentu a Rady 2000/60/ES ze dne 23. října 2000, kterou se stanoví rámec pro činnost Společenství v oblasti vodní politiky (Úř. věst. L 327, 22.12.2000, s. 1).</w:t>
      </w:r>
    </w:p>
    <w:p w14:paraId="4AF2B798" w14:textId="68C646DC" w:rsidR="009836C2" w:rsidRPr="00615EE2" w:rsidRDefault="009836C2" w:rsidP="00EB46EA">
      <w:pPr>
        <w:pStyle w:val="Textpoznpodarou"/>
        <w:rPr>
          <w:sz w:val="18"/>
          <w:szCs w:val="18"/>
        </w:rPr>
      </w:pPr>
      <w:r w:rsidRPr="00615EE2">
        <w:rPr>
          <w:sz w:val="18"/>
          <w:szCs w:val="18"/>
        </w:rPr>
        <w:t>V případě činností ve třetích zemích v souladu s platnými vnitrostátními právními předpisy nebo mezinárodními normami, které sledují rovnocenné cíle dobrého stavu vod a dobrého ekologického potenciálu prostřednictvím rovnocenných procesních a hmotněprávních pravidel, tj. plánu hospodaření s vodou a ochrany vod vypracovaného po konzultaci s příslušnými zúčastněnými stranami, který zajišťuje, že 1) je posouzen dopad těchto činností na zjištěný stav nebo ekologický potenciál potenciálně zasaženého vodního útvaru nebo útvarů a 2) nedojde ke zhoršení dobrého stavu / ekologického potenciálu ani k jejich zabránění, nebo není-li to možné, 3) je to opodstatněno neexistencí lepších environmentálních alternativ, které by nebyly neúměrně nákladné / technicky neproveditelné, a jsou přijaty veškeré proveditelné kroky s cílem zmírnit nepříznivý vliv na stav vodního útvaru.</w:t>
      </w:r>
    </w:p>
  </w:footnote>
  <w:footnote w:id="57">
    <w:p w14:paraId="5C7A1311" w14:textId="2BB93944" w:rsidR="009836C2" w:rsidRPr="00615EE2" w:rsidRDefault="009836C2" w:rsidP="00EB46EA">
      <w:pPr>
        <w:pStyle w:val="Textpoznpodarou"/>
        <w:rPr>
          <w:sz w:val="18"/>
          <w:szCs w:val="18"/>
        </w:rPr>
      </w:pPr>
      <w:r w:rsidRPr="00615EE2">
        <w:rPr>
          <w:rStyle w:val="Znakapoznpodarou"/>
          <w:sz w:val="18"/>
          <w:szCs w:val="18"/>
        </w:rPr>
        <w:footnoteRef/>
      </w:r>
      <w:r w:rsidRPr="00615EE2">
        <w:rPr>
          <w:sz w:val="18"/>
          <w:szCs w:val="18"/>
        </w:rPr>
        <w:t xml:space="preserve"> Směrnice Evropského parlamentu a Rady 2011/92/EU ze dne 13. prosince 2011 o posuzování vlivů některých veřejných a soukromých záměrů na životní prostředí (Úř. věst. L 26, 28.1.2012, s. 1).</w:t>
      </w:r>
    </w:p>
  </w:footnote>
  <w:footnote w:id="58">
    <w:p w14:paraId="4CE93D8A" w14:textId="76236453" w:rsidR="009836C2" w:rsidRPr="00615EE2" w:rsidRDefault="009836C2" w:rsidP="00EB46EA">
      <w:pPr>
        <w:pStyle w:val="Textpoznpodarou"/>
        <w:rPr>
          <w:sz w:val="18"/>
          <w:szCs w:val="18"/>
        </w:rPr>
      </w:pPr>
      <w:r w:rsidRPr="00615EE2">
        <w:rPr>
          <w:rStyle w:val="Znakapoznpodarou"/>
          <w:sz w:val="18"/>
          <w:szCs w:val="18"/>
        </w:rPr>
        <w:footnoteRef/>
      </w:r>
      <w:r w:rsidRPr="00615EE2">
        <w:rPr>
          <w:sz w:val="18"/>
          <w:szCs w:val="18"/>
        </w:rPr>
        <w:t xml:space="preserve"> Postup, kterým příslušný orgán určuje, zda projekty uvedené v příloze II směrnice 2011/92/EU mají podléhat posouzení vlivů na životní prostředí (podle čl. 4 odst. 2 uvedené směrnice).</w:t>
      </w:r>
    </w:p>
  </w:footnote>
  <w:footnote w:id="59">
    <w:p w14:paraId="2AEAC6ED" w14:textId="35FAC6CF" w:rsidR="009836C2" w:rsidRPr="00615EE2" w:rsidRDefault="009836C2" w:rsidP="00EB46EA">
      <w:pPr>
        <w:pStyle w:val="Textpoznpodarou"/>
        <w:rPr>
          <w:sz w:val="18"/>
          <w:szCs w:val="18"/>
        </w:rPr>
      </w:pPr>
      <w:r w:rsidRPr="00615EE2">
        <w:rPr>
          <w:rStyle w:val="Znakapoznpodarou"/>
          <w:sz w:val="18"/>
          <w:szCs w:val="18"/>
        </w:rPr>
        <w:footnoteRef/>
      </w:r>
      <w:r w:rsidRPr="00615EE2">
        <w:rPr>
          <w:sz w:val="18"/>
          <w:szCs w:val="18"/>
        </w:rPr>
        <w:t xml:space="preserve"> V případě činností ve třetích zemích v souladu s rovnocennými platnými vnitrostátními předpisy nebo mezinárodními normami, například s normou výkonnosti IFC č. 1: Posuzování a řízení environmentálních a sociálních rizik.</w:t>
      </w:r>
    </w:p>
  </w:footnote>
  <w:footnote w:id="60">
    <w:p w14:paraId="0BDE4C3D" w14:textId="3DB2E43A" w:rsidR="009836C2" w:rsidRPr="00615EE2" w:rsidRDefault="009836C2" w:rsidP="00EB46EA">
      <w:pPr>
        <w:pStyle w:val="Textpoznpodarou"/>
        <w:rPr>
          <w:sz w:val="18"/>
          <w:szCs w:val="18"/>
        </w:rPr>
      </w:pPr>
      <w:r w:rsidRPr="00615EE2">
        <w:rPr>
          <w:rStyle w:val="Znakapoznpodarou"/>
          <w:sz w:val="18"/>
          <w:szCs w:val="18"/>
        </w:rPr>
        <w:footnoteRef/>
      </w:r>
      <w:r w:rsidRPr="00615EE2">
        <w:rPr>
          <w:sz w:val="18"/>
          <w:szCs w:val="18"/>
        </w:rPr>
        <w:t xml:space="preserve"> V souladu se směrnicemi 2009/147/ES a 92/43/EHS. V případě činností umístěných ve třetích zemích v souladu s rovnocennými platnými vnitrostátními právními předpisy nebo mezinárodními normami, které jsou zaměřeny na ochranu přírodních stanovišť, volně žijících živočichů a planě rostoucích rostlin a které vyžadují provedení 1) screeningu s cílem určit, zda je pro danou činnost zapotřebí náležité posouzení možných dopadů na chráněná stanoviště a druhy; 2) daného náležitého posouzení, pokud ze screeningu vyplyne, že je zapotřebí, například podle normy výkonnosti IFC č. 6: Ochrana biologické rozmanitosti a udržitelné řízení živých přírodních zdrojů.</w:t>
      </w:r>
    </w:p>
  </w:footnote>
  <w:footnote w:id="61">
    <w:p w14:paraId="6A1F8757" w14:textId="43F1A632" w:rsidR="009836C2" w:rsidRDefault="009836C2" w:rsidP="00EB46EA">
      <w:pPr>
        <w:pStyle w:val="Textpoznpodarou"/>
      </w:pPr>
      <w:r w:rsidRPr="00615EE2">
        <w:rPr>
          <w:rStyle w:val="Znakapoznpodarou"/>
          <w:sz w:val="18"/>
          <w:szCs w:val="18"/>
        </w:rPr>
        <w:footnoteRef/>
      </w:r>
      <w:r w:rsidRPr="00615EE2">
        <w:rPr>
          <w:sz w:val="18"/>
          <w:szCs w:val="18"/>
        </w:rPr>
        <w:t xml:space="preserve"> Tato opatření jsou určena s cílem zajistit, aby projekt, plán nebo činnost neměly významný vliv na cíle ochrany chráněné oblasti.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620893"/>
      <w:docPartObj>
        <w:docPartGallery w:val="Page Numbers (Top of Page)"/>
        <w:docPartUnique/>
      </w:docPartObj>
    </w:sdtPr>
    <w:sdtEndPr/>
    <w:sdtContent>
      <w:p w14:paraId="25CBA1D9" w14:textId="55FE420E" w:rsidR="000D6569" w:rsidRDefault="000D6569">
        <w:pPr>
          <w:pStyle w:val="Zhlav"/>
          <w:jc w:val="right"/>
        </w:pPr>
        <w:r>
          <w:fldChar w:fldCharType="begin"/>
        </w:r>
        <w:r>
          <w:instrText>PAGE   \* MERGEFORMAT</w:instrText>
        </w:r>
        <w:r>
          <w:fldChar w:fldCharType="separate"/>
        </w:r>
        <w:r>
          <w:t>2</w:t>
        </w:r>
        <w:r>
          <w:fldChar w:fldCharType="end"/>
        </w:r>
      </w:p>
    </w:sdtContent>
  </w:sdt>
  <w:p w14:paraId="5A75D9A4" w14:textId="21FA6FCB" w:rsidR="006875C0" w:rsidRDefault="006875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29CE" w14:textId="6201E487" w:rsidR="009836C2" w:rsidRDefault="009836C2">
    <w:pPr>
      <w:pStyle w:val="Zhlav"/>
    </w:pPr>
    <w:r>
      <w:rPr>
        <w:noProof/>
      </w:rPr>
      <w:drawing>
        <wp:inline distT="0" distB="0" distL="0" distR="0" wp14:anchorId="7DA8E941" wp14:editId="54095720">
          <wp:extent cx="5759450" cy="8375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837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F87"/>
    <w:multiLevelType w:val="hybridMultilevel"/>
    <w:tmpl w:val="15D4A5C4"/>
    <w:lvl w:ilvl="0" w:tplc="C492C67C">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1BB20D0"/>
    <w:multiLevelType w:val="hybridMultilevel"/>
    <w:tmpl w:val="A63A9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BC6FE5"/>
    <w:multiLevelType w:val="hybridMultilevel"/>
    <w:tmpl w:val="F13AC37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FA5494"/>
    <w:multiLevelType w:val="hybridMultilevel"/>
    <w:tmpl w:val="4E5236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132F9"/>
    <w:multiLevelType w:val="hybridMultilevel"/>
    <w:tmpl w:val="701E8888"/>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6937EC6"/>
    <w:multiLevelType w:val="hybridMultilevel"/>
    <w:tmpl w:val="9730AF9E"/>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B4958B2"/>
    <w:multiLevelType w:val="hybridMultilevel"/>
    <w:tmpl w:val="F6025540"/>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C656581"/>
    <w:multiLevelType w:val="hybridMultilevel"/>
    <w:tmpl w:val="8EF00A74"/>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1524AC0"/>
    <w:multiLevelType w:val="hybridMultilevel"/>
    <w:tmpl w:val="B590071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9" w15:restartNumberingAfterBreak="0">
    <w:nsid w:val="39AA791E"/>
    <w:multiLevelType w:val="hybridMultilevel"/>
    <w:tmpl w:val="A3103D3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B326BB"/>
    <w:multiLevelType w:val="hybridMultilevel"/>
    <w:tmpl w:val="C29EA5C2"/>
    <w:lvl w:ilvl="0" w:tplc="B2D6676A">
      <w:start w:val="4"/>
      <w:numFmt w:val="bullet"/>
      <w:lvlText w:val="-"/>
      <w:lvlJc w:val="left"/>
      <w:pPr>
        <w:ind w:left="405" w:hanging="360"/>
      </w:pPr>
      <w:rPr>
        <w:rFonts w:ascii="Calibri" w:eastAsia="Calibri" w:hAnsi="Calibri" w:cs="Calibri"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11" w15:restartNumberingAfterBreak="0">
    <w:nsid w:val="3BA8611F"/>
    <w:multiLevelType w:val="hybridMultilevel"/>
    <w:tmpl w:val="4BA8024A"/>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11B6B45"/>
    <w:multiLevelType w:val="hybridMultilevel"/>
    <w:tmpl w:val="FFE24264"/>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D870615"/>
    <w:multiLevelType w:val="multilevel"/>
    <w:tmpl w:val="FF88AE2C"/>
    <w:lvl w:ilvl="0">
      <w:start w:val="1"/>
      <w:numFmt w:val="decimal"/>
      <w:pStyle w:val="Nadpis1"/>
      <w:lvlText w:val="%1."/>
      <w:lvlJc w:val="left"/>
      <w:pPr>
        <w:ind w:left="360" w:hanging="360"/>
      </w:pPr>
      <w:rPr>
        <w:rFonts w:hint="default"/>
        <w:b/>
        <w:color w:val="1F4E79" w:themeColor="accent1" w:themeShade="80"/>
        <w:sz w:val="28"/>
        <w:szCs w:val="28"/>
      </w:rPr>
    </w:lvl>
    <w:lvl w:ilvl="1">
      <w:start w:val="1"/>
      <w:numFmt w:val="decimal"/>
      <w:pStyle w:val="Nadpis2"/>
      <w:lvlText w:val="%1.%2"/>
      <w:lvlJc w:val="left"/>
      <w:pPr>
        <w:ind w:left="1077" w:hanging="510"/>
      </w:pPr>
      <w:rPr>
        <w:rFonts w:hint="default"/>
        <w:i w:val="0"/>
      </w:rPr>
    </w:lvl>
    <w:lvl w:ilvl="2">
      <w:start w:val="1"/>
      <w:numFmt w:val="decimal"/>
      <w:pStyle w:val="Nadpis3"/>
      <w:lvlText w:val="%1.%2.%3"/>
      <w:lvlJc w:val="left"/>
      <w:pPr>
        <w:ind w:left="510" w:hanging="51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54174B4"/>
    <w:multiLevelType w:val="hybridMultilevel"/>
    <w:tmpl w:val="F912EC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B03C93"/>
    <w:multiLevelType w:val="hybridMultilevel"/>
    <w:tmpl w:val="98603D1A"/>
    <w:lvl w:ilvl="0" w:tplc="23C6C198">
      <w:start w:val="31"/>
      <w:numFmt w:val="bullet"/>
      <w:lvlText w:val="-"/>
      <w:lvlJc w:val="left"/>
      <w:pPr>
        <w:ind w:left="1301" w:hanging="360"/>
      </w:pPr>
      <w:rPr>
        <w:rFonts w:ascii="Calibri" w:eastAsia="Cambria" w:hAnsi="Calibri" w:cs="Calibri" w:hint="default"/>
      </w:rPr>
    </w:lvl>
    <w:lvl w:ilvl="1" w:tplc="04050003" w:tentative="1">
      <w:start w:val="1"/>
      <w:numFmt w:val="bullet"/>
      <w:lvlText w:val="o"/>
      <w:lvlJc w:val="left"/>
      <w:pPr>
        <w:ind w:left="2021" w:hanging="360"/>
      </w:pPr>
      <w:rPr>
        <w:rFonts w:ascii="Courier New" w:hAnsi="Courier New" w:cs="Courier New" w:hint="default"/>
      </w:rPr>
    </w:lvl>
    <w:lvl w:ilvl="2" w:tplc="04050005" w:tentative="1">
      <w:start w:val="1"/>
      <w:numFmt w:val="bullet"/>
      <w:lvlText w:val=""/>
      <w:lvlJc w:val="left"/>
      <w:pPr>
        <w:ind w:left="2741" w:hanging="360"/>
      </w:pPr>
      <w:rPr>
        <w:rFonts w:ascii="Wingdings" w:hAnsi="Wingdings" w:hint="default"/>
      </w:rPr>
    </w:lvl>
    <w:lvl w:ilvl="3" w:tplc="04050001" w:tentative="1">
      <w:start w:val="1"/>
      <w:numFmt w:val="bullet"/>
      <w:lvlText w:val=""/>
      <w:lvlJc w:val="left"/>
      <w:pPr>
        <w:ind w:left="3461" w:hanging="360"/>
      </w:pPr>
      <w:rPr>
        <w:rFonts w:ascii="Symbol" w:hAnsi="Symbol" w:hint="default"/>
      </w:rPr>
    </w:lvl>
    <w:lvl w:ilvl="4" w:tplc="04050003" w:tentative="1">
      <w:start w:val="1"/>
      <w:numFmt w:val="bullet"/>
      <w:lvlText w:val="o"/>
      <w:lvlJc w:val="left"/>
      <w:pPr>
        <w:ind w:left="4181" w:hanging="360"/>
      </w:pPr>
      <w:rPr>
        <w:rFonts w:ascii="Courier New" w:hAnsi="Courier New" w:cs="Courier New" w:hint="default"/>
      </w:rPr>
    </w:lvl>
    <w:lvl w:ilvl="5" w:tplc="04050005" w:tentative="1">
      <w:start w:val="1"/>
      <w:numFmt w:val="bullet"/>
      <w:lvlText w:val=""/>
      <w:lvlJc w:val="left"/>
      <w:pPr>
        <w:ind w:left="4901" w:hanging="360"/>
      </w:pPr>
      <w:rPr>
        <w:rFonts w:ascii="Wingdings" w:hAnsi="Wingdings" w:hint="default"/>
      </w:rPr>
    </w:lvl>
    <w:lvl w:ilvl="6" w:tplc="04050001" w:tentative="1">
      <w:start w:val="1"/>
      <w:numFmt w:val="bullet"/>
      <w:lvlText w:val=""/>
      <w:lvlJc w:val="left"/>
      <w:pPr>
        <w:ind w:left="5621" w:hanging="360"/>
      </w:pPr>
      <w:rPr>
        <w:rFonts w:ascii="Symbol" w:hAnsi="Symbol" w:hint="default"/>
      </w:rPr>
    </w:lvl>
    <w:lvl w:ilvl="7" w:tplc="04050003" w:tentative="1">
      <w:start w:val="1"/>
      <w:numFmt w:val="bullet"/>
      <w:lvlText w:val="o"/>
      <w:lvlJc w:val="left"/>
      <w:pPr>
        <w:ind w:left="6341" w:hanging="360"/>
      </w:pPr>
      <w:rPr>
        <w:rFonts w:ascii="Courier New" w:hAnsi="Courier New" w:cs="Courier New" w:hint="default"/>
      </w:rPr>
    </w:lvl>
    <w:lvl w:ilvl="8" w:tplc="04050005" w:tentative="1">
      <w:start w:val="1"/>
      <w:numFmt w:val="bullet"/>
      <w:lvlText w:val=""/>
      <w:lvlJc w:val="left"/>
      <w:pPr>
        <w:ind w:left="7061" w:hanging="360"/>
      </w:pPr>
      <w:rPr>
        <w:rFonts w:ascii="Wingdings" w:hAnsi="Wingdings" w:hint="default"/>
      </w:rPr>
    </w:lvl>
  </w:abstractNum>
  <w:abstractNum w:abstractNumId="16" w15:restartNumberingAfterBreak="0">
    <w:nsid w:val="60427BEC"/>
    <w:multiLevelType w:val="hybridMultilevel"/>
    <w:tmpl w:val="CFACB7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8B52291"/>
    <w:multiLevelType w:val="hybridMultilevel"/>
    <w:tmpl w:val="ADAAFEA6"/>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DAE71B0"/>
    <w:multiLevelType w:val="hybridMultilevel"/>
    <w:tmpl w:val="10DADD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885D99"/>
    <w:multiLevelType w:val="hybridMultilevel"/>
    <w:tmpl w:val="7422C5B6"/>
    <w:lvl w:ilvl="0" w:tplc="F718EDE8">
      <w:start w:val="1"/>
      <w:numFmt w:val="lowerLetter"/>
      <w:lvlText w:val="%1)"/>
      <w:lvlJc w:val="left"/>
      <w:pPr>
        <w:ind w:left="816" w:hanging="45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516796">
    <w:abstractNumId w:val="15"/>
  </w:num>
  <w:num w:numId="2" w16cid:durableId="1281305540">
    <w:abstractNumId w:val="13"/>
  </w:num>
  <w:num w:numId="3" w16cid:durableId="1447114633">
    <w:abstractNumId w:val="8"/>
  </w:num>
  <w:num w:numId="4" w16cid:durableId="1367101485">
    <w:abstractNumId w:val="14"/>
  </w:num>
  <w:num w:numId="5" w16cid:durableId="1850681566">
    <w:abstractNumId w:val="2"/>
  </w:num>
  <w:num w:numId="6" w16cid:durableId="1660578964">
    <w:abstractNumId w:val="9"/>
  </w:num>
  <w:num w:numId="7" w16cid:durableId="479689055">
    <w:abstractNumId w:val="1"/>
  </w:num>
  <w:num w:numId="8" w16cid:durableId="1797405380">
    <w:abstractNumId w:val="18"/>
  </w:num>
  <w:num w:numId="9" w16cid:durableId="2115054142">
    <w:abstractNumId w:val="3"/>
  </w:num>
  <w:num w:numId="10" w16cid:durableId="701594243">
    <w:abstractNumId w:val="19"/>
  </w:num>
  <w:num w:numId="11" w16cid:durableId="1932006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1184989">
    <w:abstractNumId w:val="10"/>
  </w:num>
  <w:num w:numId="13" w16cid:durableId="119685955">
    <w:abstractNumId w:val="4"/>
  </w:num>
  <w:num w:numId="14" w16cid:durableId="1713840352">
    <w:abstractNumId w:val="6"/>
  </w:num>
  <w:num w:numId="15" w16cid:durableId="1088230437">
    <w:abstractNumId w:val="0"/>
  </w:num>
  <w:num w:numId="16" w16cid:durableId="351617349">
    <w:abstractNumId w:val="5"/>
  </w:num>
  <w:num w:numId="17" w16cid:durableId="334767217">
    <w:abstractNumId w:val="7"/>
  </w:num>
  <w:num w:numId="18" w16cid:durableId="1399788521">
    <w:abstractNumId w:val="12"/>
  </w:num>
  <w:num w:numId="19" w16cid:durableId="1098793660">
    <w:abstractNumId w:val="11"/>
  </w:num>
  <w:num w:numId="20" w16cid:durableId="4014143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E1"/>
    <w:rsid w:val="0003133C"/>
    <w:rsid w:val="000623FC"/>
    <w:rsid w:val="000D6569"/>
    <w:rsid w:val="00115A90"/>
    <w:rsid w:val="00137B1B"/>
    <w:rsid w:val="00144939"/>
    <w:rsid w:val="001B709B"/>
    <w:rsid w:val="001E04E9"/>
    <w:rsid w:val="002313CB"/>
    <w:rsid w:val="002427C9"/>
    <w:rsid w:val="00306D66"/>
    <w:rsid w:val="003C0EE1"/>
    <w:rsid w:val="003F2687"/>
    <w:rsid w:val="003F2939"/>
    <w:rsid w:val="004035C9"/>
    <w:rsid w:val="00451BE5"/>
    <w:rsid w:val="00505614"/>
    <w:rsid w:val="00545C85"/>
    <w:rsid w:val="005659D7"/>
    <w:rsid w:val="0056612A"/>
    <w:rsid w:val="00566BDF"/>
    <w:rsid w:val="00572524"/>
    <w:rsid w:val="00597684"/>
    <w:rsid w:val="005C6818"/>
    <w:rsid w:val="00615EE2"/>
    <w:rsid w:val="006875C0"/>
    <w:rsid w:val="006A3D77"/>
    <w:rsid w:val="006E003D"/>
    <w:rsid w:val="007B7599"/>
    <w:rsid w:val="007F7FC7"/>
    <w:rsid w:val="00845530"/>
    <w:rsid w:val="0085608F"/>
    <w:rsid w:val="00860697"/>
    <w:rsid w:val="00934729"/>
    <w:rsid w:val="009740DB"/>
    <w:rsid w:val="009836C2"/>
    <w:rsid w:val="00983C09"/>
    <w:rsid w:val="009A44CD"/>
    <w:rsid w:val="00AF1D1B"/>
    <w:rsid w:val="00B132E0"/>
    <w:rsid w:val="00B83FE1"/>
    <w:rsid w:val="00B9407D"/>
    <w:rsid w:val="00BF4048"/>
    <w:rsid w:val="00C11F31"/>
    <w:rsid w:val="00C70B23"/>
    <w:rsid w:val="00C80A7C"/>
    <w:rsid w:val="00CA0E58"/>
    <w:rsid w:val="00D0545F"/>
    <w:rsid w:val="00E27DB4"/>
    <w:rsid w:val="00E54E33"/>
    <w:rsid w:val="00EB46EA"/>
    <w:rsid w:val="00EF0125"/>
    <w:rsid w:val="00EF5F1B"/>
    <w:rsid w:val="00F0549C"/>
    <w:rsid w:val="00F10F0C"/>
    <w:rsid w:val="00F472B2"/>
    <w:rsid w:val="00F73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D5B409"/>
  <w15:chartTrackingRefBased/>
  <w15:docId w15:val="{7F960E7D-F448-4A8D-B333-B367F74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D0545F"/>
    <w:pPr>
      <w:keepNext/>
      <w:widowControl/>
      <w:numPr>
        <w:numId w:val="2"/>
      </w:numPr>
      <w:autoSpaceDE/>
      <w:autoSpaceDN/>
      <w:spacing w:before="240" w:after="240" w:line="264" w:lineRule="auto"/>
      <w:jc w:val="both"/>
      <w:outlineLvl w:val="0"/>
    </w:pPr>
    <w:rPr>
      <w:rFonts w:ascii="Segoe UI" w:eastAsiaTheme="minorHAnsi" w:hAnsi="Segoe UI" w:cs="Segoe UI"/>
      <w:b/>
      <w:color w:val="1F4E79" w:themeColor="accent1" w:themeShade="80"/>
      <w:sz w:val="28"/>
      <w:szCs w:val="28"/>
      <w:lang w:eastAsia="en-US" w:bidi="ar-SA"/>
    </w:rPr>
  </w:style>
  <w:style w:type="paragraph" w:styleId="Nadpis2">
    <w:name w:val="heading 2"/>
    <w:basedOn w:val="Nadpis1"/>
    <w:next w:val="Normln"/>
    <w:link w:val="Nadpis2Char"/>
    <w:uiPriority w:val="9"/>
    <w:unhideWhenUsed/>
    <w:qFormat/>
    <w:rsid w:val="00D0545F"/>
    <w:pPr>
      <w:numPr>
        <w:ilvl w:val="1"/>
      </w:numPr>
      <w:outlineLvl w:val="1"/>
    </w:pPr>
    <w:rPr>
      <w:sz w:val="24"/>
      <w:szCs w:val="24"/>
    </w:rPr>
  </w:style>
  <w:style w:type="paragraph" w:styleId="Nadpis3">
    <w:name w:val="heading 3"/>
    <w:basedOn w:val="Nadpis2"/>
    <w:next w:val="Normln"/>
    <w:link w:val="Nadpis3Char"/>
    <w:uiPriority w:val="9"/>
    <w:unhideWhenUsed/>
    <w:qFormat/>
    <w:rsid w:val="00D0545F"/>
    <w:pPr>
      <w:numPr>
        <w:ilvl w:val="2"/>
      </w:numPr>
      <w:outlineLvl w:val="2"/>
    </w:pPr>
    <w:rPr>
      <w:b w:val="0"/>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Conclusion de partie,_Odstavec se seznamem,Seznam - odrážky,Fiche List Paragraph,List Paragraph (Czech Tourism),Název grafu,nad 1,Odstavec se seznamem2,List Paragraph,Odstavec_muj1"/>
    <w:basedOn w:val="Normln"/>
    <w:link w:val="OdstavecseseznamemChar"/>
    <w:uiPriority w:val="34"/>
    <w:qFormat/>
    <w:rsid w:val="003C0EE1"/>
    <w:pPr>
      <w:widowControl w:val="0"/>
      <w:autoSpaceDE w:val="0"/>
      <w:autoSpaceDN w:val="0"/>
      <w:spacing w:after="0" w:line="240" w:lineRule="auto"/>
      <w:ind w:left="938" w:hanging="361"/>
    </w:pPr>
    <w:rPr>
      <w:rFonts w:ascii="Cambria" w:eastAsia="Cambria" w:hAnsi="Cambria" w:cs="Cambria"/>
      <w:lang w:eastAsia="cs-CZ" w:bidi="cs-CZ"/>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4"/>
    <w:qFormat/>
    <w:locked/>
    <w:rsid w:val="003C0EE1"/>
    <w:rPr>
      <w:rFonts w:ascii="Cambria" w:eastAsia="Cambria" w:hAnsi="Cambria" w:cs="Cambria"/>
      <w:lang w:eastAsia="cs-CZ" w:bidi="cs-CZ"/>
    </w:rPr>
  </w:style>
  <w:style w:type="character" w:customStyle="1" w:styleId="Nadpis1Char">
    <w:name w:val="Nadpis 1 Char"/>
    <w:basedOn w:val="Standardnpsmoodstavce"/>
    <w:link w:val="Nadpis1"/>
    <w:uiPriority w:val="9"/>
    <w:rsid w:val="00D0545F"/>
    <w:rPr>
      <w:rFonts w:ascii="Segoe UI" w:hAnsi="Segoe UI" w:cs="Segoe UI"/>
      <w:b/>
      <w:color w:val="1F4E79" w:themeColor="accent1" w:themeShade="80"/>
      <w:sz w:val="28"/>
      <w:szCs w:val="28"/>
    </w:rPr>
  </w:style>
  <w:style w:type="character" w:customStyle="1" w:styleId="Nadpis2Char">
    <w:name w:val="Nadpis 2 Char"/>
    <w:basedOn w:val="Standardnpsmoodstavce"/>
    <w:link w:val="Nadpis2"/>
    <w:uiPriority w:val="9"/>
    <w:rsid w:val="00D0545F"/>
    <w:rPr>
      <w:rFonts w:ascii="Segoe UI" w:hAnsi="Segoe UI" w:cs="Segoe UI"/>
      <w:b/>
      <w:color w:val="1F4E79" w:themeColor="accent1" w:themeShade="80"/>
      <w:sz w:val="24"/>
      <w:szCs w:val="24"/>
    </w:rPr>
  </w:style>
  <w:style w:type="character" w:customStyle="1" w:styleId="Nadpis3Char">
    <w:name w:val="Nadpis 3 Char"/>
    <w:basedOn w:val="Standardnpsmoodstavce"/>
    <w:link w:val="Nadpis3"/>
    <w:uiPriority w:val="9"/>
    <w:rsid w:val="00D0545F"/>
    <w:rPr>
      <w:rFonts w:ascii="Segoe UI" w:hAnsi="Segoe UI" w:cs="Segoe UI"/>
      <w:bCs/>
      <w:color w:val="1F4E79" w:themeColor="accent1" w:themeShade="80"/>
      <w:sz w:val="20"/>
      <w:szCs w:val="20"/>
    </w:rPr>
  </w:style>
  <w:style w:type="paragraph" w:styleId="Bezmezer">
    <w:name w:val="No Spacing"/>
    <w:uiPriority w:val="1"/>
    <w:qFormat/>
    <w:rsid w:val="00D0545F"/>
    <w:pPr>
      <w:spacing w:after="0" w:line="240" w:lineRule="auto"/>
      <w:jc w:val="both"/>
    </w:pPr>
    <w:rPr>
      <w:rFonts w:ascii="Segoe UI" w:hAnsi="Segoe UI" w:cs="Segoe UI"/>
      <w:color w:val="404040" w:themeColor="text1" w:themeTint="BF"/>
      <w:sz w:val="20"/>
      <w:szCs w:val="20"/>
    </w:rPr>
  </w:style>
  <w:style w:type="character" w:styleId="Hypertextovodkaz">
    <w:name w:val="Hyperlink"/>
    <w:uiPriority w:val="99"/>
    <w:unhideWhenUsed/>
    <w:rsid w:val="00144939"/>
    <w:rPr>
      <w:color w:val="0000FF"/>
      <w:u w:val="single"/>
    </w:rPr>
  </w:style>
  <w:style w:type="paragraph" w:styleId="Textpoznpodarou">
    <w:name w:val="footnote text"/>
    <w:basedOn w:val="Normln"/>
    <w:link w:val="TextpoznpodarouChar"/>
    <w:uiPriority w:val="99"/>
    <w:unhideWhenUsed/>
    <w:rsid w:val="00144939"/>
    <w:pPr>
      <w:overflowPunct w:val="0"/>
      <w:autoSpaceDE w:val="0"/>
      <w:autoSpaceDN w:val="0"/>
      <w:adjustRightInd w:val="0"/>
      <w:spacing w:after="0" w:line="240" w:lineRule="auto"/>
    </w:pPr>
    <w:rPr>
      <w:rFonts w:ascii="Calibri" w:eastAsia="Times New Roman" w:hAnsi="Calibri" w:cs="Times New Roman"/>
      <w:sz w:val="20"/>
      <w:szCs w:val="20"/>
      <w:lang w:eastAsia="cs-CZ"/>
    </w:rPr>
  </w:style>
  <w:style w:type="character" w:customStyle="1" w:styleId="TextpoznpodarouChar">
    <w:name w:val="Text pozn. pod čarou Char"/>
    <w:basedOn w:val="Standardnpsmoodstavce"/>
    <w:link w:val="Textpoznpodarou"/>
    <w:uiPriority w:val="99"/>
    <w:rsid w:val="00144939"/>
    <w:rPr>
      <w:rFonts w:ascii="Calibri" w:eastAsia="Times New Roman" w:hAnsi="Calibri"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144939"/>
    <w:rPr>
      <w:vertAlign w:val="superscript"/>
    </w:rPr>
  </w:style>
  <w:style w:type="paragraph" w:customStyle="1" w:styleId="Default">
    <w:name w:val="Default"/>
    <w:rsid w:val="003F2687"/>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C70B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0B23"/>
  </w:style>
  <w:style w:type="paragraph" w:styleId="Zpat">
    <w:name w:val="footer"/>
    <w:basedOn w:val="Normln"/>
    <w:link w:val="ZpatChar"/>
    <w:uiPriority w:val="99"/>
    <w:unhideWhenUsed/>
    <w:rsid w:val="00C70B23"/>
    <w:pPr>
      <w:tabs>
        <w:tab w:val="center" w:pos="4536"/>
        <w:tab w:val="right" w:pos="9072"/>
      </w:tabs>
      <w:spacing w:after="0" w:line="240" w:lineRule="auto"/>
    </w:pPr>
  </w:style>
  <w:style w:type="character" w:customStyle="1" w:styleId="ZpatChar">
    <w:name w:val="Zápatí Char"/>
    <w:basedOn w:val="Standardnpsmoodstavce"/>
    <w:link w:val="Zpat"/>
    <w:uiPriority w:val="99"/>
    <w:rsid w:val="00C70B23"/>
  </w:style>
  <w:style w:type="character" w:styleId="Zdraznn">
    <w:name w:val="Emphasis"/>
    <w:basedOn w:val="Standardnpsmoodstavce"/>
    <w:uiPriority w:val="20"/>
    <w:qFormat/>
    <w:rsid w:val="00B9407D"/>
    <w:rPr>
      <w:i/>
      <w:iCs/>
    </w:rPr>
  </w:style>
  <w:style w:type="paragraph" w:customStyle="1" w:styleId="Point0">
    <w:name w:val="Point 0"/>
    <w:basedOn w:val="Normln"/>
    <w:rsid w:val="00B9407D"/>
    <w:pPr>
      <w:spacing w:before="120" w:after="120" w:line="240" w:lineRule="auto"/>
      <w:ind w:left="850" w:hanging="850"/>
      <w:jc w:val="both"/>
    </w:pPr>
    <w:rPr>
      <w:rFonts w:ascii="Times New Roman" w:hAnsi="Times New Roman" w:cs="Times New Roman"/>
      <w:sz w:val="24"/>
    </w:rPr>
  </w:style>
  <w:style w:type="table" w:customStyle="1" w:styleId="TableGrid1">
    <w:name w:val="Table Grid1"/>
    <w:basedOn w:val="Normlntabulka"/>
    <w:next w:val="Mkatabulky"/>
    <w:uiPriority w:val="59"/>
    <w:rsid w:val="007B7599"/>
    <w:pPr>
      <w:spacing w:before="200"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1">
    <w:name w:val="Manual Heading 1"/>
    <w:basedOn w:val="Normln"/>
    <w:next w:val="Normln"/>
    <w:rsid w:val="007B7599"/>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table" w:styleId="Mkatabulky">
    <w:name w:val="Table Grid"/>
    <w:basedOn w:val="Normlntabulka"/>
    <w:uiPriority w:val="39"/>
    <w:rsid w:val="007B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B7599"/>
    <w:rPr>
      <w:color w:val="605E5C"/>
      <w:shd w:val="clear" w:color="auto" w:fill="E1DFDD"/>
    </w:rPr>
  </w:style>
  <w:style w:type="paragraph" w:customStyle="1" w:styleId="ManualHeading2">
    <w:name w:val="Manual Heading 2"/>
    <w:basedOn w:val="Normln"/>
    <w:next w:val="Normln"/>
    <w:rsid w:val="007B7599"/>
    <w:pPr>
      <w:keepNext/>
      <w:tabs>
        <w:tab w:val="left" w:pos="850"/>
      </w:tabs>
      <w:spacing w:before="120" w:after="120" w:line="240" w:lineRule="auto"/>
      <w:ind w:left="850" w:hanging="850"/>
      <w:jc w:val="both"/>
      <w:outlineLvl w:val="1"/>
    </w:pPr>
    <w:rPr>
      <w:rFonts w:ascii="Times New Roman" w:hAnsi="Times New Roman" w:cs="Times New Roman"/>
      <w:b/>
      <w:sz w:val="24"/>
    </w:rPr>
  </w:style>
  <w:style w:type="character" w:styleId="Sledovanodkaz">
    <w:name w:val="FollowedHyperlink"/>
    <w:basedOn w:val="Standardnpsmoodstavce"/>
    <w:uiPriority w:val="99"/>
    <w:semiHidden/>
    <w:unhideWhenUsed/>
    <w:rsid w:val="00860697"/>
    <w:rPr>
      <w:color w:val="954F72" w:themeColor="followedHyperlink"/>
      <w:u w:val="single"/>
    </w:rPr>
  </w:style>
  <w:style w:type="character" w:styleId="Odkaznakoment">
    <w:name w:val="annotation reference"/>
    <w:basedOn w:val="Standardnpsmoodstavce"/>
    <w:uiPriority w:val="99"/>
    <w:semiHidden/>
    <w:unhideWhenUsed/>
    <w:rsid w:val="00860697"/>
    <w:rPr>
      <w:sz w:val="16"/>
      <w:szCs w:val="16"/>
    </w:rPr>
  </w:style>
  <w:style w:type="paragraph" w:styleId="Textkomente">
    <w:name w:val="annotation text"/>
    <w:basedOn w:val="Normln"/>
    <w:link w:val="TextkomenteChar"/>
    <w:uiPriority w:val="99"/>
    <w:semiHidden/>
    <w:unhideWhenUsed/>
    <w:rsid w:val="00860697"/>
    <w:pPr>
      <w:spacing w:line="240" w:lineRule="auto"/>
    </w:pPr>
    <w:rPr>
      <w:sz w:val="20"/>
      <w:szCs w:val="20"/>
    </w:rPr>
  </w:style>
  <w:style w:type="character" w:customStyle="1" w:styleId="TextkomenteChar">
    <w:name w:val="Text komentáře Char"/>
    <w:basedOn w:val="Standardnpsmoodstavce"/>
    <w:link w:val="Textkomente"/>
    <w:uiPriority w:val="99"/>
    <w:semiHidden/>
    <w:rsid w:val="00860697"/>
    <w:rPr>
      <w:sz w:val="20"/>
      <w:szCs w:val="20"/>
    </w:rPr>
  </w:style>
  <w:style w:type="paragraph" w:styleId="Pedmtkomente">
    <w:name w:val="annotation subject"/>
    <w:basedOn w:val="Textkomente"/>
    <w:next w:val="Textkomente"/>
    <w:link w:val="PedmtkomenteChar"/>
    <w:uiPriority w:val="99"/>
    <w:semiHidden/>
    <w:unhideWhenUsed/>
    <w:rsid w:val="00860697"/>
    <w:rPr>
      <w:b/>
      <w:bCs/>
    </w:rPr>
  </w:style>
  <w:style w:type="character" w:customStyle="1" w:styleId="PedmtkomenteChar">
    <w:name w:val="Předmět komentáře Char"/>
    <w:basedOn w:val="TextkomenteChar"/>
    <w:link w:val="Pedmtkomente"/>
    <w:uiPriority w:val="99"/>
    <w:semiHidden/>
    <w:rsid w:val="00860697"/>
    <w:rPr>
      <w:b/>
      <w:bCs/>
      <w:sz w:val="20"/>
      <w:szCs w:val="20"/>
    </w:rPr>
  </w:style>
  <w:style w:type="paragraph" w:styleId="Nzev">
    <w:name w:val="Title"/>
    <w:basedOn w:val="Normln"/>
    <w:next w:val="Normln"/>
    <w:link w:val="NzevChar"/>
    <w:uiPriority w:val="10"/>
    <w:qFormat/>
    <w:rsid w:val="00983C09"/>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120" w:after="0" w:line="264" w:lineRule="auto"/>
      <w:jc w:val="center"/>
    </w:pPr>
    <w:rPr>
      <w:rFonts w:ascii="Segoe UI" w:hAnsi="Segoe UI" w:cs="Segoe UI"/>
      <w:b/>
      <w:color w:val="1F4E79" w:themeColor="accent1" w:themeShade="80"/>
      <w:sz w:val="48"/>
      <w:szCs w:val="48"/>
    </w:rPr>
  </w:style>
  <w:style w:type="character" w:customStyle="1" w:styleId="NzevChar">
    <w:name w:val="Název Char"/>
    <w:basedOn w:val="Standardnpsmoodstavce"/>
    <w:link w:val="Nzev"/>
    <w:uiPriority w:val="10"/>
    <w:rsid w:val="00983C09"/>
    <w:rPr>
      <w:rFonts w:ascii="Segoe UI" w:hAnsi="Segoe UI" w:cs="Segoe UI"/>
      <w:b/>
      <w:color w:val="1F4E79" w:themeColor="accent1" w:themeShade="80"/>
      <w:sz w:val="48"/>
      <w:szCs w:val="48"/>
      <w:shd w:val="clear" w:color="auto" w:fill="F2F2F2" w:themeFill="background1" w:themeFillShade="F2"/>
    </w:rPr>
  </w:style>
  <w:style w:type="paragraph" w:customStyle="1" w:styleId="Zkladnodstavec">
    <w:name w:val="[Základní odstavec]"/>
    <w:basedOn w:val="Normln"/>
    <w:link w:val="ZkladnodstavecChar"/>
    <w:uiPriority w:val="99"/>
    <w:rsid w:val="00983C09"/>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vodka">
    <w:name w:val="úvodka"/>
    <w:basedOn w:val="Zkladnodstavec"/>
    <w:link w:val="vodkaChar"/>
    <w:qFormat/>
    <w:rsid w:val="00983C09"/>
    <w:pPr>
      <w:jc w:val="center"/>
    </w:pPr>
    <w:rPr>
      <w:rFonts w:asciiTheme="majorHAnsi" w:hAnsiTheme="majorHAnsi" w:cs="MyriadPro-Black"/>
      <w:caps/>
      <w:sz w:val="40"/>
      <w:szCs w:val="60"/>
    </w:rPr>
  </w:style>
  <w:style w:type="character" w:customStyle="1" w:styleId="ZkladnodstavecChar">
    <w:name w:val="[Základní odstavec] Char"/>
    <w:basedOn w:val="Standardnpsmoodstavce"/>
    <w:link w:val="Zkladnodstavec"/>
    <w:uiPriority w:val="99"/>
    <w:rsid w:val="00983C09"/>
    <w:rPr>
      <w:rFonts w:ascii="MinionPro-Regular" w:eastAsia="MS Mincho" w:hAnsi="MinionPro-Regular" w:cs="MinionPro-Regular"/>
      <w:color w:val="000000"/>
      <w:sz w:val="24"/>
      <w:szCs w:val="24"/>
      <w:lang w:eastAsia="ja-JP"/>
    </w:rPr>
  </w:style>
  <w:style w:type="character" w:customStyle="1" w:styleId="vodkaChar">
    <w:name w:val="úvodka Char"/>
    <w:basedOn w:val="ZkladnodstavecChar"/>
    <w:link w:val="vodka"/>
    <w:rsid w:val="00983C09"/>
    <w:rPr>
      <w:rFonts w:asciiTheme="majorHAnsi" w:eastAsia="MS Mincho" w:hAnsiTheme="majorHAnsi" w:cs="MyriadPro-Black"/>
      <w:caps/>
      <w:color w:val="000000"/>
      <w:sz w:val="40"/>
      <w:szCs w:val="6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92371">
      <w:bodyDiv w:val="1"/>
      <w:marLeft w:val="0"/>
      <w:marRight w:val="0"/>
      <w:marTop w:val="0"/>
      <w:marBottom w:val="0"/>
      <w:divBdr>
        <w:top w:val="none" w:sz="0" w:space="0" w:color="auto"/>
        <w:left w:val="none" w:sz="0" w:space="0" w:color="auto"/>
        <w:bottom w:val="none" w:sz="0" w:space="0" w:color="auto"/>
        <w:right w:val="none" w:sz="0" w:space="0" w:color="auto"/>
      </w:divBdr>
    </w:div>
    <w:div w:id="686566492">
      <w:bodyDiv w:val="1"/>
      <w:marLeft w:val="0"/>
      <w:marRight w:val="0"/>
      <w:marTop w:val="0"/>
      <w:marBottom w:val="0"/>
      <w:divBdr>
        <w:top w:val="none" w:sz="0" w:space="0" w:color="auto"/>
        <w:left w:val="none" w:sz="0" w:space="0" w:color="auto"/>
        <w:bottom w:val="none" w:sz="0" w:space="0" w:color="auto"/>
        <w:right w:val="none" w:sz="0" w:space="0" w:color="auto"/>
      </w:divBdr>
    </w:div>
    <w:div w:id="1062143128">
      <w:bodyDiv w:val="1"/>
      <w:marLeft w:val="0"/>
      <w:marRight w:val="0"/>
      <w:marTop w:val="0"/>
      <w:marBottom w:val="0"/>
      <w:divBdr>
        <w:top w:val="none" w:sz="0" w:space="0" w:color="auto"/>
        <w:left w:val="none" w:sz="0" w:space="0" w:color="auto"/>
        <w:bottom w:val="none" w:sz="0" w:space="0" w:color="auto"/>
        <w:right w:val="none" w:sz="0" w:space="0" w:color="auto"/>
      </w:divBdr>
    </w:div>
    <w:div w:id="1384478461">
      <w:bodyDiv w:val="1"/>
      <w:marLeft w:val="0"/>
      <w:marRight w:val="0"/>
      <w:marTop w:val="0"/>
      <w:marBottom w:val="0"/>
      <w:divBdr>
        <w:top w:val="none" w:sz="0" w:space="0" w:color="auto"/>
        <w:left w:val="none" w:sz="0" w:space="0" w:color="auto"/>
        <w:bottom w:val="none" w:sz="0" w:space="0" w:color="auto"/>
        <w:right w:val="none" w:sz="0" w:space="0" w:color="auto"/>
      </w:divBdr>
    </w:div>
    <w:div w:id="20028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CS/TXT/?uri=PI_COM%3AC%282021%292800" TargetMode="External"/><Relationship Id="rId13" Type="http://schemas.openxmlformats.org/officeDocument/2006/relationships/hyperlink" Target="http://www.fao.org/3/I8661EN/i8661en.pdf" TargetMode="External"/><Relationship Id="rId3" Type="http://schemas.openxmlformats.org/officeDocument/2006/relationships/hyperlink" Target="https://ec.europa.eu/regional_policy/cs/information/publications/studies/2013/green-public-procurement-criteria-for-waste-water-infrastructure" TargetMode="External"/><Relationship Id="rId7" Type="http://schemas.openxmlformats.org/officeDocument/2006/relationships/hyperlink" Target="https://susproc.jrc.ec.europa.eu/product-bureau/product-groups/412/documents" TargetMode="External"/><Relationship Id="rId12" Type="http://schemas.openxmlformats.org/officeDocument/2006/relationships/hyperlink" Target="https://eurlex.europa.eu/legalcontent/CS/TXT/?uri=PI_COM%3AC%282021%292800" TargetMode="External"/><Relationship Id="rId2" Type="http://schemas.openxmlformats.org/officeDocument/2006/relationships/hyperlink" Target="https://ec.europa.eu/environment/emas/emas_publications/sectoral_reference_documents_en.htm" TargetMode="External"/><Relationship Id="rId1" Type="http://schemas.openxmlformats.org/officeDocument/2006/relationships/hyperlink" Target="https://ec.europa.eu/environment/ecolabel/products-groups-and-criteria.html" TargetMode="External"/><Relationship Id="rId6" Type="http://schemas.openxmlformats.org/officeDocument/2006/relationships/hyperlink" Target="https://eur-lex.europa.eu/legal-content/CS/TXT/?uri=uriserv%3AOJ.C_.2021.437.01.0001.01.CES&amp;toc=OJ%3AC%3A2021%3A437%3AFULL" TargetMode="External"/><Relationship Id="rId11" Type="http://schemas.openxmlformats.org/officeDocument/2006/relationships/hyperlink" Target="https://susproc.jrc.ec.europa.eu/product-bureau/product-groups/412/documents" TargetMode="External"/><Relationship Id="rId5" Type="http://schemas.openxmlformats.org/officeDocument/2006/relationships/hyperlink" Target="https://eur-lex.europa.eu/legal-content/CS/TXT/?uri=uriserv%3AOJ.C_.2019.214.01.0001.01.CES&amp;toc=OJ%3AC%3A2019%3A214%3AFULL" TargetMode="External"/><Relationship Id="rId15" Type="http://schemas.openxmlformats.org/officeDocument/2006/relationships/hyperlink" Target="https://eur-lex.europa.eu/legal-content/CS/TXT/DOC/?uri=PI_COM:C(2021)2800&amp;from=CS" TargetMode="External"/><Relationship Id="rId10" Type="http://schemas.openxmlformats.org/officeDocument/2006/relationships/hyperlink" Target="https://eur-lex.europa.eu/legal-content/CS/TXT/?uri=PI_COM%3AC%282021%292800" TargetMode="External"/><Relationship Id="rId4" Type="http://schemas.openxmlformats.org/officeDocument/2006/relationships/hyperlink" Target="https://eippcb.jrc.ec.europa.eu/reference%20" TargetMode="External"/><Relationship Id="rId9" Type="http://schemas.openxmlformats.org/officeDocument/2006/relationships/hyperlink" Target="http://www.fao.org/3/I8661EN/i8661en.pdf" TargetMode="External"/><Relationship Id="rId14" Type="http://schemas.openxmlformats.org/officeDocument/2006/relationships/hyperlink" Target="https://eur-lex.europa.eu/legal-content/CS/TXT/DOC/?uri=PI_COM:C(2021)2800&amp;from=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7EF5-53C7-4437-9946-BC3E1A1A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5043</Words>
  <Characters>29757</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Truncová Hana Ing. (MPSV)</dc:creator>
  <cp:keywords/>
  <dc:description/>
  <cp:lastModifiedBy>Kymrová Jana - Energy Benefit Centre a.s.</cp:lastModifiedBy>
  <cp:revision>2</cp:revision>
  <dcterms:created xsi:type="dcterms:W3CDTF">2023-09-18T12:00:00Z</dcterms:created>
  <dcterms:modified xsi:type="dcterms:W3CDTF">2023-09-18T12:00:00Z</dcterms:modified>
</cp:coreProperties>
</file>