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BB746B" w:rsidRPr="00574136">
        <w:rPr>
          <w:rFonts w:ascii="Calibri" w:hAnsi="Calibri" w:cs="Calibri"/>
          <w:b w:val="0"/>
          <w:sz w:val="22"/>
          <w:szCs w:val="22"/>
        </w:rPr>
        <w:t>veřejné zakázky malého rozsahu</w:t>
      </w:r>
      <w:r w:rsidRPr="00574136">
        <w:rPr>
          <w:rFonts w:ascii="Calibri" w:hAnsi="Calibri" w:cs="Calibri"/>
          <w:b w:val="0"/>
          <w:sz w:val="22"/>
          <w:szCs w:val="22"/>
        </w:rPr>
        <w:t xml:space="preserve"> na 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proofErr w:type="spellStart"/>
      <w:r w:rsidR="00C939AD" w:rsidRPr="00C939AD">
        <w:rPr>
          <w:rFonts w:ascii="Calibri" w:hAnsi="Calibri" w:cs="Calibri"/>
          <w:sz w:val="22"/>
          <w:szCs w:val="22"/>
        </w:rPr>
        <w:t>Tromboelastograf</w:t>
      </w:r>
      <w:proofErr w:type="spellEnd"/>
      <w:r w:rsidR="00C939AD" w:rsidRPr="00C939AD">
        <w:rPr>
          <w:rFonts w:ascii="Calibri" w:hAnsi="Calibri" w:cs="Calibri"/>
          <w:sz w:val="22"/>
          <w:szCs w:val="22"/>
        </w:rPr>
        <w:t xml:space="preserve"> pro ARO Svitavské nemocnice</w:t>
      </w:r>
      <w:r w:rsidRPr="00574136">
        <w:rPr>
          <w:rFonts w:ascii="Calibri" w:hAnsi="Calibri" w:cs="Calibri"/>
          <w:b w:val="0"/>
          <w:sz w:val="22"/>
          <w:szCs w:val="22"/>
        </w:rPr>
        <w:t>“ (dále jen „veřejná zakázka“)</w:t>
      </w:r>
      <w:r w:rsidR="00BB746B" w:rsidRPr="00574136">
        <w:rPr>
          <w:rFonts w:ascii="Calibri" w:hAnsi="Calibri" w:cs="Calibri"/>
          <w:b w:val="0"/>
          <w:sz w:val="22"/>
          <w:szCs w:val="22"/>
        </w:rPr>
        <w:t>.</w:t>
      </w:r>
      <w:r w:rsidRPr="00574136">
        <w:rPr>
          <w:rFonts w:ascii="Calibri" w:hAnsi="Calibri" w:cs="Calibri"/>
          <w:b w:val="0"/>
          <w:sz w:val="22"/>
          <w:szCs w:val="22"/>
        </w:rPr>
        <w:t xml:space="preserve"> </w:t>
      </w:r>
    </w:p>
    <w:p w:rsidR="00BB746B" w:rsidRPr="00BB746B" w:rsidRDefault="00BB746B" w:rsidP="00BB746B"/>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 xml:space="preserve">Předmětem koupě je </w:t>
      </w:r>
      <w:proofErr w:type="spellStart"/>
      <w:r w:rsidR="00C939AD" w:rsidRPr="00C939AD">
        <w:rPr>
          <w:rFonts w:ascii="Calibri" w:hAnsi="Calibri" w:cs="Calibri"/>
          <w:b/>
          <w:sz w:val="22"/>
          <w:szCs w:val="22"/>
        </w:rPr>
        <w:t>Tromboelastograf</w:t>
      </w:r>
      <w:proofErr w:type="spellEnd"/>
      <w:r w:rsidR="00C939AD" w:rsidRPr="00C939AD">
        <w:rPr>
          <w:rFonts w:ascii="Calibri" w:hAnsi="Calibri" w:cs="Calibri"/>
          <w:b/>
          <w:sz w:val="22"/>
          <w:szCs w:val="22"/>
        </w:rPr>
        <w:t xml:space="preserve"> </w:t>
      </w:r>
      <w:r w:rsidR="00AD1F36">
        <w:rPr>
          <w:rFonts w:ascii="Calibri" w:hAnsi="Calibri" w:cs="Calibri"/>
          <w:b/>
          <w:sz w:val="22"/>
          <w:szCs w:val="22"/>
        </w:rPr>
        <w:t>(typové označení)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je nové, nepoužité, nerepasované, nepoškozené, </w:t>
      </w:r>
      <w:r w:rsidR="00574136">
        <w:rPr>
          <w:rFonts w:ascii="Calibri" w:hAnsi="Calibri" w:cs="Calibri"/>
          <w:szCs w:val="22"/>
        </w:rPr>
        <w:t xml:space="preserve">plně funkční, </w:t>
      </w:r>
      <w:r w:rsidRPr="00574136">
        <w:rPr>
          <w:rFonts w:ascii="Calibri" w:hAnsi="Calibri" w:cs="Calibri"/>
          <w:szCs w:val="22"/>
        </w:rPr>
        <w:t>nevyužité pro výstavní, prezentační či jiné reklamní účely</w:t>
      </w:r>
      <w:r w:rsidR="00574136">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B3A72" w:rsidRDefault="00F945FE" w:rsidP="004B3A72">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 xml:space="preserve">má kvalitativní a technické vlastnosti odpovídající požadavkům stanoveným obecně závaznými právními předpisy, v případě zdravotnického prostředku zejména </w:t>
      </w:r>
      <w:r w:rsidR="005B49CA" w:rsidRPr="00574136">
        <w:rPr>
          <w:rFonts w:ascii="Calibri" w:hAnsi="Calibri" w:cs="Calibri"/>
          <w:szCs w:val="22"/>
        </w:rPr>
        <w:t xml:space="preserve">požadavkům </w:t>
      </w:r>
      <w:r w:rsidRPr="00574136">
        <w:rPr>
          <w:rFonts w:ascii="Calibri" w:hAnsi="Calibri" w:cs="Calibri"/>
          <w:szCs w:val="22"/>
        </w:rPr>
        <w:t>zákon</w:t>
      </w:r>
      <w:r w:rsidR="005B49CA" w:rsidRPr="00574136">
        <w:rPr>
          <w:rFonts w:ascii="Calibri" w:hAnsi="Calibri" w:cs="Calibri"/>
          <w:szCs w:val="22"/>
        </w:rPr>
        <w:t>a</w:t>
      </w:r>
      <w:r w:rsidRPr="00574136">
        <w:rPr>
          <w:rFonts w:ascii="Calibri" w:hAnsi="Calibri" w:cs="Calibri"/>
          <w:szCs w:val="22"/>
        </w:rPr>
        <w:t xml:space="preserve"> </w:t>
      </w:r>
      <w:r w:rsidR="004B3A72" w:rsidRPr="004B3A72">
        <w:rPr>
          <w:rFonts w:ascii="Calibri" w:hAnsi="Calibri" w:cs="Calibri"/>
          <w:szCs w:val="22"/>
        </w:rPr>
        <w:t xml:space="preserve">č. 268//2014 sb., </w:t>
      </w:r>
      <w:r w:rsidRPr="00574136">
        <w:rPr>
          <w:rFonts w:ascii="Calibri" w:hAnsi="Calibri" w:cs="Calibri"/>
          <w:szCs w:val="22"/>
        </w:rPr>
        <w:t xml:space="preserve">o zdravotnických prostředcích, </w:t>
      </w:r>
      <w:r w:rsidR="004B3A72">
        <w:rPr>
          <w:rFonts w:ascii="Calibri" w:hAnsi="Calibri" w:cs="Calibri"/>
          <w:szCs w:val="22"/>
        </w:rPr>
        <w:t xml:space="preserve">v platném znění, </w:t>
      </w:r>
      <w:r w:rsidRPr="00574136">
        <w:rPr>
          <w:rFonts w:ascii="Calibri" w:hAnsi="Calibri" w:cs="Calibri"/>
          <w:szCs w:val="22"/>
        </w:rPr>
        <w:t>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p>
    <w:p w:rsidR="0041752E" w:rsidRPr="004B3A72" w:rsidRDefault="004B3A72" w:rsidP="004B3A72">
      <w:pPr>
        <w:pStyle w:val="Odstavecseseznamem"/>
        <w:numPr>
          <w:ilvl w:val="0"/>
          <w:numId w:val="18"/>
        </w:numPr>
        <w:ind w:left="1134" w:hanging="283"/>
        <w:jc w:val="both"/>
        <w:rPr>
          <w:rFonts w:ascii="Calibri" w:hAnsi="Calibri" w:cs="Calibri"/>
          <w:szCs w:val="22"/>
        </w:rPr>
      </w:pPr>
      <w:r>
        <w:rPr>
          <w:rFonts w:ascii="Calibri" w:hAnsi="Calibri" w:cs="Calibri"/>
          <w:szCs w:val="22"/>
        </w:rPr>
        <w:t>jedná-li se o</w:t>
      </w:r>
      <w:r w:rsidRPr="004B3A72">
        <w:rPr>
          <w:rFonts w:ascii="Calibri" w:hAnsi="Calibri" w:cs="Calibri"/>
          <w:szCs w:val="22"/>
        </w:rPr>
        <w:t xml:space="preserve"> zdravotnick</w:t>
      </w:r>
      <w:r w:rsidR="00F352D2">
        <w:rPr>
          <w:rFonts w:ascii="Calibri" w:hAnsi="Calibri" w:cs="Calibri"/>
          <w:szCs w:val="22"/>
        </w:rPr>
        <w:t>ý</w:t>
      </w:r>
      <w:r w:rsidRPr="004B3A72">
        <w:rPr>
          <w:rFonts w:ascii="Calibri" w:hAnsi="Calibri" w:cs="Calibri"/>
          <w:szCs w:val="22"/>
        </w:rPr>
        <w:t xml:space="preserve"> prostřed</w:t>
      </w:r>
      <w:r w:rsidR="00F352D2">
        <w:rPr>
          <w:rFonts w:ascii="Calibri" w:hAnsi="Calibri" w:cs="Calibri"/>
          <w:szCs w:val="22"/>
        </w:rPr>
        <w:t>ek</w:t>
      </w:r>
      <w:r w:rsidRPr="004B3A72">
        <w:rPr>
          <w:rFonts w:ascii="Calibri" w:hAnsi="Calibri" w:cs="Calibri"/>
          <w:szCs w:val="22"/>
        </w:rPr>
        <w:t xml:space="preserve"> dle zákona </w:t>
      </w:r>
      <w:bookmarkStart w:id="1" w:name="_Hlk523998309"/>
      <w:r w:rsidRPr="004B3A72">
        <w:rPr>
          <w:rFonts w:ascii="Calibri" w:hAnsi="Calibri" w:cs="Calibri"/>
          <w:szCs w:val="22"/>
        </w:rPr>
        <w:t xml:space="preserve">č. 268//2014 sb., </w:t>
      </w:r>
      <w:bookmarkEnd w:id="1"/>
      <w:r w:rsidRPr="004B3A72">
        <w:rPr>
          <w:rFonts w:ascii="Calibri" w:hAnsi="Calibri" w:cs="Calibri"/>
          <w:szCs w:val="22"/>
        </w:rPr>
        <w:t>o zdravotnických prostředcích, v platném znění, musí být dodáno dle uvedeného zákona.</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B90A24">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kompletního zdravotnického prostředku</w:t>
      </w:r>
      <w:r w:rsidR="00821F81" w:rsidRPr="00574136">
        <w:rPr>
          <w:rFonts w:ascii="Calibri" w:hAnsi="Calibri" w:cs="Calibri"/>
          <w:sz w:val="22"/>
          <w:szCs w:val="22"/>
        </w:rPr>
        <w:t xml:space="preserve"> včetně příslušenství či technologií v nejvyšší jakosti poskytované výrobcem a spolu se všemi právy nutnými k jeho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CD171D" w:rsidRPr="008D3380"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je</w:t>
      </w:r>
      <w:r w:rsidR="002F4CA2" w:rsidRPr="008D3380">
        <w:rPr>
          <w:rFonts w:ascii="Calibri" w:hAnsi="Calibri" w:cs="Calibri"/>
          <w:sz w:val="22"/>
          <w:szCs w:val="22"/>
        </w:rPr>
        <w:t xml:space="preserve"> pracoviště kupujícího </w:t>
      </w:r>
      <w:r w:rsidR="00CD171D" w:rsidRPr="008D3380">
        <w:rPr>
          <w:rFonts w:ascii="Calibri" w:hAnsi="Calibri" w:cs="Calibri"/>
          <w:sz w:val="22"/>
          <w:szCs w:val="22"/>
        </w:rPr>
        <w:t>na adres</w:t>
      </w:r>
      <w:r w:rsidR="00CE447E" w:rsidRPr="008D3380">
        <w:rPr>
          <w:rFonts w:ascii="Calibri" w:hAnsi="Calibri" w:cs="Calibri"/>
          <w:sz w:val="22"/>
          <w:szCs w:val="22"/>
        </w:rPr>
        <w:t xml:space="preserve">e </w:t>
      </w:r>
      <w:r w:rsidR="0092075E">
        <w:rPr>
          <w:rFonts w:ascii="Calibri" w:hAnsi="Calibri" w:cs="Calibri"/>
          <w:b/>
          <w:sz w:val="22"/>
          <w:szCs w:val="22"/>
        </w:rPr>
        <w:t>Svitavská</w:t>
      </w:r>
      <w:r w:rsidR="00CE447E" w:rsidRPr="008D3380">
        <w:rPr>
          <w:rFonts w:ascii="Calibri" w:hAnsi="Calibri" w:cs="Calibri"/>
          <w:b/>
          <w:sz w:val="22"/>
          <w:szCs w:val="22"/>
        </w:rPr>
        <w:t xml:space="preserve"> nemocnice</w:t>
      </w:r>
      <w:r w:rsidR="00CE447E" w:rsidRPr="008D3380">
        <w:rPr>
          <w:rFonts w:ascii="Calibri" w:hAnsi="Calibri" w:cs="Calibri"/>
          <w:sz w:val="22"/>
          <w:szCs w:val="22"/>
        </w:rPr>
        <w:t>,</w:t>
      </w:r>
      <w:r w:rsidR="007E4908" w:rsidRPr="008D3380">
        <w:rPr>
          <w:rFonts w:ascii="Calibri" w:hAnsi="Calibri" w:cs="Calibri"/>
          <w:sz w:val="22"/>
          <w:szCs w:val="22"/>
        </w:rPr>
        <w:t xml:space="preserve"> </w:t>
      </w:r>
      <w:r w:rsidR="0092075E">
        <w:rPr>
          <w:rFonts w:ascii="Calibri" w:hAnsi="Calibri" w:cs="Calibri"/>
          <w:sz w:val="22"/>
          <w:szCs w:val="22"/>
        </w:rPr>
        <w:t>Kollárova 7</w:t>
      </w:r>
      <w:r w:rsidR="007E4908" w:rsidRPr="008D3380">
        <w:rPr>
          <w:rFonts w:ascii="Calibri" w:hAnsi="Calibri" w:cs="Calibri"/>
          <w:sz w:val="22"/>
          <w:szCs w:val="22"/>
        </w:rPr>
        <w:t xml:space="preserve">, </w:t>
      </w:r>
      <w:r w:rsidR="0092075E">
        <w:rPr>
          <w:rFonts w:ascii="Calibri" w:hAnsi="Calibri" w:cs="Calibri"/>
          <w:sz w:val="22"/>
          <w:szCs w:val="22"/>
        </w:rPr>
        <w:t>568 25 Svitavy</w:t>
      </w:r>
      <w:r w:rsidR="007E4908" w:rsidRPr="008D3380">
        <w:rPr>
          <w:rFonts w:ascii="Calibri" w:hAnsi="Calibri" w:cs="Calibri"/>
          <w:sz w:val="22"/>
          <w:szCs w:val="22"/>
        </w:rPr>
        <w:t xml:space="preserve">, </w:t>
      </w:r>
      <w:r w:rsidR="0092075E">
        <w:rPr>
          <w:rFonts w:ascii="Calibri" w:hAnsi="Calibri" w:cs="Calibri"/>
          <w:sz w:val="22"/>
          <w:szCs w:val="22"/>
        </w:rPr>
        <w:t>odd. ARO</w:t>
      </w:r>
      <w:r w:rsidR="00CE447E" w:rsidRPr="008D3380">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8D3380">
        <w:rPr>
          <w:rFonts w:ascii="Calibri" w:hAnsi="Calibri" w:cs="Calibri"/>
          <w:b/>
          <w:sz w:val="22"/>
          <w:szCs w:val="22"/>
        </w:rPr>
        <w:t xml:space="preserve">nejpozději do </w:t>
      </w:r>
      <w:r w:rsidR="002B1B3F" w:rsidRPr="008D3380">
        <w:rPr>
          <w:rFonts w:ascii="Calibri" w:hAnsi="Calibri" w:cs="Calibri"/>
          <w:b/>
          <w:sz w:val="22"/>
          <w:szCs w:val="22"/>
        </w:rPr>
        <w:t>6</w:t>
      </w:r>
      <w:r w:rsidR="009306B9" w:rsidRPr="008D3380">
        <w:rPr>
          <w:rFonts w:ascii="Calibri" w:hAnsi="Calibri" w:cs="Calibri"/>
          <w:b/>
          <w:sz w:val="22"/>
          <w:szCs w:val="22"/>
        </w:rPr>
        <w:t xml:space="preserve"> </w:t>
      </w:r>
      <w:r w:rsidR="00CD171D" w:rsidRPr="008D3380">
        <w:rPr>
          <w:rFonts w:ascii="Calibri" w:hAnsi="Calibri" w:cs="Calibri"/>
          <w:b/>
          <w:sz w:val="22"/>
          <w:szCs w:val="22"/>
        </w:rPr>
        <w:t>týdnů</w:t>
      </w:r>
      <w:r w:rsidR="002B1B3F" w:rsidRPr="008D3380">
        <w:rPr>
          <w:rFonts w:ascii="Calibri" w:hAnsi="Calibri" w:cs="Calibri"/>
          <w:i/>
          <w:sz w:val="22"/>
          <w:szCs w:val="22"/>
        </w:rPr>
        <w:t xml:space="preserve"> </w:t>
      </w:r>
      <w:r w:rsidR="00CD171D" w:rsidRPr="008D3380">
        <w:rPr>
          <w:rFonts w:ascii="Calibri" w:hAnsi="Calibri" w:cs="Calibri"/>
          <w:sz w:val="22"/>
          <w:szCs w:val="22"/>
        </w:rPr>
        <w:t>od nabytí účinnosti této smlouvy.</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096E08" w:rsidRDefault="005D590C" w:rsidP="005D590C">
      <w:pPr>
        <w:ind w:left="705" w:hanging="705"/>
        <w:jc w:val="both"/>
        <w:rPr>
          <w:i/>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1F780C" w:rsidRDefault="0024457F" w:rsidP="001F780C">
      <w:pPr>
        <w:rPr>
          <w:b/>
          <w:bCs/>
          <w:sz w:val="22"/>
          <w:szCs w:val="22"/>
        </w:rPr>
      </w:pPr>
    </w:p>
    <w:p w:rsidR="0024457F" w:rsidRPr="00B90A24" w:rsidRDefault="0024457F" w:rsidP="0024457F">
      <w:pPr>
        <w:jc w:val="cente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lastRenderedPageBreak/>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lastRenderedPageBreak/>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92075E">
        <w:rPr>
          <w:rFonts w:ascii="Calibri" w:hAnsi="Calibri" w:cs="Calibri"/>
          <w:b/>
          <w:sz w:val="22"/>
          <w:szCs w:val="22"/>
        </w:rPr>
        <w:t>24</w:t>
      </w:r>
      <w:bookmarkStart w:id="2" w:name="_GoBack"/>
      <w:bookmarkEnd w:id="2"/>
      <w:r w:rsidR="00C75CD0" w:rsidRPr="00B90A24">
        <w:rPr>
          <w:rFonts w:ascii="Calibri" w:hAnsi="Calibri" w:cs="Calibri"/>
          <w:b/>
          <w:sz w:val="22"/>
          <w:szCs w:val="22"/>
        </w:rPr>
        <w:t xml:space="preserve">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w:t>
      </w:r>
      <w:r w:rsidR="00EE6323" w:rsidRPr="00B90A24">
        <w:rPr>
          <w:rFonts w:ascii="Calibri" w:hAnsi="Calibri" w:cs="Calibri"/>
          <w:szCs w:val="22"/>
        </w:rPr>
        <w:lastRenderedPageBreak/>
        <w:t xml:space="preserve">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397EB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3" w:name="Text14"/>
      <w:bookmarkStart w:id="4" w:name="Text15"/>
      <w:bookmarkStart w:id="5" w:name="Text21"/>
      <w:bookmarkEnd w:id="3"/>
      <w:bookmarkEnd w:id="4"/>
      <w:bookmarkEnd w:id="5"/>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w:t>
      </w:r>
      <w:r w:rsidRPr="00B90A24">
        <w:rPr>
          <w:rFonts w:ascii="Calibri" w:hAnsi="Calibri" w:cs="Calibri"/>
          <w:szCs w:val="22"/>
        </w:rPr>
        <w:lastRenderedPageBreak/>
        <w:t>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 xml:space="preserve">je ve smyslu zákona č. 340/2015 Sb., o zvláštních </w:t>
      </w:r>
      <w:r w:rsidR="0024457F" w:rsidRPr="00B90A24">
        <w:rPr>
          <w:rFonts w:ascii="Calibri" w:hAnsi="Calibri" w:cs="Calibri"/>
          <w:sz w:val="22"/>
          <w:szCs w:val="22"/>
        </w:rPr>
        <w:lastRenderedPageBreak/>
        <w:t>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B90A24" w:rsidRDefault="006C7D53" w:rsidP="006C7D53">
      <w:pPr>
        <w:tabs>
          <w:tab w:val="left" w:pos="0"/>
        </w:tabs>
        <w:ind w:left="705" w:hanging="705"/>
        <w:jc w:val="both"/>
        <w:rPr>
          <w:rFonts w:ascii="Calibri" w:hAnsi="Calibri" w:cs="Calibri"/>
          <w:sz w:val="22"/>
          <w:szCs w:val="22"/>
        </w:rPr>
      </w:pP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rPr>
          <w:rFonts w:ascii="Calibri" w:hAnsi="Calibri" w:cs="Calibri"/>
          <w:b/>
          <w:sz w:val="22"/>
          <w:szCs w:val="22"/>
        </w:rPr>
      </w:pP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Default="0065219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6D2E0E" w:rsidRDefault="006D2E0E" w:rsidP="00233AAC">
            <w:pPr>
              <w:ind w:hanging="284"/>
              <w:rPr>
                <w:rFonts w:ascii="Calibri" w:hAnsi="Calibri" w:cs="Calibri"/>
                <w:b/>
                <w:bCs/>
                <w:sz w:val="22"/>
                <w:szCs w:val="22"/>
              </w:rPr>
            </w:pPr>
          </w:p>
          <w:p w:rsidR="00167134" w:rsidRDefault="00167134" w:rsidP="00233AAC">
            <w:pPr>
              <w:ind w:hanging="284"/>
              <w:rPr>
                <w:rFonts w:ascii="Calibri" w:hAnsi="Calibri" w:cs="Calibri"/>
                <w:b/>
                <w:bCs/>
                <w:sz w:val="22"/>
                <w:szCs w:val="22"/>
              </w:rPr>
            </w:pPr>
          </w:p>
          <w:p w:rsidR="00167134" w:rsidRPr="00B90A24" w:rsidRDefault="00167134" w:rsidP="00233AAC">
            <w:pPr>
              <w:ind w:hanging="284"/>
              <w:rPr>
                <w:rFonts w:ascii="Calibri" w:hAnsi="Calibri" w:cs="Calibri"/>
                <w:b/>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Default="0065219E"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Default="00167134" w:rsidP="00734126">
            <w:pPr>
              <w:rPr>
                <w:rFonts w:ascii="Calibri" w:hAnsi="Calibri" w:cs="Calibri"/>
                <w:b/>
                <w:bCs/>
                <w:sz w:val="22"/>
                <w:szCs w:val="22"/>
              </w:rPr>
            </w:pPr>
          </w:p>
          <w:p w:rsidR="00167134" w:rsidRPr="00B90A24" w:rsidRDefault="00167134"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31EBF"/>
    <w:rsid w:val="00047C2D"/>
    <w:rsid w:val="000B050A"/>
    <w:rsid w:val="000E1D2F"/>
    <w:rsid w:val="000E42F7"/>
    <w:rsid w:val="00135413"/>
    <w:rsid w:val="00142602"/>
    <w:rsid w:val="00167134"/>
    <w:rsid w:val="0018156C"/>
    <w:rsid w:val="001A44A2"/>
    <w:rsid w:val="001D2DB5"/>
    <w:rsid w:val="001D54A2"/>
    <w:rsid w:val="001E5F2B"/>
    <w:rsid w:val="001F780C"/>
    <w:rsid w:val="0020399D"/>
    <w:rsid w:val="002258FF"/>
    <w:rsid w:val="00233AAC"/>
    <w:rsid w:val="0024457F"/>
    <w:rsid w:val="00262500"/>
    <w:rsid w:val="00296D0F"/>
    <w:rsid w:val="002A2CEA"/>
    <w:rsid w:val="002A3F4F"/>
    <w:rsid w:val="002B0BFC"/>
    <w:rsid w:val="002B1B3F"/>
    <w:rsid w:val="002F3AFA"/>
    <w:rsid w:val="002F4CA2"/>
    <w:rsid w:val="00312BAF"/>
    <w:rsid w:val="00323DA3"/>
    <w:rsid w:val="00363632"/>
    <w:rsid w:val="00365070"/>
    <w:rsid w:val="00372EB1"/>
    <w:rsid w:val="00397EB4"/>
    <w:rsid w:val="0041752E"/>
    <w:rsid w:val="00424076"/>
    <w:rsid w:val="00466CE7"/>
    <w:rsid w:val="00474E32"/>
    <w:rsid w:val="00485FA6"/>
    <w:rsid w:val="004913A1"/>
    <w:rsid w:val="004B3A72"/>
    <w:rsid w:val="004D5E79"/>
    <w:rsid w:val="00526338"/>
    <w:rsid w:val="00541114"/>
    <w:rsid w:val="0054575D"/>
    <w:rsid w:val="00574136"/>
    <w:rsid w:val="005746F9"/>
    <w:rsid w:val="00594FE8"/>
    <w:rsid w:val="005B49CA"/>
    <w:rsid w:val="005D02F6"/>
    <w:rsid w:val="005D590C"/>
    <w:rsid w:val="0065219E"/>
    <w:rsid w:val="00660D6C"/>
    <w:rsid w:val="00675DE5"/>
    <w:rsid w:val="00682999"/>
    <w:rsid w:val="006A5C0E"/>
    <w:rsid w:val="006C3A67"/>
    <w:rsid w:val="006C7D53"/>
    <w:rsid w:val="006D2E0E"/>
    <w:rsid w:val="0070076A"/>
    <w:rsid w:val="007342F8"/>
    <w:rsid w:val="007460F2"/>
    <w:rsid w:val="007B41BD"/>
    <w:rsid w:val="007E4908"/>
    <w:rsid w:val="00821F81"/>
    <w:rsid w:val="008637B6"/>
    <w:rsid w:val="00875C26"/>
    <w:rsid w:val="008819DE"/>
    <w:rsid w:val="00882E5E"/>
    <w:rsid w:val="008D3380"/>
    <w:rsid w:val="00910744"/>
    <w:rsid w:val="0092075E"/>
    <w:rsid w:val="009306B9"/>
    <w:rsid w:val="00937B35"/>
    <w:rsid w:val="009911F4"/>
    <w:rsid w:val="009940AA"/>
    <w:rsid w:val="009D51A4"/>
    <w:rsid w:val="009E1F30"/>
    <w:rsid w:val="009F34A6"/>
    <w:rsid w:val="009F45C9"/>
    <w:rsid w:val="009F4906"/>
    <w:rsid w:val="00A108BE"/>
    <w:rsid w:val="00A40C89"/>
    <w:rsid w:val="00A6648D"/>
    <w:rsid w:val="00AB7DCB"/>
    <w:rsid w:val="00AC6AE4"/>
    <w:rsid w:val="00AD1F36"/>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939AD"/>
    <w:rsid w:val="00CA3387"/>
    <w:rsid w:val="00CA526E"/>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497F"/>
    <w:rsid w:val="00E37F4D"/>
    <w:rsid w:val="00E52F12"/>
    <w:rsid w:val="00E843E6"/>
    <w:rsid w:val="00E935D8"/>
    <w:rsid w:val="00E94023"/>
    <w:rsid w:val="00EB1679"/>
    <w:rsid w:val="00ED0D5C"/>
    <w:rsid w:val="00ED31C0"/>
    <w:rsid w:val="00EE1CE5"/>
    <w:rsid w:val="00EE6323"/>
    <w:rsid w:val="00EF0037"/>
    <w:rsid w:val="00F15E22"/>
    <w:rsid w:val="00F352D2"/>
    <w:rsid w:val="00F36357"/>
    <w:rsid w:val="00F554AA"/>
    <w:rsid w:val="00F75A16"/>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175324"/>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4207-C039-47B8-8E47-E511E946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12</Pages>
  <Words>4238</Words>
  <Characters>25006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47</cp:revision>
  <dcterms:created xsi:type="dcterms:W3CDTF">2018-03-15T07:46:00Z</dcterms:created>
  <dcterms:modified xsi:type="dcterms:W3CDTF">2018-09-06T13:47:00Z</dcterms:modified>
</cp:coreProperties>
</file>