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ABE16E" w14:textId="0A01AEFF" w:rsidR="009F0C2E" w:rsidRPr="005B61D8" w:rsidRDefault="009F0C2E" w:rsidP="009F0C2E">
      <w:pPr>
        <w:spacing w:after="120"/>
        <w:jc w:val="center"/>
        <w:rPr>
          <w:rFonts w:asciiTheme="minorHAnsi" w:hAnsiTheme="minorHAnsi" w:cstheme="minorHAnsi"/>
          <w:b/>
          <w:bCs/>
          <w:color w:val="auto"/>
          <w:szCs w:val="22"/>
        </w:rPr>
      </w:pPr>
      <w:bookmarkStart w:id="0" w:name="Annex02"/>
      <w:r w:rsidRPr="005B61D8">
        <w:rPr>
          <w:rFonts w:asciiTheme="minorHAnsi" w:hAnsiTheme="minorHAnsi" w:cstheme="minorHAnsi"/>
          <w:b/>
          <w:bCs/>
          <w:color w:val="auto"/>
          <w:szCs w:val="22"/>
        </w:rPr>
        <w:t xml:space="preserve">Příloha č. </w:t>
      </w:r>
      <w:bookmarkEnd w:id="0"/>
      <w:r w:rsidR="0067513F">
        <w:rPr>
          <w:rFonts w:asciiTheme="minorHAnsi" w:hAnsiTheme="minorHAnsi" w:cstheme="minorHAnsi"/>
          <w:b/>
          <w:bCs/>
          <w:color w:val="auto"/>
          <w:szCs w:val="22"/>
        </w:rPr>
        <w:t>7</w:t>
      </w:r>
      <w:r w:rsidR="00056FCB" w:rsidRPr="005B61D8">
        <w:rPr>
          <w:rFonts w:asciiTheme="minorHAnsi" w:hAnsiTheme="minorHAnsi" w:cstheme="minorHAnsi"/>
          <w:b/>
          <w:bCs/>
          <w:color w:val="auto"/>
          <w:szCs w:val="22"/>
        </w:rPr>
        <w:t xml:space="preserve"> zadávací dokumentace</w:t>
      </w:r>
    </w:p>
    <w:p w14:paraId="5AF3EC10" w14:textId="77777777" w:rsidR="009F0C2E" w:rsidRPr="005B61D8" w:rsidRDefault="009F0C2E" w:rsidP="009F0C2E">
      <w:pPr>
        <w:spacing w:after="120"/>
        <w:jc w:val="center"/>
        <w:rPr>
          <w:rFonts w:asciiTheme="minorHAnsi" w:hAnsiTheme="minorHAnsi" w:cstheme="minorHAnsi"/>
          <w:b/>
          <w:bCs/>
          <w:color w:val="auto"/>
          <w:szCs w:val="22"/>
        </w:rPr>
      </w:pPr>
    </w:p>
    <w:p w14:paraId="5AB3F701" w14:textId="7124AFC0" w:rsidR="009C2A67" w:rsidRPr="005B61D8" w:rsidRDefault="0067513F" w:rsidP="009C2A67">
      <w:pPr>
        <w:spacing w:line="280" w:lineRule="atLeast"/>
        <w:jc w:val="center"/>
        <w:rPr>
          <w:color w:val="auto"/>
        </w:rPr>
      </w:pPr>
      <w:r>
        <w:rPr>
          <w:b/>
          <w:color w:val="auto"/>
        </w:rPr>
        <w:t>Prohlášení o mlčenlivosti</w:t>
      </w:r>
    </w:p>
    <w:tbl>
      <w:tblPr>
        <w:tblStyle w:val="TableGrid"/>
        <w:tblW w:w="786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52"/>
        <w:gridCol w:w="5316"/>
      </w:tblGrid>
      <w:tr w:rsidR="005B61D8" w:rsidRPr="005B61D8" w14:paraId="2A75314B" w14:textId="77777777" w:rsidTr="00DA1406">
        <w:trPr>
          <w:trHeight w:val="56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517CF5C" w14:textId="77777777" w:rsidR="009C2A67" w:rsidRPr="005B61D8" w:rsidRDefault="009C2A67" w:rsidP="00DA1406">
            <w:pPr>
              <w:spacing w:after="240"/>
              <w:ind w:right="553"/>
              <w:rPr>
                <w:color w:val="auto"/>
                <w:sz w:val="20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</w:tcPr>
          <w:p w14:paraId="3D7AC8C6" w14:textId="77777777" w:rsidR="009C2A67" w:rsidRPr="005B61D8" w:rsidRDefault="009C2A67" w:rsidP="00DA1406">
            <w:pPr>
              <w:spacing w:after="240"/>
              <w:ind w:right="553"/>
              <w:rPr>
                <w:color w:val="auto"/>
                <w:sz w:val="20"/>
              </w:rPr>
            </w:pPr>
          </w:p>
        </w:tc>
      </w:tr>
      <w:tr w:rsidR="005B61D8" w:rsidRPr="005B61D8" w14:paraId="469AC1FA" w14:textId="77777777" w:rsidTr="00DA1406">
        <w:trPr>
          <w:trHeight w:val="39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CF0CA28" w14:textId="77777777" w:rsidR="009C2A67" w:rsidRPr="005B61D8" w:rsidRDefault="00425F2B" w:rsidP="00425F2B">
            <w:pPr>
              <w:spacing w:after="240"/>
              <w:ind w:right="553"/>
              <w:rPr>
                <w:b/>
                <w:color w:val="auto"/>
              </w:rPr>
            </w:pPr>
            <w:r w:rsidRPr="005B61D8">
              <w:rPr>
                <w:b/>
                <w:color w:val="auto"/>
              </w:rPr>
              <w:t>Název d</w:t>
            </w:r>
            <w:r w:rsidR="009C2A67" w:rsidRPr="005B61D8">
              <w:rPr>
                <w:b/>
                <w:color w:val="auto"/>
              </w:rPr>
              <w:t>odavatel</w:t>
            </w:r>
            <w:r w:rsidRPr="005B61D8">
              <w:rPr>
                <w:b/>
                <w:color w:val="auto"/>
              </w:rPr>
              <w:t>e</w:t>
            </w:r>
            <w:r w:rsidR="009C2A67" w:rsidRPr="005B61D8">
              <w:rPr>
                <w:b/>
                <w:color w:val="auto"/>
              </w:rPr>
              <w:t>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6C885E69" w14:textId="77777777" w:rsidR="009C2A67" w:rsidRPr="005B61D8" w:rsidRDefault="009C2A67" w:rsidP="00DA1406">
            <w:pPr>
              <w:spacing w:after="240"/>
              <w:ind w:right="553"/>
              <w:rPr>
                <w:b/>
                <w:color w:val="auto"/>
              </w:rPr>
            </w:pPr>
            <w:r w:rsidRPr="005B61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  <w:tr w:rsidR="005B61D8" w:rsidRPr="005B61D8" w14:paraId="50E341A2" w14:textId="77777777" w:rsidTr="00DA1406">
        <w:trPr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A1079F3" w14:textId="77777777" w:rsidR="009C2A67" w:rsidRPr="005B61D8" w:rsidRDefault="00425F2B" w:rsidP="00DA1406">
            <w:pPr>
              <w:spacing w:after="240"/>
              <w:ind w:right="553"/>
              <w:rPr>
                <w:b/>
                <w:color w:val="auto"/>
              </w:rPr>
            </w:pPr>
            <w:r w:rsidRPr="005B61D8">
              <w:rPr>
                <w:b/>
                <w:color w:val="auto"/>
              </w:rPr>
              <w:t>Sídlo: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252328DC" w14:textId="77777777" w:rsidR="009C2A67" w:rsidRPr="005B61D8" w:rsidRDefault="009C2A67" w:rsidP="00DA1406">
            <w:pPr>
              <w:spacing w:after="240"/>
              <w:ind w:right="553"/>
              <w:rPr>
                <w:b/>
                <w:color w:val="auto"/>
              </w:rPr>
            </w:pPr>
            <w:r w:rsidRPr="005B61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  <w:tr w:rsidR="005B61D8" w:rsidRPr="005B61D8" w14:paraId="027A731F" w14:textId="77777777" w:rsidTr="00DA1406">
        <w:trPr>
          <w:trHeight w:val="3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959C928" w14:textId="77777777" w:rsidR="009C2A67" w:rsidRPr="005B61D8" w:rsidRDefault="00425F2B" w:rsidP="00DA1406">
            <w:pPr>
              <w:spacing w:after="240"/>
              <w:ind w:right="553"/>
              <w:rPr>
                <w:b/>
                <w:color w:val="auto"/>
              </w:rPr>
            </w:pPr>
            <w:r w:rsidRPr="005B61D8">
              <w:rPr>
                <w:b/>
                <w:color w:val="auto"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4486CD30" w14:textId="77777777" w:rsidR="009C2A67" w:rsidRPr="005B61D8" w:rsidRDefault="009C2A67" w:rsidP="00DA1406">
            <w:pPr>
              <w:spacing w:after="240"/>
              <w:ind w:right="553"/>
              <w:rPr>
                <w:b/>
                <w:color w:val="auto"/>
              </w:rPr>
            </w:pPr>
            <w:r w:rsidRPr="005B61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</w:tbl>
    <w:p w14:paraId="2E9F2715" w14:textId="1105AD36" w:rsidR="009C2A67" w:rsidRPr="005B61D8" w:rsidRDefault="009C2A67" w:rsidP="009C2A67">
      <w:pPr>
        <w:spacing w:after="240"/>
        <w:ind w:right="553"/>
        <w:rPr>
          <w:color w:val="auto"/>
          <w:szCs w:val="22"/>
        </w:rPr>
      </w:pPr>
      <w:r w:rsidRPr="005B61D8">
        <w:rPr>
          <w:color w:val="auto"/>
          <w:szCs w:val="22"/>
        </w:rPr>
        <w:t>(dále jen „</w:t>
      </w:r>
      <w:r w:rsidR="00E811ED">
        <w:rPr>
          <w:b/>
          <w:color w:val="auto"/>
          <w:szCs w:val="22"/>
        </w:rPr>
        <w:t>D</w:t>
      </w:r>
      <w:r w:rsidRPr="005B61D8">
        <w:rPr>
          <w:b/>
          <w:color w:val="auto"/>
          <w:szCs w:val="22"/>
        </w:rPr>
        <w:t>odavatel</w:t>
      </w:r>
      <w:r w:rsidRPr="005B61D8">
        <w:rPr>
          <w:color w:val="auto"/>
          <w:szCs w:val="22"/>
        </w:rPr>
        <w:t>“)</w:t>
      </w:r>
    </w:p>
    <w:p w14:paraId="2AAB1AA9" w14:textId="73C762AB" w:rsidR="009C2A67" w:rsidRPr="005B61D8" w:rsidRDefault="009C2A67" w:rsidP="009C2A67">
      <w:pPr>
        <w:spacing w:before="120" w:after="240"/>
        <w:ind w:right="553"/>
        <w:jc w:val="both"/>
        <w:rPr>
          <w:color w:val="auto"/>
        </w:rPr>
      </w:pPr>
      <w:r w:rsidRPr="005B61D8">
        <w:rPr>
          <w:color w:val="auto"/>
        </w:rPr>
        <w:t xml:space="preserve">tímto pro účely veřejné zakázky s názvem </w:t>
      </w:r>
      <w:r w:rsidR="007F247F" w:rsidRPr="007F247F">
        <w:rPr>
          <w:b/>
          <w:color w:val="auto"/>
        </w:rPr>
        <w:t xml:space="preserve">„Zajištění technologické a aplikační podpory provozu ICT infrastruktury úřadu“ </w:t>
      </w:r>
      <w:r w:rsidR="00E811ED">
        <w:rPr>
          <w:bCs/>
          <w:color w:val="auto"/>
        </w:rPr>
        <w:t>zadávané M</w:t>
      </w:r>
      <w:r w:rsidR="00E811ED" w:rsidRPr="00E811ED">
        <w:rPr>
          <w:bCs/>
          <w:color w:val="auto"/>
        </w:rPr>
        <w:t>ěstsk</w:t>
      </w:r>
      <w:r w:rsidR="00E811ED">
        <w:rPr>
          <w:bCs/>
          <w:color w:val="auto"/>
        </w:rPr>
        <w:t>ou</w:t>
      </w:r>
      <w:r w:rsidR="00E811ED" w:rsidRPr="00E811ED">
        <w:rPr>
          <w:bCs/>
          <w:color w:val="auto"/>
        </w:rPr>
        <w:t xml:space="preserve"> části Praha 9</w:t>
      </w:r>
      <w:r w:rsidR="00E811ED">
        <w:rPr>
          <w:bCs/>
          <w:color w:val="auto"/>
        </w:rPr>
        <w:t xml:space="preserve"> (dále jen „</w:t>
      </w:r>
      <w:r w:rsidR="00E811ED" w:rsidRPr="00E811ED">
        <w:rPr>
          <w:b/>
          <w:color w:val="auto"/>
        </w:rPr>
        <w:t>Zadavatel</w:t>
      </w:r>
      <w:r w:rsidR="00E811ED">
        <w:rPr>
          <w:bCs/>
          <w:color w:val="auto"/>
        </w:rPr>
        <w:t xml:space="preserve">“) </w:t>
      </w:r>
      <w:r w:rsidR="007F247F" w:rsidRPr="007F247F">
        <w:rPr>
          <w:bCs/>
          <w:color w:val="auto"/>
        </w:rPr>
        <w:t>předkládá</w:t>
      </w:r>
      <w:r w:rsidRPr="005B61D8">
        <w:rPr>
          <w:color w:val="auto"/>
        </w:rPr>
        <w:t xml:space="preserve"> </w:t>
      </w:r>
      <w:r w:rsidR="0067513F">
        <w:rPr>
          <w:color w:val="auto"/>
        </w:rPr>
        <w:t>četné prohlášení o mlčenlivosti (dále jen „</w:t>
      </w:r>
      <w:r w:rsidR="0067513F" w:rsidRPr="00E811ED">
        <w:rPr>
          <w:b/>
          <w:bCs/>
          <w:color w:val="auto"/>
        </w:rPr>
        <w:t>Prohlášení</w:t>
      </w:r>
      <w:r w:rsidR="0067513F">
        <w:rPr>
          <w:color w:val="auto"/>
        </w:rPr>
        <w:t>“)</w:t>
      </w:r>
      <w:r w:rsidRPr="005B61D8">
        <w:rPr>
          <w:color w:val="auto"/>
        </w:rPr>
        <w:t>.</w:t>
      </w:r>
      <w:r w:rsidR="00913913" w:rsidRPr="005B61D8">
        <w:rPr>
          <w:color w:val="auto"/>
        </w:rPr>
        <w:t xml:space="preserve"> </w:t>
      </w:r>
    </w:p>
    <w:p w14:paraId="01BBAA73" w14:textId="51CC7A64" w:rsidR="00CB11C4" w:rsidRDefault="0067513F" w:rsidP="0067513F">
      <w:pPr>
        <w:spacing w:after="240"/>
        <w:ind w:right="553"/>
        <w:jc w:val="both"/>
        <w:rPr>
          <w:color w:val="auto"/>
        </w:rPr>
      </w:pPr>
      <w:r w:rsidRPr="0067513F">
        <w:rPr>
          <w:color w:val="auto"/>
        </w:rPr>
        <w:t xml:space="preserve">Dodavatel má zájem, aby mu byla zpřístupněna část zadávací dokumentace, tj.  Příloha č. 8 </w:t>
      </w:r>
      <w:r>
        <w:rPr>
          <w:color w:val="auto"/>
        </w:rPr>
        <w:t>–</w:t>
      </w:r>
      <w:r w:rsidRPr="0067513F">
        <w:rPr>
          <w:color w:val="auto"/>
        </w:rPr>
        <w:t xml:space="preserve"> „Popis Infrastruktury“ zadávací dokumentace, kter</w:t>
      </w:r>
      <w:r>
        <w:rPr>
          <w:color w:val="auto"/>
        </w:rPr>
        <w:t>á</w:t>
      </w:r>
      <w:r w:rsidRPr="0067513F">
        <w:rPr>
          <w:color w:val="auto"/>
        </w:rPr>
        <w:t xml:space="preserve"> j</w:t>
      </w:r>
      <w:r>
        <w:rPr>
          <w:color w:val="auto"/>
        </w:rPr>
        <w:t>e</w:t>
      </w:r>
      <w:r w:rsidRPr="0067513F">
        <w:rPr>
          <w:color w:val="auto"/>
        </w:rPr>
        <w:t xml:space="preserve"> dostupn</w:t>
      </w:r>
      <w:r>
        <w:rPr>
          <w:color w:val="auto"/>
        </w:rPr>
        <w:t>á</w:t>
      </w:r>
      <w:r w:rsidRPr="0067513F">
        <w:rPr>
          <w:color w:val="auto"/>
        </w:rPr>
        <w:t xml:space="preserve"> v data room </w:t>
      </w:r>
      <w:r w:rsidR="00E811ED">
        <w:rPr>
          <w:color w:val="auto"/>
        </w:rPr>
        <w:t>Z</w:t>
      </w:r>
      <w:r w:rsidRPr="0067513F">
        <w:rPr>
          <w:color w:val="auto"/>
        </w:rPr>
        <w:t>adavatele</w:t>
      </w:r>
      <w:r>
        <w:rPr>
          <w:color w:val="auto"/>
        </w:rPr>
        <w:t xml:space="preserve"> </w:t>
      </w:r>
      <w:r w:rsidRPr="0067513F">
        <w:rPr>
          <w:color w:val="auto"/>
        </w:rPr>
        <w:t>za účelem podání nabídky v tomto zadávacím řízení.</w:t>
      </w:r>
      <w:r>
        <w:rPr>
          <w:color w:val="auto"/>
        </w:rPr>
        <w:t xml:space="preserve"> </w:t>
      </w:r>
      <w:r w:rsidRPr="0067513F">
        <w:rPr>
          <w:color w:val="auto"/>
        </w:rPr>
        <w:t xml:space="preserve">Některé IT systémy </w:t>
      </w:r>
      <w:r w:rsidR="00E811ED">
        <w:rPr>
          <w:color w:val="auto"/>
        </w:rPr>
        <w:t>Z</w:t>
      </w:r>
      <w:r w:rsidRPr="0067513F">
        <w:rPr>
          <w:color w:val="auto"/>
        </w:rPr>
        <w:t>adavatele, které jsou v</w:t>
      </w:r>
      <w:r w:rsidR="008B1E32">
        <w:rPr>
          <w:color w:val="auto"/>
        </w:rPr>
        <w:t> </w:t>
      </w:r>
      <w:r w:rsidRPr="0067513F">
        <w:rPr>
          <w:color w:val="auto"/>
        </w:rPr>
        <w:t xml:space="preserve">datových centrech </w:t>
      </w:r>
      <w:r w:rsidR="00E811ED">
        <w:rPr>
          <w:color w:val="auto"/>
        </w:rPr>
        <w:t>Z</w:t>
      </w:r>
      <w:bookmarkStart w:id="1" w:name="_GoBack"/>
      <w:bookmarkEnd w:id="1"/>
      <w:r w:rsidRPr="0067513F">
        <w:rPr>
          <w:color w:val="auto"/>
        </w:rPr>
        <w:t xml:space="preserve">adavatele, jsou klasifikovány jako významné informační systémy dle zákona č. 181/2014 Sb., o kybernetické bezpečnosti a o změně souvisejících zákonů (zákon o kybernetické bezpečnosti), ve znění pozdějších předpisů (dále jen „ZKB“) a </w:t>
      </w:r>
      <w:r>
        <w:rPr>
          <w:color w:val="auto"/>
        </w:rPr>
        <w:t>toto Prohlášení</w:t>
      </w:r>
      <w:r w:rsidRPr="0067513F">
        <w:rPr>
          <w:color w:val="auto"/>
        </w:rPr>
        <w:t xml:space="preserve"> představuje jedno z bezpečnostních opatření přijatých Zadavatelem ve smyslu § 4 odst. 3 ZKB a § 36 odst. 8 ZZVZ.</w:t>
      </w:r>
    </w:p>
    <w:p w14:paraId="263577E9" w14:textId="26E6AA80" w:rsidR="0067513F" w:rsidRDefault="0067513F" w:rsidP="0067513F">
      <w:pPr>
        <w:spacing w:after="240"/>
        <w:ind w:right="553"/>
        <w:jc w:val="both"/>
        <w:rPr>
          <w:color w:val="auto"/>
        </w:rPr>
      </w:pPr>
      <w:r>
        <w:rPr>
          <w:color w:val="auto"/>
        </w:rPr>
        <w:t>V</w:t>
      </w:r>
      <w:r w:rsidRPr="0067513F">
        <w:rPr>
          <w:color w:val="auto"/>
        </w:rPr>
        <w:t xml:space="preserve">eškeré informace, jež Dodavatel získá v rámci přístupu k Příloze č. 8 </w:t>
      </w:r>
      <w:r w:rsidR="008B1E32">
        <w:rPr>
          <w:color w:val="auto"/>
        </w:rPr>
        <w:t>–</w:t>
      </w:r>
      <w:r w:rsidRPr="0067513F">
        <w:rPr>
          <w:color w:val="auto"/>
        </w:rPr>
        <w:t xml:space="preserve"> „Popis Infrastruktury“ zadávací dokumentace prostřednictvím data room, jsou považovány za důvěrné (dále jen „Důvěrné informace“).</w:t>
      </w:r>
      <w:r>
        <w:rPr>
          <w:color w:val="auto"/>
        </w:rPr>
        <w:t xml:space="preserve"> </w:t>
      </w:r>
      <w:r w:rsidRPr="0067513F">
        <w:rPr>
          <w:color w:val="auto"/>
        </w:rPr>
        <w:t>Důvěrné informace jsou a zůstanou předmětem práv, resp. majetkem Zadavatele, byť bude Dodavatel s těmito informacemi a postupy závazně pracovat a postupovat v souladu s nimi ve vztahu k předmětu plnění realizovanému na základě zadávacího řízení. Poskytnutí těchto Důvěrných informací ze strany Zadavatele nebude zakládat jakákoliv práva (včetně jakýchkoliv práv duševního vlastnictví) Dodavatele k Důvěrným informacím.</w:t>
      </w:r>
    </w:p>
    <w:p w14:paraId="2D2BDB09" w14:textId="47CE5D06" w:rsidR="0067513F" w:rsidRPr="0067513F" w:rsidRDefault="0067513F" w:rsidP="0067513F">
      <w:pPr>
        <w:spacing w:after="240"/>
        <w:ind w:right="553"/>
        <w:jc w:val="both"/>
        <w:rPr>
          <w:color w:val="auto"/>
        </w:rPr>
      </w:pPr>
      <w:r w:rsidRPr="0067513F">
        <w:rPr>
          <w:color w:val="auto"/>
        </w:rPr>
        <w:t xml:space="preserve">Dodavatel </w:t>
      </w:r>
      <w:r>
        <w:rPr>
          <w:color w:val="auto"/>
        </w:rPr>
        <w:t>prohlašuje</w:t>
      </w:r>
      <w:r w:rsidRPr="0067513F">
        <w:rPr>
          <w:color w:val="auto"/>
        </w:rPr>
        <w:t>, že:</w:t>
      </w:r>
    </w:p>
    <w:p w14:paraId="067EAA49" w14:textId="60382C1A" w:rsidR="0067513F" w:rsidRPr="0067513F" w:rsidRDefault="0067513F" w:rsidP="0067513F">
      <w:pPr>
        <w:pStyle w:val="Odstavecseseznamem"/>
        <w:numPr>
          <w:ilvl w:val="0"/>
          <w:numId w:val="7"/>
        </w:numPr>
        <w:spacing w:after="240"/>
        <w:ind w:right="553"/>
        <w:jc w:val="both"/>
        <w:rPr>
          <w:color w:val="auto"/>
        </w:rPr>
      </w:pPr>
      <w:r w:rsidRPr="0067513F">
        <w:rPr>
          <w:color w:val="auto"/>
        </w:rPr>
        <w:t>bude zachovávat mlčenlivost o všech Důvěrných informacích;</w:t>
      </w:r>
    </w:p>
    <w:p w14:paraId="445766F8" w14:textId="6600B8F6" w:rsidR="0067513F" w:rsidRPr="0067513F" w:rsidRDefault="0067513F" w:rsidP="0067513F">
      <w:pPr>
        <w:pStyle w:val="Odstavecseseznamem"/>
        <w:numPr>
          <w:ilvl w:val="0"/>
          <w:numId w:val="7"/>
        </w:numPr>
        <w:spacing w:after="240"/>
        <w:ind w:right="553"/>
        <w:jc w:val="both"/>
        <w:rPr>
          <w:color w:val="auto"/>
        </w:rPr>
      </w:pPr>
      <w:r w:rsidRPr="0067513F">
        <w:rPr>
          <w:color w:val="auto"/>
        </w:rPr>
        <w:t>bude využívat Důvěrné informace pouze pro účely Veřejné zakázky a následného plnění realizovaného na základě Veřejné zakázky;</w:t>
      </w:r>
    </w:p>
    <w:p w14:paraId="681617A0" w14:textId="0057F919" w:rsidR="0067513F" w:rsidRPr="0067513F" w:rsidRDefault="0067513F" w:rsidP="0067513F">
      <w:pPr>
        <w:pStyle w:val="Odstavecseseznamem"/>
        <w:numPr>
          <w:ilvl w:val="0"/>
          <w:numId w:val="7"/>
        </w:numPr>
        <w:spacing w:after="240"/>
        <w:ind w:right="553"/>
        <w:jc w:val="both"/>
        <w:rPr>
          <w:color w:val="auto"/>
        </w:rPr>
      </w:pPr>
      <w:r w:rsidRPr="0067513F">
        <w:rPr>
          <w:color w:val="auto"/>
        </w:rPr>
        <w:t>bude zacházet s Důvěrnými informacemi tak, aby byla zachována jejich důvěrná povaha, a zajistí, aby nedošlo ke zpřístupnění Důvěrných informací třetím osobám, a to jakýmkoli způsobem;</w:t>
      </w:r>
    </w:p>
    <w:p w14:paraId="329545AB" w14:textId="449CAB94" w:rsidR="0067513F" w:rsidRPr="0067513F" w:rsidRDefault="0067513F" w:rsidP="0067513F">
      <w:pPr>
        <w:pStyle w:val="Odstavecseseznamem"/>
        <w:numPr>
          <w:ilvl w:val="0"/>
          <w:numId w:val="7"/>
        </w:numPr>
        <w:spacing w:after="240"/>
        <w:ind w:right="553"/>
        <w:jc w:val="both"/>
        <w:rPr>
          <w:color w:val="auto"/>
        </w:rPr>
      </w:pPr>
      <w:r w:rsidRPr="0067513F">
        <w:rPr>
          <w:color w:val="auto"/>
        </w:rPr>
        <w:t>bez předchozího písemného souhlasu Zadavatele neposkytne Důvěrné informace jakékoliv třetí osobě s výjimkou svých zaměstnanců nebo osob v obdobném postavení (tj. i poddodavatelů) podílejících se na zpracování jeho nabídky do zadávacího řízení či na následném plnění realizovaném na základě předmětného zadávacího řízení;</w:t>
      </w:r>
    </w:p>
    <w:p w14:paraId="7AAE8A4B" w14:textId="19115205" w:rsidR="0067513F" w:rsidRDefault="0067513F" w:rsidP="0067513F">
      <w:pPr>
        <w:pStyle w:val="Odstavecseseznamem"/>
        <w:numPr>
          <w:ilvl w:val="0"/>
          <w:numId w:val="7"/>
        </w:numPr>
        <w:spacing w:after="240"/>
        <w:ind w:right="553"/>
        <w:jc w:val="both"/>
        <w:rPr>
          <w:color w:val="auto"/>
        </w:rPr>
      </w:pPr>
      <w:r w:rsidRPr="0067513F">
        <w:rPr>
          <w:color w:val="auto"/>
        </w:rPr>
        <w:lastRenderedPageBreak/>
        <w:t>bude informovat všechny osoby uvedené v</w:t>
      </w:r>
      <w:r>
        <w:rPr>
          <w:color w:val="auto"/>
        </w:rPr>
        <w:t> předchozí odrážce</w:t>
      </w:r>
      <w:r w:rsidRPr="0067513F">
        <w:rPr>
          <w:color w:val="auto"/>
        </w:rPr>
        <w:t>, včetně svých zaměstnanců, osob v obdobném postavení a poddodavatelů podílejících se na zpracování nabídky do zadávacího řízení či na následném plnění realizovaném na základě zadávacího řízení, o důvěrné povaze Důvěrných informací a zajistí, aby všechny tyto osoby dodržovaly podmínky obsažené v</w:t>
      </w:r>
      <w:r>
        <w:rPr>
          <w:color w:val="auto"/>
        </w:rPr>
        <w:t> tomto Prohlášení</w:t>
      </w:r>
      <w:r w:rsidRPr="0067513F">
        <w:rPr>
          <w:color w:val="auto"/>
        </w:rPr>
        <w:t xml:space="preserve"> týkající se ochrany Důvěrných informací a chránily Důvěrné informace alespoň způsobem odpovídajícím míře ochrany </w:t>
      </w:r>
      <w:r w:rsidR="006C4C5D">
        <w:rPr>
          <w:color w:val="auto"/>
        </w:rPr>
        <w:t>D</w:t>
      </w:r>
      <w:r w:rsidRPr="0067513F">
        <w:rPr>
          <w:color w:val="auto"/>
        </w:rPr>
        <w:t>ůvěrných informací. Dodavatel je povinen své poddodavatele zavázat ohledně mlčenlivosti ve stejném rozsahu, v jakém je t</w:t>
      </w:r>
      <w:r>
        <w:rPr>
          <w:color w:val="auto"/>
        </w:rPr>
        <w:t>ímto Prohlášením</w:t>
      </w:r>
      <w:r w:rsidRPr="0067513F">
        <w:rPr>
          <w:color w:val="auto"/>
        </w:rPr>
        <w:t xml:space="preserve"> zavázán vůči Zadavateli</w:t>
      </w:r>
      <w:r>
        <w:rPr>
          <w:color w:val="auto"/>
        </w:rPr>
        <w:t>;</w:t>
      </w:r>
    </w:p>
    <w:p w14:paraId="3DAD1DCF" w14:textId="77777777" w:rsidR="0067513F" w:rsidRDefault="0067513F" w:rsidP="0067513F">
      <w:pPr>
        <w:pStyle w:val="Odstavecseseznamem"/>
        <w:numPr>
          <w:ilvl w:val="0"/>
          <w:numId w:val="7"/>
        </w:numPr>
        <w:spacing w:after="240"/>
        <w:ind w:right="553"/>
        <w:jc w:val="both"/>
        <w:rPr>
          <w:color w:val="auto"/>
        </w:rPr>
      </w:pPr>
      <w:r>
        <w:rPr>
          <w:color w:val="auto"/>
        </w:rPr>
        <w:t>b</w:t>
      </w:r>
      <w:r w:rsidRPr="0067513F">
        <w:rPr>
          <w:color w:val="auto"/>
        </w:rPr>
        <w:t>ude neprodleně informovat Zadavatele o každé mimořádné události, která může mít vliv na zachování důvěrné povahy Důvěrných informací, a poskytnout Zadavateli všechny dostupné informace pro objasnění možných příčin jejich vzniku, předpokládaného trvání a rozsahu</w:t>
      </w:r>
      <w:r>
        <w:rPr>
          <w:color w:val="auto"/>
        </w:rPr>
        <w:t>;</w:t>
      </w:r>
    </w:p>
    <w:p w14:paraId="10B00BDE" w14:textId="5860C736" w:rsidR="0067513F" w:rsidRPr="0067513F" w:rsidRDefault="0067513F" w:rsidP="0067513F">
      <w:pPr>
        <w:pStyle w:val="Odstavecseseznamem"/>
        <w:numPr>
          <w:ilvl w:val="0"/>
          <w:numId w:val="7"/>
        </w:numPr>
        <w:spacing w:after="240"/>
        <w:ind w:right="553"/>
        <w:jc w:val="both"/>
        <w:rPr>
          <w:color w:val="auto"/>
        </w:rPr>
      </w:pPr>
      <w:r>
        <w:rPr>
          <w:color w:val="auto"/>
        </w:rPr>
        <w:t xml:space="preserve">nebude </w:t>
      </w:r>
      <w:r w:rsidRPr="0067513F">
        <w:rPr>
          <w:color w:val="auto"/>
        </w:rPr>
        <w:t>mít u sebe při návštěvě data room žádná elektronická zařízení (mobilní telefony, tablety, notebooky atd.), která by mohla být využita k elektronickému zachycení informací v data room, a žádné elektronické nosiče dat</w:t>
      </w:r>
      <w:r w:rsidR="0069799F">
        <w:rPr>
          <w:color w:val="auto"/>
        </w:rPr>
        <w:t xml:space="preserve">; </w:t>
      </w:r>
    </w:p>
    <w:p w14:paraId="42CFA9C2" w14:textId="71B9A80C" w:rsidR="0067513F" w:rsidRDefault="0067513F" w:rsidP="00B6008E">
      <w:pPr>
        <w:pStyle w:val="Odstavecseseznamem"/>
        <w:numPr>
          <w:ilvl w:val="0"/>
          <w:numId w:val="7"/>
        </w:numPr>
        <w:spacing w:after="240"/>
        <w:ind w:right="553"/>
        <w:jc w:val="both"/>
        <w:rPr>
          <w:color w:val="auto"/>
        </w:rPr>
      </w:pPr>
      <w:r w:rsidRPr="0069799F">
        <w:rPr>
          <w:color w:val="auto"/>
        </w:rPr>
        <w:t>nebude informace uvedené v jednotlivých dokumentech či na nosičích dat fotografovat, skenovat či jinak pořizovat na záznamová zařízení a vynášet mimo prostory Zadavatele, s výjimkou pořízených výpisků</w:t>
      </w:r>
      <w:r w:rsidR="0069799F" w:rsidRPr="0069799F">
        <w:rPr>
          <w:color w:val="auto"/>
        </w:rPr>
        <w:t xml:space="preserve">; </w:t>
      </w:r>
      <w:r w:rsidR="0069799F">
        <w:rPr>
          <w:color w:val="auto"/>
        </w:rPr>
        <w:t>u</w:t>
      </w:r>
      <w:r w:rsidRPr="0069799F">
        <w:rPr>
          <w:color w:val="auto"/>
        </w:rPr>
        <w:t>činěné výpisky Dodavatele je oprávněn Zadavatel kdykoliv kontrolovat co do souladu s</w:t>
      </w:r>
      <w:r w:rsidR="006C4C5D">
        <w:rPr>
          <w:color w:val="auto"/>
        </w:rPr>
        <w:t> tímto Prohlášením</w:t>
      </w:r>
      <w:r w:rsidRPr="0069799F">
        <w:rPr>
          <w:color w:val="auto"/>
        </w:rPr>
        <w:t xml:space="preserve"> a Zadávací dokumentací, a to jak v průběhu, tak i při ukončení návštěvy Dodavatele v data room</w:t>
      </w:r>
      <w:r w:rsidR="0069799F">
        <w:rPr>
          <w:color w:val="auto"/>
        </w:rPr>
        <w:t>;</w:t>
      </w:r>
    </w:p>
    <w:p w14:paraId="4B5DC0C6" w14:textId="20491A6D" w:rsidR="0069799F" w:rsidRPr="0069799F" w:rsidRDefault="0069799F" w:rsidP="0069799F">
      <w:pPr>
        <w:pStyle w:val="Odstavecseseznamem"/>
        <w:numPr>
          <w:ilvl w:val="0"/>
          <w:numId w:val="7"/>
        </w:numPr>
        <w:spacing w:after="240"/>
        <w:ind w:right="553"/>
        <w:jc w:val="both"/>
        <w:rPr>
          <w:color w:val="auto"/>
        </w:rPr>
      </w:pPr>
      <w:r>
        <w:rPr>
          <w:color w:val="auto"/>
        </w:rPr>
        <w:t xml:space="preserve">v případě, že Dodavatel </w:t>
      </w:r>
      <w:r w:rsidRPr="0069799F">
        <w:rPr>
          <w:color w:val="auto"/>
        </w:rPr>
        <w:t>zvažuje spolupracovat při přípravě nabídky na realizaci Veřejn</w:t>
      </w:r>
      <w:r w:rsidR="00BB0ABC">
        <w:rPr>
          <w:color w:val="auto"/>
        </w:rPr>
        <w:t>é</w:t>
      </w:r>
      <w:r w:rsidRPr="0069799F">
        <w:rPr>
          <w:color w:val="auto"/>
        </w:rPr>
        <w:t xml:space="preserve"> zakázky a/nebo při eventuálním plnění Veřejné zakázky Dodavatelem se třetími osobami, </w:t>
      </w:r>
      <w:r>
        <w:rPr>
          <w:color w:val="auto"/>
        </w:rPr>
        <w:t>bude</w:t>
      </w:r>
      <w:r w:rsidRPr="0069799F">
        <w:rPr>
          <w:color w:val="auto"/>
        </w:rPr>
        <w:t xml:space="preserve"> sdílet s těmito osobami (dále jen „Poddodavatel“) Důvěrné informace jen v souladu s tímto </w:t>
      </w:r>
      <w:r>
        <w:rPr>
          <w:color w:val="auto"/>
        </w:rPr>
        <w:t>Prohlášením</w:t>
      </w:r>
      <w:r w:rsidRPr="0069799F">
        <w:rPr>
          <w:color w:val="auto"/>
        </w:rPr>
        <w:t>.</w:t>
      </w:r>
      <w:r>
        <w:rPr>
          <w:color w:val="auto"/>
        </w:rPr>
        <w:t xml:space="preserve"> </w:t>
      </w:r>
      <w:r w:rsidRPr="0069799F">
        <w:rPr>
          <w:color w:val="auto"/>
        </w:rPr>
        <w:t xml:space="preserve">Za Poddodavatele se považuje jakákoliv třetí osoba spolupracující s Dodavatelem bez ohledu na to, zda: </w:t>
      </w:r>
    </w:p>
    <w:p w14:paraId="66B958A6" w14:textId="77777777" w:rsidR="0069799F" w:rsidRPr="0069799F" w:rsidRDefault="0069799F" w:rsidP="0069799F">
      <w:pPr>
        <w:pStyle w:val="Odstavecseseznamem"/>
        <w:numPr>
          <w:ilvl w:val="1"/>
          <w:numId w:val="7"/>
        </w:numPr>
        <w:spacing w:after="240"/>
        <w:ind w:right="553"/>
        <w:jc w:val="both"/>
        <w:rPr>
          <w:color w:val="auto"/>
        </w:rPr>
      </w:pPr>
      <w:r w:rsidRPr="0069799F">
        <w:rPr>
          <w:color w:val="auto"/>
        </w:rPr>
        <w:t xml:space="preserve">spolupráce probíhá v rámci konsorcia Dodavatele a takovéto třetí osoby, jehož členové odpovídající Zadavateli společně a nerozdílně, nebo </w:t>
      </w:r>
    </w:p>
    <w:p w14:paraId="6F8AC7A5" w14:textId="2B36C6C2" w:rsidR="0069799F" w:rsidRPr="0069799F" w:rsidRDefault="0069799F" w:rsidP="0069799F">
      <w:pPr>
        <w:pStyle w:val="Odstavecseseznamem"/>
        <w:numPr>
          <w:ilvl w:val="1"/>
          <w:numId w:val="7"/>
        </w:numPr>
        <w:spacing w:after="240"/>
        <w:ind w:right="553"/>
        <w:jc w:val="both"/>
        <w:rPr>
          <w:color w:val="auto"/>
        </w:rPr>
      </w:pPr>
      <w:r w:rsidRPr="0069799F">
        <w:rPr>
          <w:color w:val="auto"/>
        </w:rPr>
        <w:t xml:space="preserve">spolupráce je založena na poddodavatelském vztahu takovéto třetí osoby vůči Dodavatelovi, nebo </w:t>
      </w:r>
    </w:p>
    <w:p w14:paraId="3A1A01FF" w14:textId="77777777" w:rsidR="0069799F" w:rsidRPr="0069799F" w:rsidRDefault="0069799F" w:rsidP="0069799F">
      <w:pPr>
        <w:pStyle w:val="Odstavecseseznamem"/>
        <w:numPr>
          <w:ilvl w:val="1"/>
          <w:numId w:val="7"/>
        </w:numPr>
        <w:spacing w:after="240"/>
        <w:ind w:right="553"/>
        <w:jc w:val="both"/>
        <w:rPr>
          <w:color w:val="auto"/>
        </w:rPr>
      </w:pPr>
      <w:r w:rsidRPr="0069799F">
        <w:rPr>
          <w:color w:val="auto"/>
        </w:rPr>
        <w:t>spolupráce je založena na poddodavatelském vztahu Dodavatele vůči takovéto třetí osobě, nebo</w:t>
      </w:r>
    </w:p>
    <w:p w14:paraId="12CB739F" w14:textId="77777777" w:rsidR="0069799F" w:rsidRPr="0069799F" w:rsidRDefault="0069799F" w:rsidP="0069799F">
      <w:pPr>
        <w:pStyle w:val="Odstavecseseznamem"/>
        <w:numPr>
          <w:ilvl w:val="1"/>
          <w:numId w:val="7"/>
        </w:numPr>
        <w:spacing w:after="240"/>
        <w:ind w:right="553"/>
        <w:jc w:val="both"/>
        <w:rPr>
          <w:color w:val="auto"/>
        </w:rPr>
      </w:pPr>
      <w:r w:rsidRPr="0069799F">
        <w:rPr>
          <w:color w:val="auto"/>
        </w:rPr>
        <w:t>Dodavatel a třetí osoba zvolili eventuální jinou formu spolupráce.</w:t>
      </w:r>
    </w:p>
    <w:p w14:paraId="221F6864" w14:textId="4947B649" w:rsidR="0069799F" w:rsidRPr="0069799F" w:rsidRDefault="0069799F" w:rsidP="0069799F">
      <w:pPr>
        <w:pStyle w:val="Odstavecseseznamem"/>
        <w:numPr>
          <w:ilvl w:val="0"/>
          <w:numId w:val="7"/>
        </w:numPr>
        <w:spacing w:after="240"/>
        <w:ind w:right="553"/>
        <w:jc w:val="both"/>
        <w:rPr>
          <w:color w:val="auto"/>
        </w:rPr>
      </w:pPr>
      <w:r>
        <w:rPr>
          <w:color w:val="auto"/>
        </w:rPr>
        <w:t xml:space="preserve">Bude sdílet </w:t>
      </w:r>
      <w:r w:rsidRPr="0069799F">
        <w:rPr>
          <w:color w:val="auto"/>
        </w:rPr>
        <w:t>Důvěrn</w:t>
      </w:r>
      <w:r>
        <w:rPr>
          <w:color w:val="auto"/>
        </w:rPr>
        <w:t>é</w:t>
      </w:r>
      <w:r w:rsidRPr="0069799F">
        <w:rPr>
          <w:color w:val="auto"/>
        </w:rPr>
        <w:t xml:space="preserve"> informac</w:t>
      </w:r>
      <w:r>
        <w:rPr>
          <w:color w:val="auto"/>
        </w:rPr>
        <w:t>e</w:t>
      </w:r>
      <w:r w:rsidRPr="0069799F">
        <w:rPr>
          <w:color w:val="auto"/>
        </w:rPr>
        <w:t xml:space="preserve"> </w:t>
      </w:r>
      <w:r>
        <w:rPr>
          <w:color w:val="auto"/>
        </w:rPr>
        <w:t>j</w:t>
      </w:r>
      <w:r w:rsidRPr="0069799F">
        <w:rPr>
          <w:color w:val="auto"/>
        </w:rPr>
        <w:t>en za předpokladu, že:</w:t>
      </w:r>
    </w:p>
    <w:p w14:paraId="29F47EB3" w14:textId="4C77D0BA" w:rsidR="0069799F" w:rsidRPr="0069799F" w:rsidRDefault="0069799F" w:rsidP="0069799F">
      <w:pPr>
        <w:pStyle w:val="Odstavecseseznamem"/>
        <w:numPr>
          <w:ilvl w:val="1"/>
          <w:numId w:val="7"/>
        </w:numPr>
        <w:spacing w:after="240"/>
        <w:ind w:right="553"/>
        <w:jc w:val="both"/>
        <w:rPr>
          <w:color w:val="auto"/>
        </w:rPr>
      </w:pPr>
      <w:r w:rsidRPr="0069799F">
        <w:rPr>
          <w:color w:val="auto"/>
        </w:rPr>
        <w:t xml:space="preserve">Poddodavatel </w:t>
      </w:r>
      <w:r w:rsidR="008B04E9">
        <w:rPr>
          <w:color w:val="auto"/>
        </w:rPr>
        <w:t>předložil</w:t>
      </w:r>
      <w:r w:rsidRPr="0069799F">
        <w:rPr>
          <w:color w:val="auto"/>
        </w:rPr>
        <w:t xml:space="preserve"> Zadavatel</w:t>
      </w:r>
      <w:r w:rsidR="008B04E9">
        <w:rPr>
          <w:color w:val="auto"/>
        </w:rPr>
        <w:t>i</w:t>
      </w:r>
      <w:r w:rsidRPr="0069799F">
        <w:rPr>
          <w:color w:val="auto"/>
        </w:rPr>
        <w:t xml:space="preserve"> vlastním jménem a na vlastní účet </w:t>
      </w:r>
      <w:r w:rsidR="008B04E9">
        <w:rPr>
          <w:color w:val="auto"/>
        </w:rPr>
        <w:t>Prohlášení o mlčenlivosti</w:t>
      </w:r>
      <w:r w:rsidRPr="0069799F">
        <w:rPr>
          <w:color w:val="auto"/>
        </w:rPr>
        <w:t xml:space="preserve"> s v podstatě stejným obsahem, jako je obsah </w:t>
      </w:r>
      <w:r w:rsidR="008B04E9">
        <w:rPr>
          <w:color w:val="auto"/>
        </w:rPr>
        <w:t>tohoto Prohlášení</w:t>
      </w:r>
      <w:r w:rsidRPr="0069799F">
        <w:rPr>
          <w:color w:val="auto"/>
        </w:rPr>
        <w:t xml:space="preserve">; tento předpoklad se považuje za splněný, pokud budou Zadavateli doručeny dvě </w:t>
      </w:r>
      <w:r w:rsidRPr="0069799F">
        <w:rPr>
          <w:color w:val="auto"/>
        </w:rPr>
        <w:lastRenderedPageBreak/>
        <w:t xml:space="preserve">vyhotovení takovéto </w:t>
      </w:r>
      <w:r w:rsidR="008B04E9">
        <w:rPr>
          <w:color w:val="auto"/>
        </w:rPr>
        <w:t>Prohlášení</w:t>
      </w:r>
      <w:r w:rsidRPr="0069799F">
        <w:rPr>
          <w:color w:val="auto"/>
        </w:rPr>
        <w:t xml:space="preserve"> podepsaná osobou oprávněnou zavazovat Poddodavatele, nebo</w:t>
      </w:r>
    </w:p>
    <w:p w14:paraId="23AD5F9D" w14:textId="043ACA6D" w:rsidR="0069799F" w:rsidRPr="0069799F" w:rsidRDefault="0069799F" w:rsidP="008B04E9">
      <w:pPr>
        <w:pStyle w:val="Odstavecseseznamem"/>
        <w:numPr>
          <w:ilvl w:val="1"/>
          <w:numId w:val="7"/>
        </w:numPr>
        <w:spacing w:after="240"/>
        <w:ind w:right="553"/>
        <w:jc w:val="both"/>
        <w:rPr>
          <w:color w:val="auto"/>
        </w:rPr>
      </w:pPr>
      <w:r w:rsidRPr="0069799F">
        <w:rPr>
          <w:color w:val="auto"/>
        </w:rPr>
        <w:t>Dodavatel uzavřel s Poddodavatelem dohodu o ochraně informací, na základě které budou Důvěrné informace poskytnuté Dodavateli a sdílené s</w:t>
      </w:r>
      <w:r w:rsidR="008B04E9">
        <w:rPr>
          <w:color w:val="auto"/>
        </w:rPr>
        <w:t> </w:t>
      </w:r>
      <w:r w:rsidRPr="0069799F">
        <w:rPr>
          <w:color w:val="auto"/>
        </w:rPr>
        <w:t xml:space="preserve">Poddodavatelem podléhat ochraně i ze strany Poddodavatele za stejných podmínek, jako </w:t>
      </w:r>
      <w:r w:rsidR="008B04E9">
        <w:rPr>
          <w:color w:val="auto"/>
        </w:rPr>
        <w:t>jsou</w:t>
      </w:r>
      <w:r w:rsidRPr="0069799F">
        <w:rPr>
          <w:color w:val="auto"/>
        </w:rPr>
        <w:t xml:space="preserve"> stanoveny t</w:t>
      </w:r>
      <w:r w:rsidR="008B04E9">
        <w:rPr>
          <w:color w:val="auto"/>
        </w:rPr>
        <w:t>ímto Prohlášením</w:t>
      </w:r>
      <w:r w:rsidRPr="0069799F">
        <w:rPr>
          <w:color w:val="auto"/>
        </w:rPr>
        <w:t>; tento předpoklad se považuje za splněný, pokud bude Zadavateli doručeno jedno vyhotovení takovéto dohody o ochraně informací podepsané osobami zastupujícími Poddodavatele a Dodavatele.</w:t>
      </w:r>
    </w:p>
    <w:p w14:paraId="080BEF87" w14:textId="5D010005" w:rsidR="0069799F" w:rsidRDefault="008B04E9" w:rsidP="00B6008E">
      <w:pPr>
        <w:pStyle w:val="Odstavecseseznamem"/>
        <w:numPr>
          <w:ilvl w:val="0"/>
          <w:numId w:val="7"/>
        </w:numPr>
        <w:spacing w:after="240"/>
        <w:ind w:right="553"/>
        <w:jc w:val="both"/>
        <w:rPr>
          <w:color w:val="auto"/>
        </w:rPr>
      </w:pPr>
      <w:r w:rsidRPr="008B04E9">
        <w:rPr>
          <w:color w:val="auto"/>
        </w:rPr>
        <w:t>vrátí všechny přijaté Důvěrné informace Zadavateli, a jakékoliv výpisky, které v</w:t>
      </w:r>
      <w:r>
        <w:rPr>
          <w:color w:val="auto"/>
        </w:rPr>
        <w:t> </w:t>
      </w:r>
      <w:r w:rsidRPr="008B04E9">
        <w:rPr>
          <w:color w:val="auto"/>
        </w:rPr>
        <w:t>souvislosti s plněním předmětu a účel</w:t>
      </w:r>
      <w:r w:rsidR="006C4C5D">
        <w:rPr>
          <w:color w:val="auto"/>
        </w:rPr>
        <w:t>em tohoto Prohlášení</w:t>
      </w:r>
      <w:r w:rsidRPr="008B04E9">
        <w:rPr>
          <w:color w:val="auto"/>
        </w:rPr>
        <w:t xml:space="preserve"> pořídil, bezodkladně zničí</w:t>
      </w:r>
      <w:r>
        <w:rPr>
          <w:color w:val="auto"/>
        </w:rPr>
        <w:t>.</w:t>
      </w:r>
    </w:p>
    <w:p w14:paraId="0F5B7F14" w14:textId="7D31C6C4" w:rsidR="008B04E9" w:rsidRDefault="008B04E9" w:rsidP="008B04E9">
      <w:pPr>
        <w:spacing w:after="240"/>
        <w:ind w:right="553"/>
        <w:jc w:val="both"/>
        <w:rPr>
          <w:color w:val="auto"/>
        </w:rPr>
      </w:pPr>
      <w:r w:rsidRPr="008B04E9">
        <w:rPr>
          <w:color w:val="auto"/>
        </w:rPr>
        <w:t>Dodavatel</w:t>
      </w:r>
      <w:r>
        <w:rPr>
          <w:color w:val="auto"/>
        </w:rPr>
        <w:t xml:space="preserve"> dále</w:t>
      </w:r>
      <w:r w:rsidRPr="008B04E9">
        <w:rPr>
          <w:color w:val="auto"/>
        </w:rPr>
        <w:t xml:space="preserve"> prohlašuje, že:</w:t>
      </w:r>
    </w:p>
    <w:p w14:paraId="19197CB1" w14:textId="7CD84849" w:rsidR="008B04E9" w:rsidRPr="008B04E9" w:rsidRDefault="008B04E9" w:rsidP="008B04E9">
      <w:pPr>
        <w:pStyle w:val="Odstavecseseznamem"/>
        <w:numPr>
          <w:ilvl w:val="0"/>
          <w:numId w:val="7"/>
        </w:numPr>
        <w:spacing w:after="240"/>
        <w:ind w:right="553"/>
        <w:jc w:val="both"/>
        <w:rPr>
          <w:color w:val="auto"/>
        </w:rPr>
      </w:pPr>
      <w:r w:rsidRPr="008B04E9">
        <w:rPr>
          <w:color w:val="auto"/>
        </w:rPr>
        <w:t xml:space="preserve">odpovídá za porušení povinností pro nakládání s Důvěrnými informacemi dle </w:t>
      </w:r>
      <w:r>
        <w:rPr>
          <w:color w:val="auto"/>
        </w:rPr>
        <w:t>tohoto Prohlášení</w:t>
      </w:r>
      <w:r w:rsidRPr="008B04E9">
        <w:rPr>
          <w:color w:val="auto"/>
        </w:rPr>
        <w:t xml:space="preserve">, které způsobil jeho Poddodavatel, jako by toto porušení způsobil sám Dodavatel. V případě, že i Poddodavatel </w:t>
      </w:r>
      <w:r w:rsidR="00EA154E">
        <w:rPr>
          <w:color w:val="auto"/>
        </w:rPr>
        <w:t>dodal</w:t>
      </w:r>
      <w:r w:rsidRPr="008B04E9">
        <w:rPr>
          <w:color w:val="auto"/>
        </w:rPr>
        <w:t xml:space="preserve"> Zadavate</w:t>
      </w:r>
      <w:r w:rsidR="00EA154E">
        <w:rPr>
          <w:color w:val="auto"/>
        </w:rPr>
        <w:t>li Prohlášení o mlčenlivosti</w:t>
      </w:r>
      <w:r w:rsidRPr="008B04E9">
        <w:rPr>
          <w:color w:val="auto"/>
        </w:rPr>
        <w:t xml:space="preserve">, odpovídají za porušení </w:t>
      </w:r>
      <w:r w:rsidR="006C4C5D">
        <w:rPr>
          <w:color w:val="auto"/>
        </w:rPr>
        <w:t>povinností</w:t>
      </w:r>
      <w:r w:rsidRPr="008B04E9">
        <w:rPr>
          <w:color w:val="auto"/>
        </w:rPr>
        <w:t xml:space="preserve"> Dodavatel i Poddodavatel společně a nerozdílně</w:t>
      </w:r>
      <w:r w:rsidR="00EA154E">
        <w:rPr>
          <w:color w:val="auto"/>
        </w:rPr>
        <w:t>;</w:t>
      </w:r>
    </w:p>
    <w:p w14:paraId="01D14C73" w14:textId="0926F01B" w:rsidR="008B04E9" w:rsidRPr="008B04E9" w:rsidRDefault="00EA154E" w:rsidP="008B04E9">
      <w:pPr>
        <w:pStyle w:val="Odstavecseseznamem"/>
        <w:numPr>
          <w:ilvl w:val="0"/>
          <w:numId w:val="7"/>
        </w:numPr>
        <w:spacing w:after="240"/>
        <w:ind w:right="553"/>
        <w:jc w:val="both"/>
        <w:rPr>
          <w:color w:val="auto"/>
        </w:rPr>
      </w:pPr>
      <w:r>
        <w:rPr>
          <w:color w:val="auto"/>
        </w:rPr>
        <w:t>p</w:t>
      </w:r>
      <w:r w:rsidR="008B04E9" w:rsidRPr="008B04E9">
        <w:rPr>
          <w:color w:val="auto"/>
        </w:rPr>
        <w:t>oruší-li</w:t>
      </w:r>
      <w:r>
        <w:rPr>
          <w:color w:val="auto"/>
        </w:rPr>
        <w:t xml:space="preserve"> </w:t>
      </w:r>
      <w:r w:rsidR="008B04E9" w:rsidRPr="008B04E9">
        <w:rPr>
          <w:color w:val="auto"/>
        </w:rPr>
        <w:t xml:space="preserve">jakoukoliv </w:t>
      </w:r>
      <w:r>
        <w:rPr>
          <w:color w:val="auto"/>
        </w:rPr>
        <w:t xml:space="preserve">svou </w:t>
      </w:r>
      <w:r w:rsidR="008B04E9" w:rsidRPr="008B04E9">
        <w:rPr>
          <w:color w:val="auto"/>
        </w:rPr>
        <w:t>povinnost</w:t>
      </w:r>
      <w:r>
        <w:rPr>
          <w:color w:val="auto"/>
        </w:rPr>
        <w:t xml:space="preserve"> v souvislosti s tímto Prohlášením</w:t>
      </w:r>
      <w:r w:rsidR="008B04E9" w:rsidRPr="008B04E9">
        <w:rPr>
          <w:color w:val="auto"/>
        </w:rPr>
        <w:t xml:space="preserve">, vznikne Zadavateli právo požadovat zaplacení pokuty Dodavatelem ve výši </w:t>
      </w:r>
      <w:r>
        <w:rPr>
          <w:color w:val="auto"/>
        </w:rPr>
        <w:t xml:space="preserve">až </w:t>
      </w:r>
      <w:r w:rsidR="008B04E9" w:rsidRPr="008B04E9">
        <w:rPr>
          <w:color w:val="auto"/>
        </w:rPr>
        <w:t>1.000.000,- Kč (slovy: jeden milión korun českých) za každé nikoliv nepodstatné porušení takové povinnosti</w:t>
      </w:r>
      <w:r>
        <w:rPr>
          <w:color w:val="auto"/>
        </w:rPr>
        <w:t>;</w:t>
      </w:r>
    </w:p>
    <w:p w14:paraId="0C9C1165" w14:textId="73018435" w:rsidR="008B04E9" w:rsidRPr="008B04E9" w:rsidRDefault="00EA154E" w:rsidP="008B04E9">
      <w:pPr>
        <w:pStyle w:val="Odstavecseseznamem"/>
        <w:numPr>
          <w:ilvl w:val="0"/>
          <w:numId w:val="7"/>
        </w:numPr>
        <w:spacing w:after="240"/>
        <w:ind w:right="553"/>
        <w:jc w:val="both"/>
        <w:rPr>
          <w:color w:val="auto"/>
        </w:rPr>
      </w:pPr>
      <w:r>
        <w:rPr>
          <w:color w:val="auto"/>
        </w:rPr>
        <w:t>p</w:t>
      </w:r>
      <w:r w:rsidR="008B04E9" w:rsidRPr="008B04E9">
        <w:rPr>
          <w:color w:val="auto"/>
        </w:rPr>
        <w:t>ovinnost Dodavatele zaplatit pokutu se nedotýká nároku Zadavatele na náhradu škody způsobené porušením povinností, která ke vzniku nároku na pokutu vedla, a to v plné výši</w:t>
      </w:r>
      <w:r>
        <w:rPr>
          <w:color w:val="auto"/>
        </w:rPr>
        <w:t>;</w:t>
      </w:r>
    </w:p>
    <w:p w14:paraId="2EB460BB" w14:textId="1CECD058" w:rsidR="008B04E9" w:rsidRPr="006C4C5D" w:rsidRDefault="00EA154E" w:rsidP="008B04E9">
      <w:pPr>
        <w:pStyle w:val="Odstavecseseznamem"/>
        <w:numPr>
          <w:ilvl w:val="0"/>
          <w:numId w:val="7"/>
        </w:numPr>
        <w:spacing w:after="240"/>
        <w:ind w:right="553"/>
        <w:jc w:val="both"/>
        <w:rPr>
          <w:color w:val="auto"/>
        </w:rPr>
      </w:pPr>
      <w:r>
        <w:rPr>
          <w:color w:val="auto"/>
        </w:rPr>
        <w:t xml:space="preserve">se zavazuje </w:t>
      </w:r>
      <w:r w:rsidRPr="00EA154E">
        <w:rPr>
          <w:color w:val="auto"/>
        </w:rPr>
        <w:t xml:space="preserve">chránit Důvěrné informace po dobu deseti (10) let od </w:t>
      </w:r>
      <w:r>
        <w:rPr>
          <w:color w:val="auto"/>
        </w:rPr>
        <w:t>podpisu tohoto Prohlášení</w:t>
      </w:r>
      <w:r w:rsidRPr="00EA154E">
        <w:rPr>
          <w:color w:val="auto"/>
        </w:rPr>
        <w:t xml:space="preserve">. </w:t>
      </w:r>
    </w:p>
    <w:p w14:paraId="17798E53" w14:textId="77777777" w:rsidR="0067513F" w:rsidRDefault="0067513F" w:rsidP="009F0C2E">
      <w:pPr>
        <w:spacing w:after="240"/>
        <w:ind w:right="553"/>
        <w:rPr>
          <w:color w:val="auto"/>
        </w:rPr>
      </w:pPr>
    </w:p>
    <w:p w14:paraId="1786B1B5" w14:textId="77777777" w:rsidR="009F0C2E" w:rsidRPr="005B61D8" w:rsidRDefault="009F0C2E" w:rsidP="009F0C2E">
      <w:pPr>
        <w:spacing w:after="240"/>
        <w:ind w:right="553"/>
        <w:rPr>
          <w:rFonts w:asciiTheme="minorHAnsi" w:hAnsiTheme="minorHAnsi" w:cstheme="minorHAnsi"/>
          <w:color w:val="auto"/>
          <w:szCs w:val="22"/>
        </w:rPr>
      </w:pPr>
      <w:r w:rsidRPr="005B61D8">
        <w:rPr>
          <w:color w:val="auto"/>
        </w:rPr>
        <w:t xml:space="preserve">V </w:t>
      </w:r>
      <w:r w:rsidRPr="005B61D8">
        <w:rPr>
          <w:rFonts w:asciiTheme="minorHAnsi" w:hAnsiTheme="minorHAnsi" w:cstheme="minorHAnsi"/>
          <w:color w:val="auto"/>
          <w:szCs w:val="22"/>
          <w:highlight w:val="yellow"/>
        </w:rPr>
        <w:t>[DOPLNÍ DODAVATEL]</w:t>
      </w:r>
      <w:r w:rsidRPr="005B61D8">
        <w:rPr>
          <w:rFonts w:asciiTheme="minorHAnsi" w:hAnsiTheme="minorHAnsi" w:cstheme="minorHAnsi"/>
          <w:color w:val="auto"/>
          <w:szCs w:val="22"/>
        </w:rPr>
        <w:t xml:space="preserve"> </w:t>
      </w:r>
      <w:r w:rsidRPr="005B61D8">
        <w:rPr>
          <w:color w:val="auto"/>
        </w:rPr>
        <w:t xml:space="preserve">dne </w:t>
      </w:r>
      <w:r w:rsidRPr="005B61D8">
        <w:rPr>
          <w:rFonts w:asciiTheme="minorHAnsi" w:hAnsiTheme="minorHAnsi" w:cstheme="minorHAnsi"/>
          <w:color w:val="auto"/>
          <w:szCs w:val="22"/>
          <w:highlight w:val="yellow"/>
        </w:rPr>
        <w:t>[DOPLNÍ DODAVATEL]</w:t>
      </w:r>
    </w:p>
    <w:p w14:paraId="03092976" w14:textId="77777777" w:rsidR="001D6DF6" w:rsidRPr="005B61D8" w:rsidRDefault="001D6DF6" w:rsidP="00B46165">
      <w:pPr>
        <w:spacing w:after="240"/>
        <w:ind w:right="553"/>
        <w:rPr>
          <w:color w:val="auto"/>
        </w:rPr>
      </w:pPr>
    </w:p>
    <w:sectPr w:rsidR="001D6DF6" w:rsidRPr="005B61D8" w:rsidSect="008272D8">
      <w:headerReference w:type="default" r:id="rId7"/>
      <w:pgSz w:w="11906" w:h="16838"/>
      <w:pgMar w:top="198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555C53" w14:textId="77777777" w:rsidR="006F548B" w:rsidRDefault="006F548B" w:rsidP="009F0C2E">
      <w:r>
        <w:separator/>
      </w:r>
    </w:p>
  </w:endnote>
  <w:endnote w:type="continuationSeparator" w:id="0">
    <w:p w14:paraId="3623B7D8" w14:textId="77777777" w:rsidR="006F548B" w:rsidRDefault="006F548B" w:rsidP="009F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ECFEC2" w14:textId="77777777" w:rsidR="006F548B" w:rsidRDefault="006F548B" w:rsidP="009F0C2E">
      <w:r>
        <w:separator/>
      </w:r>
    </w:p>
  </w:footnote>
  <w:footnote w:type="continuationSeparator" w:id="0">
    <w:p w14:paraId="5FE9CB20" w14:textId="77777777" w:rsidR="006F548B" w:rsidRDefault="006F548B" w:rsidP="009F0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A8D89" w14:textId="77777777" w:rsidR="001D6DF6" w:rsidRDefault="001D6DF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ECCCA52"/>
    <w:lvl w:ilvl="0">
      <w:start w:val="1"/>
      <w:numFmt w:val="decimal"/>
      <w:pStyle w:val="Nadpis1rovn"/>
      <w:lvlText w:val="%1."/>
      <w:lvlJc w:val="left"/>
      <w:pPr>
        <w:tabs>
          <w:tab w:val="num" w:pos="0"/>
        </w:tabs>
      </w:pPr>
      <w:rPr>
        <w:rFonts w:ascii="Calibri" w:hAnsi="Calibri" w:cs="Garamond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tabs>
          <w:tab w:val="num" w:pos="771"/>
        </w:tabs>
      </w:pPr>
      <w:rPr>
        <w:rFonts w:asciiTheme="minorHAnsi" w:eastAsia="Times New Roman" w:hAnsiTheme="minorHAnsi" w:cstheme="minorHAnsi"/>
        <w:b w:val="0"/>
        <w:bCs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</w:pPr>
      <w:rPr>
        <w:rFonts w:ascii="Calibri" w:hAnsi="Calibri" w:cs="Garamond" w:hint="default"/>
        <w:b w:val="0"/>
        <w:bCs w:val="0"/>
        <w:i w:val="0"/>
        <w:iCs w:val="0"/>
        <w:color w:val="auto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ascii="Garamond" w:hAnsi="Garamond" w:cs="Garamond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5F4C3CAD"/>
    <w:multiLevelType w:val="multilevel"/>
    <w:tmpl w:val="152C9A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6875105A"/>
    <w:multiLevelType w:val="hybridMultilevel"/>
    <w:tmpl w:val="DFBA81E6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C423FE"/>
    <w:multiLevelType w:val="hybridMultilevel"/>
    <w:tmpl w:val="45D08D24"/>
    <w:lvl w:ilvl="0" w:tplc="A820642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4A4C28"/>
    <w:multiLevelType w:val="hybridMultilevel"/>
    <w:tmpl w:val="DBD0462C"/>
    <w:lvl w:ilvl="0" w:tplc="20B4ED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C2E"/>
    <w:rsid w:val="00056FCB"/>
    <w:rsid w:val="00130403"/>
    <w:rsid w:val="00132866"/>
    <w:rsid w:val="001D6DF6"/>
    <w:rsid w:val="00273155"/>
    <w:rsid w:val="002E204B"/>
    <w:rsid w:val="002F1B16"/>
    <w:rsid w:val="003152A9"/>
    <w:rsid w:val="00332A4F"/>
    <w:rsid w:val="0039136C"/>
    <w:rsid w:val="003B75E7"/>
    <w:rsid w:val="003D4861"/>
    <w:rsid w:val="003F1FA9"/>
    <w:rsid w:val="0041774E"/>
    <w:rsid w:val="00425F2B"/>
    <w:rsid w:val="00495DAA"/>
    <w:rsid w:val="00516450"/>
    <w:rsid w:val="0055172C"/>
    <w:rsid w:val="005757DD"/>
    <w:rsid w:val="005A78B2"/>
    <w:rsid w:val="005B61D8"/>
    <w:rsid w:val="005F6C6B"/>
    <w:rsid w:val="00621E10"/>
    <w:rsid w:val="0067513F"/>
    <w:rsid w:val="00682E15"/>
    <w:rsid w:val="0069799F"/>
    <w:rsid w:val="006C4C5D"/>
    <w:rsid w:val="006D70D8"/>
    <w:rsid w:val="006E3051"/>
    <w:rsid w:val="006F548B"/>
    <w:rsid w:val="0071504E"/>
    <w:rsid w:val="00722E72"/>
    <w:rsid w:val="00733AAE"/>
    <w:rsid w:val="007D6988"/>
    <w:rsid w:val="007E50E3"/>
    <w:rsid w:val="007F247F"/>
    <w:rsid w:val="00801EEC"/>
    <w:rsid w:val="00825AF8"/>
    <w:rsid w:val="008272D8"/>
    <w:rsid w:val="008938E6"/>
    <w:rsid w:val="00895D75"/>
    <w:rsid w:val="008B04E9"/>
    <w:rsid w:val="008B1E32"/>
    <w:rsid w:val="008E6398"/>
    <w:rsid w:val="00907598"/>
    <w:rsid w:val="00913913"/>
    <w:rsid w:val="00960358"/>
    <w:rsid w:val="009878A1"/>
    <w:rsid w:val="009B2FEB"/>
    <w:rsid w:val="009C2A67"/>
    <w:rsid w:val="009F0C2E"/>
    <w:rsid w:val="00B46165"/>
    <w:rsid w:val="00BA6D76"/>
    <w:rsid w:val="00BB0ABC"/>
    <w:rsid w:val="00BD1A3A"/>
    <w:rsid w:val="00BE5665"/>
    <w:rsid w:val="00BF1032"/>
    <w:rsid w:val="00C77B56"/>
    <w:rsid w:val="00CB11C4"/>
    <w:rsid w:val="00D172B2"/>
    <w:rsid w:val="00DF7533"/>
    <w:rsid w:val="00E811ED"/>
    <w:rsid w:val="00EA154E"/>
    <w:rsid w:val="00EF3944"/>
    <w:rsid w:val="00EF5D39"/>
    <w:rsid w:val="00F123AB"/>
    <w:rsid w:val="00F128A5"/>
    <w:rsid w:val="00F171F6"/>
    <w:rsid w:val="00F73AB1"/>
    <w:rsid w:val="00F91602"/>
    <w:rsid w:val="00FB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5FCD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0C2E"/>
    <w:pPr>
      <w:spacing w:after="0" w:line="240" w:lineRule="auto"/>
    </w:pPr>
    <w:rPr>
      <w:rFonts w:ascii="Calibri" w:eastAsia="Times New Roman" w:hAnsi="Calibri" w:cs="Arial"/>
      <w:color w:val="394A5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"/>
    <w:basedOn w:val="Normln"/>
    <w:link w:val="OdstavecseseznamemChar"/>
    <w:uiPriority w:val="99"/>
    <w:qFormat/>
    <w:rsid w:val="009F0C2E"/>
    <w:pPr>
      <w:spacing w:after="200" w:line="276" w:lineRule="auto"/>
      <w:ind w:left="720"/>
    </w:pPr>
    <w:rPr>
      <w:rFonts w:cs="Calibri"/>
      <w:szCs w:val="22"/>
      <w:lang w:eastAsia="en-US"/>
    </w:r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99"/>
    <w:rsid w:val="009F0C2E"/>
    <w:rPr>
      <w:rFonts w:ascii="Calibri" w:eastAsia="Times New Roman" w:hAnsi="Calibri" w:cs="Calibri"/>
      <w:color w:val="394A58"/>
    </w:rPr>
  </w:style>
  <w:style w:type="table" w:customStyle="1" w:styleId="TableGrid">
    <w:name w:val="TableGrid"/>
    <w:rsid w:val="009F0C2E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9F0C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F0C2E"/>
    <w:rPr>
      <w:rFonts w:ascii="Calibri" w:eastAsia="Times New Roman" w:hAnsi="Calibri" w:cs="Arial"/>
      <w:color w:val="394A58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F0C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0C2E"/>
    <w:rPr>
      <w:rFonts w:ascii="Calibri" w:eastAsia="Times New Roman" w:hAnsi="Calibri" w:cs="Arial"/>
      <w:color w:val="394A58"/>
      <w:szCs w:val="20"/>
      <w:lang w:eastAsia="cs-CZ"/>
    </w:rPr>
  </w:style>
  <w:style w:type="table" w:styleId="Mkatabulky">
    <w:name w:val="Table Grid"/>
    <w:basedOn w:val="Normlntabulka"/>
    <w:uiPriority w:val="99"/>
    <w:rsid w:val="009C2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1rovn">
    <w:name w:val="Nadpis 1. úrovně"/>
    <w:basedOn w:val="Normln"/>
    <w:qFormat/>
    <w:rsid w:val="009C2A67"/>
    <w:pPr>
      <w:keepNext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spacing w:before="480" w:after="240" w:line="280" w:lineRule="atLeast"/>
      <w:jc w:val="both"/>
    </w:pPr>
    <w:rPr>
      <w:rFonts w:asciiTheme="minorHAnsi" w:hAnsiTheme="minorHAnsi" w:cstheme="minorHAnsi"/>
      <w:b/>
      <w:bCs/>
      <w:caps/>
      <w:color w:val="auto"/>
      <w:szCs w:val="22"/>
      <w:lang w:eastAsia="en-US"/>
    </w:rPr>
  </w:style>
  <w:style w:type="paragraph" w:customStyle="1" w:styleId="NormalJustified">
    <w:name w:val="Normal (Justified)"/>
    <w:basedOn w:val="Normln"/>
    <w:rsid w:val="00425F2B"/>
    <w:pPr>
      <w:widowControl w:val="0"/>
      <w:jc w:val="both"/>
    </w:pPr>
    <w:rPr>
      <w:rFonts w:cs="Times New Roman"/>
      <w:color w:val="auto"/>
      <w:kern w:val="28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25F2B"/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25F2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25F2B"/>
    <w:rPr>
      <w:vertAlign w:val="superscript"/>
    </w:rPr>
  </w:style>
  <w:style w:type="paragraph" w:customStyle="1" w:styleId="RLProhlensmluvnchstran">
    <w:name w:val="RL Prohlášení smluvních stran"/>
    <w:basedOn w:val="Normln"/>
    <w:link w:val="RLProhlensmluvnchstranChar"/>
    <w:rsid w:val="00B46165"/>
    <w:pPr>
      <w:spacing w:after="120" w:line="280" w:lineRule="exact"/>
      <w:jc w:val="center"/>
    </w:pPr>
    <w:rPr>
      <w:rFonts w:cs="Times New Roman"/>
      <w:b/>
      <w:color w:val="auto"/>
      <w:szCs w:val="24"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rsid w:val="00B46165"/>
    <w:rPr>
      <w:rFonts w:ascii="Calibri" w:eastAsia="Times New Roman" w:hAnsi="Calibri" w:cs="Times New Roman"/>
      <w:b/>
      <w:szCs w:val="24"/>
      <w:lang w:val="x-none" w:eastAsia="x-none"/>
    </w:rPr>
  </w:style>
  <w:style w:type="paragraph" w:customStyle="1" w:styleId="RLdajeosmluvnstran">
    <w:name w:val="RL  údaje o smluvní straně"/>
    <w:basedOn w:val="Normln"/>
    <w:rsid w:val="00B46165"/>
    <w:pPr>
      <w:spacing w:after="120" w:line="280" w:lineRule="exact"/>
      <w:jc w:val="center"/>
    </w:pPr>
    <w:rPr>
      <w:rFonts w:cs="Times New Roman"/>
      <w:color w:val="auto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5A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5AF8"/>
    <w:rPr>
      <w:rFonts w:ascii="Segoe UI" w:eastAsia="Times New Roman" w:hAnsi="Segoe UI" w:cs="Segoe UI"/>
      <w:color w:val="394A58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E20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E204B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E204B"/>
    <w:rPr>
      <w:rFonts w:ascii="Calibri" w:eastAsia="Times New Roman" w:hAnsi="Calibri" w:cs="Arial"/>
      <w:color w:val="394A58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20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E204B"/>
    <w:rPr>
      <w:rFonts w:ascii="Calibri" w:eastAsia="Times New Roman" w:hAnsi="Calibri" w:cs="Arial"/>
      <w:b/>
      <w:bCs/>
      <w:color w:val="394A58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44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962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2020-09-08T18:10:00Z</dcterms:created>
  <dcterms:modified xsi:type="dcterms:W3CDTF">2020-09-09T15:20:00Z</dcterms:modified>
</cp:coreProperties>
</file>