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9012811" w14:textId="77777777" w:rsidR="0091097A" w:rsidRDefault="00000000">
      <w:pPr>
        <w:widowControl w:val="0"/>
        <w:tabs>
          <w:tab w:val="left" w:pos="2410"/>
        </w:tabs>
        <w:spacing w:before="360" w:after="120"/>
        <w:jc w:val="center"/>
        <w:rPr>
          <w:rFonts w:ascii="Arial" w:eastAsia="Arial" w:hAnsi="Arial" w:cs="Arial"/>
          <w:b/>
          <w:sz w:val="28"/>
          <w:szCs w:val="28"/>
        </w:rPr>
      </w:pPr>
      <w:r>
        <w:rPr>
          <w:rFonts w:ascii="Arial" w:eastAsia="Arial" w:hAnsi="Arial" w:cs="Arial"/>
          <w:b/>
          <w:sz w:val="28"/>
          <w:szCs w:val="28"/>
        </w:rPr>
        <w:t>Zadávací dokumentace</w:t>
      </w:r>
    </w:p>
    <w:p w14:paraId="0C6AC03D" w14:textId="77777777" w:rsidR="0091097A" w:rsidRDefault="00000000">
      <w:pPr>
        <w:widowControl w:val="0"/>
        <w:tabs>
          <w:tab w:val="left" w:pos="2410"/>
        </w:tabs>
        <w:spacing w:after="360" w:line="276" w:lineRule="auto"/>
        <w:jc w:val="center"/>
        <w:rPr>
          <w:rFonts w:ascii="Arial" w:eastAsia="Arial" w:hAnsi="Arial" w:cs="Arial"/>
          <w:sz w:val="18"/>
          <w:szCs w:val="18"/>
        </w:rPr>
      </w:pPr>
      <w:r>
        <w:rPr>
          <w:rFonts w:ascii="Arial" w:eastAsia="Arial" w:hAnsi="Arial" w:cs="Arial"/>
          <w:sz w:val="18"/>
          <w:szCs w:val="18"/>
        </w:rPr>
        <w:t>pro zadávací řízení veřejné zakázky na dodávky</w:t>
      </w:r>
    </w:p>
    <w:tbl>
      <w:tblPr>
        <w:tblStyle w:val="a"/>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7E6FA6D1" w14:textId="77777777">
        <w:tc>
          <w:tcPr>
            <w:tcW w:w="9495" w:type="dxa"/>
            <w:tcBorders>
              <w:top w:val="nil"/>
              <w:left w:val="nil"/>
              <w:bottom w:val="nil"/>
              <w:right w:val="nil"/>
            </w:tcBorders>
            <w:shd w:val="clear" w:color="auto" w:fill="DBE5F1"/>
            <w:tcMar>
              <w:left w:w="340" w:type="dxa"/>
            </w:tcMar>
          </w:tcPr>
          <w:p w14:paraId="765D9024" w14:textId="77777777" w:rsidR="0091097A" w:rsidRDefault="00000000">
            <w:pPr>
              <w:widowControl w:val="0"/>
              <w:tabs>
                <w:tab w:val="left" w:pos="7230"/>
              </w:tabs>
              <w:spacing w:before="280" w:after="280"/>
              <w:rPr>
                <w:rFonts w:ascii="Arial" w:eastAsia="Arial" w:hAnsi="Arial" w:cs="Arial"/>
                <w:b/>
              </w:rPr>
            </w:pPr>
            <w:r>
              <w:rPr>
                <w:rFonts w:ascii="Arial" w:eastAsia="Arial" w:hAnsi="Arial" w:cs="Arial"/>
                <w:b/>
              </w:rPr>
              <w:t>Název veřejné zakázky</w:t>
            </w:r>
          </w:p>
        </w:tc>
      </w:tr>
    </w:tbl>
    <w:p w14:paraId="1C5F95F1" w14:textId="77777777" w:rsidR="0091097A" w:rsidRDefault="00000000">
      <w:pPr>
        <w:widowControl w:val="0"/>
        <w:tabs>
          <w:tab w:val="left" w:pos="2410"/>
        </w:tabs>
        <w:spacing w:before="240" w:after="240" w:line="276" w:lineRule="auto"/>
        <w:rPr>
          <w:rFonts w:ascii="Arial" w:eastAsia="Arial" w:hAnsi="Arial" w:cs="Arial"/>
          <w:b/>
          <w:sz w:val="24"/>
          <w:szCs w:val="24"/>
        </w:rPr>
      </w:pPr>
      <w:r>
        <w:rPr>
          <w:rFonts w:ascii="Arial" w:eastAsia="Arial" w:hAnsi="Arial" w:cs="Arial"/>
          <w:b/>
          <w:sz w:val="24"/>
          <w:szCs w:val="24"/>
        </w:rPr>
        <w:t>Komunální FVE – Přibyslav</w:t>
      </w:r>
    </w:p>
    <w:tbl>
      <w:tblPr>
        <w:tblStyle w:val="a0"/>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3E5B4286" w14:textId="77777777">
        <w:tc>
          <w:tcPr>
            <w:tcW w:w="9495" w:type="dxa"/>
            <w:tcBorders>
              <w:top w:val="nil"/>
              <w:left w:val="nil"/>
              <w:bottom w:val="nil"/>
              <w:right w:val="nil"/>
            </w:tcBorders>
            <w:shd w:val="clear" w:color="auto" w:fill="DBE5F1"/>
            <w:tcMar>
              <w:left w:w="340" w:type="dxa"/>
            </w:tcMar>
          </w:tcPr>
          <w:p w14:paraId="1A07F553" w14:textId="77777777" w:rsidR="0091097A" w:rsidRDefault="00000000">
            <w:pPr>
              <w:widowControl w:val="0"/>
              <w:tabs>
                <w:tab w:val="left" w:pos="7230"/>
              </w:tabs>
              <w:spacing w:before="280" w:after="280"/>
              <w:rPr>
                <w:rFonts w:ascii="Arial" w:eastAsia="Arial" w:hAnsi="Arial" w:cs="Arial"/>
                <w:b/>
              </w:rPr>
            </w:pPr>
            <w:bookmarkStart w:id="0" w:name="_heading=h.gjdgxs" w:colFirst="0" w:colLast="0"/>
            <w:bookmarkEnd w:id="0"/>
            <w:r>
              <w:rPr>
                <w:rFonts w:ascii="Arial" w:eastAsia="Arial" w:hAnsi="Arial" w:cs="Arial"/>
                <w:b/>
              </w:rPr>
              <w:t>Identifikační údaje zadavatele</w:t>
            </w:r>
          </w:p>
        </w:tc>
      </w:tr>
    </w:tbl>
    <w:p w14:paraId="4E13F28F" w14:textId="77777777" w:rsidR="0091097A" w:rsidRDefault="00000000">
      <w:pPr>
        <w:widowControl w:val="0"/>
        <w:pBdr>
          <w:top w:val="nil"/>
          <w:left w:val="nil"/>
          <w:bottom w:val="nil"/>
          <w:right w:val="nil"/>
          <w:between w:val="nil"/>
        </w:pBdr>
        <w:spacing w:before="240" w:line="360" w:lineRule="auto"/>
        <w:jc w:val="both"/>
        <w:rPr>
          <w:rFonts w:ascii="Arial" w:eastAsia="Arial" w:hAnsi="Arial" w:cs="Arial"/>
          <w:b/>
          <w:color w:val="000000"/>
        </w:rPr>
      </w:pPr>
      <w:r>
        <w:rPr>
          <w:rFonts w:ascii="Arial" w:eastAsia="Arial" w:hAnsi="Arial" w:cs="Arial"/>
          <w:b/>
          <w:color w:val="000000"/>
        </w:rPr>
        <w:t>Název</w:t>
      </w:r>
      <w:r>
        <w:rPr>
          <w:rFonts w:ascii="Arial" w:eastAsia="Arial" w:hAnsi="Arial" w:cs="Arial"/>
          <w:b/>
          <w:color w:val="000000"/>
          <w:sz w:val="22"/>
          <w:szCs w:val="22"/>
        </w:rPr>
        <w:tab/>
      </w:r>
      <w:r>
        <w:rPr>
          <w:rFonts w:ascii="Arial" w:eastAsia="Arial" w:hAnsi="Arial" w:cs="Arial"/>
          <w:b/>
          <w:color w:val="000000"/>
          <w:sz w:val="22"/>
          <w:szCs w:val="22"/>
        </w:rPr>
        <w:tab/>
      </w:r>
      <w:r>
        <w:rPr>
          <w:rFonts w:ascii="Arial" w:eastAsia="Arial" w:hAnsi="Arial" w:cs="Arial"/>
          <w:b/>
          <w:color w:val="000000"/>
        </w:rPr>
        <w:t>Město Přibyslav</w:t>
      </w:r>
    </w:p>
    <w:p w14:paraId="6E4D36A8" w14:textId="77777777" w:rsidR="0091097A" w:rsidRDefault="00000000">
      <w:pPr>
        <w:widowControl w:val="0"/>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IČO</w:t>
      </w:r>
      <w:r>
        <w:rPr>
          <w:rFonts w:ascii="Arial" w:eastAsia="Arial" w:hAnsi="Arial" w:cs="Arial"/>
          <w:color w:val="000000"/>
        </w:rPr>
        <w:tab/>
      </w:r>
      <w:r>
        <w:rPr>
          <w:rFonts w:ascii="Arial" w:eastAsia="Arial" w:hAnsi="Arial" w:cs="Arial"/>
          <w:color w:val="000000"/>
        </w:rPr>
        <w:tab/>
        <w:t>00268097</w:t>
      </w:r>
    </w:p>
    <w:p w14:paraId="2336BBA7" w14:textId="77777777" w:rsidR="0091097A" w:rsidRDefault="00000000">
      <w:pPr>
        <w:widowControl w:val="0"/>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DIČ</w:t>
      </w:r>
      <w:r>
        <w:rPr>
          <w:rFonts w:ascii="Arial" w:eastAsia="Arial" w:hAnsi="Arial" w:cs="Arial"/>
          <w:color w:val="000000"/>
        </w:rPr>
        <w:tab/>
      </w:r>
      <w:r>
        <w:rPr>
          <w:rFonts w:ascii="Arial" w:eastAsia="Arial" w:hAnsi="Arial" w:cs="Arial"/>
          <w:color w:val="000000"/>
        </w:rPr>
        <w:tab/>
        <w:t>CZ00268097</w:t>
      </w:r>
    </w:p>
    <w:p w14:paraId="05C9A973" w14:textId="77777777" w:rsidR="0091097A" w:rsidRDefault="00000000">
      <w:pPr>
        <w:widowControl w:val="0"/>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Sídlo</w:t>
      </w:r>
      <w:r>
        <w:rPr>
          <w:rFonts w:ascii="Arial" w:eastAsia="Arial" w:hAnsi="Arial" w:cs="Arial"/>
          <w:color w:val="000000"/>
        </w:rPr>
        <w:tab/>
      </w:r>
      <w:r>
        <w:rPr>
          <w:rFonts w:ascii="Arial" w:eastAsia="Arial" w:hAnsi="Arial" w:cs="Arial"/>
          <w:color w:val="000000"/>
        </w:rPr>
        <w:tab/>
        <w:t>Bechyňovo náměstí 1, 58222 Přibyslav</w:t>
      </w:r>
    </w:p>
    <w:p w14:paraId="24764199" w14:textId="77777777" w:rsidR="0091097A" w:rsidRDefault="00000000">
      <w:pPr>
        <w:widowControl w:val="0"/>
        <w:pBdr>
          <w:top w:val="nil"/>
          <w:left w:val="nil"/>
          <w:bottom w:val="nil"/>
          <w:right w:val="nil"/>
          <w:between w:val="nil"/>
        </w:pBdr>
        <w:spacing w:after="240" w:line="360" w:lineRule="auto"/>
        <w:jc w:val="both"/>
        <w:rPr>
          <w:rFonts w:ascii="Arial" w:eastAsia="Arial" w:hAnsi="Arial" w:cs="Arial"/>
          <w:color w:val="000000"/>
        </w:rPr>
      </w:pPr>
      <w:r>
        <w:rPr>
          <w:rFonts w:ascii="Arial" w:eastAsia="Arial" w:hAnsi="Arial" w:cs="Arial"/>
          <w:color w:val="000000"/>
        </w:rPr>
        <w:t>CZ NUTS</w:t>
      </w:r>
      <w:r>
        <w:rPr>
          <w:rFonts w:ascii="Arial" w:eastAsia="Arial" w:hAnsi="Arial" w:cs="Arial"/>
          <w:color w:val="000000"/>
        </w:rPr>
        <w:tab/>
        <w:t>CZ0631</w:t>
      </w:r>
    </w:p>
    <w:tbl>
      <w:tblPr>
        <w:tblStyle w:val="a1"/>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31F2B223" w14:textId="77777777">
        <w:tc>
          <w:tcPr>
            <w:tcW w:w="9495" w:type="dxa"/>
            <w:tcBorders>
              <w:top w:val="nil"/>
              <w:left w:val="nil"/>
              <w:bottom w:val="nil"/>
              <w:right w:val="nil"/>
            </w:tcBorders>
            <w:shd w:val="clear" w:color="auto" w:fill="DBE5F1"/>
            <w:tcMar>
              <w:left w:w="340" w:type="dxa"/>
            </w:tcMar>
          </w:tcPr>
          <w:p w14:paraId="67BF537C" w14:textId="77777777" w:rsidR="0091097A" w:rsidRDefault="00000000">
            <w:pPr>
              <w:widowControl w:val="0"/>
              <w:tabs>
                <w:tab w:val="left" w:pos="7230"/>
              </w:tabs>
              <w:spacing w:before="280" w:after="280"/>
              <w:rPr>
                <w:rFonts w:ascii="Arial" w:eastAsia="Arial" w:hAnsi="Arial" w:cs="Arial"/>
                <w:b/>
              </w:rPr>
            </w:pPr>
            <w:r>
              <w:rPr>
                <w:rFonts w:ascii="Arial" w:eastAsia="Arial" w:hAnsi="Arial" w:cs="Arial"/>
                <w:b/>
              </w:rPr>
              <w:t>Identifikační údaje zástupce zadavatele</w:t>
            </w:r>
          </w:p>
        </w:tc>
      </w:tr>
    </w:tbl>
    <w:p w14:paraId="46A8A661" w14:textId="77777777" w:rsidR="0091097A" w:rsidRDefault="00000000">
      <w:pPr>
        <w:widowControl w:val="0"/>
        <w:spacing w:before="240" w:line="360" w:lineRule="auto"/>
        <w:ind w:left="1418" w:hanging="1418"/>
        <w:jc w:val="both"/>
        <w:rPr>
          <w:rFonts w:ascii="Arial" w:eastAsia="Arial" w:hAnsi="Arial" w:cs="Arial"/>
        </w:rPr>
      </w:pPr>
      <w:r>
        <w:rPr>
          <w:rFonts w:ascii="Arial" w:eastAsia="Arial" w:hAnsi="Arial" w:cs="Arial"/>
        </w:rPr>
        <w:t>Název</w:t>
      </w:r>
      <w:r>
        <w:rPr>
          <w:rFonts w:ascii="Arial" w:eastAsia="Arial" w:hAnsi="Arial" w:cs="Arial"/>
        </w:rPr>
        <w:tab/>
      </w:r>
      <w:proofErr w:type="spellStart"/>
      <w:r>
        <w:rPr>
          <w:rFonts w:ascii="Arial" w:eastAsia="Arial" w:hAnsi="Arial" w:cs="Arial"/>
          <w:b/>
        </w:rPr>
        <w:t>Procurio</w:t>
      </w:r>
      <w:proofErr w:type="spellEnd"/>
      <w:r>
        <w:rPr>
          <w:rFonts w:ascii="Arial" w:eastAsia="Arial" w:hAnsi="Arial" w:cs="Arial"/>
          <w:b/>
        </w:rPr>
        <w:t>, s. r. o.</w:t>
      </w:r>
    </w:p>
    <w:p w14:paraId="4F03C3E2" w14:textId="77777777" w:rsidR="0091097A" w:rsidRDefault="00000000">
      <w:pPr>
        <w:widowControl w:val="0"/>
        <w:pBdr>
          <w:top w:val="nil"/>
          <w:left w:val="nil"/>
          <w:bottom w:val="nil"/>
          <w:right w:val="nil"/>
          <w:between w:val="nil"/>
        </w:pBdr>
        <w:spacing w:line="360" w:lineRule="auto"/>
        <w:jc w:val="both"/>
        <w:rPr>
          <w:rFonts w:ascii="Arial" w:eastAsia="Arial" w:hAnsi="Arial" w:cs="Arial"/>
          <w:color w:val="000000"/>
        </w:rPr>
      </w:pPr>
      <w:r>
        <w:rPr>
          <w:rFonts w:ascii="Arial" w:eastAsia="Arial" w:hAnsi="Arial" w:cs="Arial"/>
          <w:color w:val="000000"/>
        </w:rPr>
        <w:t>IČO</w:t>
      </w:r>
      <w:r>
        <w:rPr>
          <w:rFonts w:ascii="Arial" w:eastAsia="Arial" w:hAnsi="Arial" w:cs="Arial"/>
          <w:color w:val="000000"/>
        </w:rPr>
        <w:tab/>
      </w:r>
      <w:r>
        <w:rPr>
          <w:rFonts w:ascii="Arial" w:eastAsia="Arial" w:hAnsi="Arial" w:cs="Arial"/>
          <w:color w:val="000000"/>
        </w:rPr>
        <w:tab/>
        <w:t>09097384</w:t>
      </w:r>
    </w:p>
    <w:p w14:paraId="5E7E9D7A" w14:textId="77777777" w:rsidR="0091097A" w:rsidRDefault="00000000">
      <w:pPr>
        <w:widowControl w:val="0"/>
        <w:spacing w:line="360" w:lineRule="auto"/>
        <w:jc w:val="both"/>
        <w:rPr>
          <w:rFonts w:ascii="Arial" w:eastAsia="Arial" w:hAnsi="Arial" w:cs="Arial"/>
        </w:rPr>
      </w:pPr>
      <w:r>
        <w:rPr>
          <w:rFonts w:ascii="Arial" w:eastAsia="Arial" w:hAnsi="Arial" w:cs="Arial"/>
        </w:rPr>
        <w:t>Sídlo</w:t>
      </w:r>
      <w:r>
        <w:rPr>
          <w:rFonts w:ascii="Arial" w:eastAsia="Arial" w:hAnsi="Arial" w:cs="Arial"/>
        </w:rPr>
        <w:tab/>
      </w:r>
      <w:r>
        <w:rPr>
          <w:rFonts w:ascii="Arial" w:eastAsia="Arial" w:hAnsi="Arial" w:cs="Arial"/>
        </w:rPr>
        <w:tab/>
        <w:t>Zenklova 24/54, Libeň, 180 00 Praha 8</w:t>
      </w:r>
    </w:p>
    <w:p w14:paraId="3A6C2C22" w14:textId="77777777" w:rsidR="0091097A" w:rsidRDefault="00000000">
      <w:pPr>
        <w:widowControl w:val="0"/>
        <w:spacing w:after="240" w:line="360" w:lineRule="auto"/>
        <w:jc w:val="both"/>
        <w:rPr>
          <w:rFonts w:ascii="Arial" w:eastAsia="Arial" w:hAnsi="Arial" w:cs="Arial"/>
        </w:rPr>
      </w:pPr>
      <w:r>
        <w:rPr>
          <w:rFonts w:ascii="Arial" w:eastAsia="Arial" w:hAnsi="Arial" w:cs="Arial"/>
        </w:rPr>
        <w:t>ID DS</w:t>
      </w:r>
      <w:r>
        <w:rPr>
          <w:rFonts w:ascii="Arial" w:eastAsia="Arial" w:hAnsi="Arial" w:cs="Arial"/>
        </w:rPr>
        <w:tab/>
      </w:r>
      <w:r>
        <w:rPr>
          <w:rFonts w:ascii="Arial" w:eastAsia="Arial" w:hAnsi="Arial" w:cs="Arial"/>
        </w:rPr>
        <w:tab/>
        <w:t>6r83egf</w:t>
      </w:r>
    </w:p>
    <w:tbl>
      <w:tblPr>
        <w:tblStyle w:val="a2"/>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2ACA15A5" w14:textId="77777777">
        <w:tc>
          <w:tcPr>
            <w:tcW w:w="9495" w:type="dxa"/>
            <w:tcBorders>
              <w:top w:val="nil"/>
              <w:left w:val="nil"/>
              <w:bottom w:val="nil"/>
              <w:right w:val="nil"/>
            </w:tcBorders>
            <w:shd w:val="clear" w:color="auto" w:fill="E5DFEC"/>
            <w:tcMar>
              <w:left w:w="340" w:type="dxa"/>
            </w:tcMar>
          </w:tcPr>
          <w:p w14:paraId="62E5F3E2" w14:textId="77777777" w:rsidR="0091097A" w:rsidRDefault="00000000">
            <w:pPr>
              <w:widowControl w:val="0"/>
              <w:tabs>
                <w:tab w:val="left" w:pos="7230"/>
              </w:tabs>
              <w:spacing w:before="280" w:after="280"/>
              <w:rPr>
                <w:rFonts w:ascii="Arial" w:eastAsia="Arial" w:hAnsi="Arial" w:cs="Arial"/>
                <w:b/>
              </w:rPr>
            </w:pPr>
            <w:r>
              <w:rPr>
                <w:rFonts w:ascii="Arial" w:eastAsia="Arial" w:hAnsi="Arial" w:cs="Arial"/>
                <w:b/>
              </w:rPr>
              <w:t>Profil zadavatele</w:t>
            </w:r>
          </w:p>
        </w:tc>
      </w:tr>
    </w:tbl>
    <w:p w14:paraId="25AD2E0A"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Tato veřejná zakázka je zadávána elektronicky prostřednictvím elektronického nástroje.</w:t>
      </w:r>
    </w:p>
    <w:p w14:paraId="7FCBF9F7" w14:textId="77777777" w:rsidR="0091097A" w:rsidRDefault="00000000">
      <w:pPr>
        <w:spacing w:before="240" w:after="240"/>
        <w:rPr>
          <w:rFonts w:ascii="Arial" w:eastAsia="Arial" w:hAnsi="Arial" w:cs="Arial"/>
        </w:rPr>
      </w:pPr>
      <w:r>
        <w:rPr>
          <w:rFonts w:ascii="Arial" w:eastAsia="Arial" w:hAnsi="Arial" w:cs="Arial"/>
          <w:b/>
          <w:color w:val="FF0000"/>
        </w:rPr>
        <w:t>Podání nabídky je možné výhradně prostřednictvím elektronického nástroje.</w:t>
      </w:r>
    </w:p>
    <w:p w14:paraId="4F416BBF" w14:textId="77777777" w:rsidR="0091097A" w:rsidRDefault="00000000">
      <w:pPr>
        <w:spacing w:before="240" w:after="240"/>
        <w:rPr>
          <w:rFonts w:ascii="Arial" w:eastAsia="Arial" w:hAnsi="Arial" w:cs="Arial"/>
        </w:rPr>
      </w:pPr>
      <w:r>
        <w:rPr>
          <w:rFonts w:ascii="Arial" w:eastAsia="Arial" w:hAnsi="Arial" w:cs="Arial"/>
        </w:rPr>
        <w:t xml:space="preserve">Adresa profilu zadavatele – </w:t>
      </w:r>
      <w:hyperlink r:id="rId8">
        <w:r>
          <w:rPr>
            <w:rFonts w:ascii="Arial" w:eastAsia="Arial" w:hAnsi="Arial" w:cs="Arial"/>
            <w:color w:val="1155CC"/>
            <w:u w:val="single"/>
          </w:rPr>
          <w:t>https://www.e-zakazky.cz/Profil-Zadavatele/59ec320c-c525-4155-9262-a65c6e323951</w:t>
        </w:r>
      </w:hyperlink>
    </w:p>
    <w:p w14:paraId="1BCF5156" w14:textId="77777777" w:rsidR="0091097A" w:rsidRDefault="00000000">
      <w:pPr>
        <w:spacing w:before="240" w:after="240"/>
        <w:rPr>
          <w:rFonts w:ascii="Arial" w:eastAsia="Arial" w:hAnsi="Arial" w:cs="Arial"/>
        </w:rPr>
      </w:pPr>
      <w:r>
        <w:rPr>
          <w:rFonts w:ascii="Arial" w:eastAsia="Arial" w:hAnsi="Arial" w:cs="Arial"/>
        </w:rPr>
        <w:t>Na profilu zadavatele v detailu veřejné zakázky jsou uveřejněny kompletní zadávací podmínky veřejné zakázky včetně jejich vysvětlení, doplnění a změn.</w:t>
      </w:r>
    </w:p>
    <w:tbl>
      <w:tblPr>
        <w:tblStyle w:val="a3"/>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13BB967A" w14:textId="77777777">
        <w:tc>
          <w:tcPr>
            <w:tcW w:w="9495" w:type="dxa"/>
            <w:tcBorders>
              <w:top w:val="nil"/>
              <w:left w:val="nil"/>
              <w:bottom w:val="nil"/>
              <w:right w:val="nil"/>
            </w:tcBorders>
            <w:shd w:val="clear" w:color="auto" w:fill="FBD5B5"/>
            <w:tcMar>
              <w:left w:w="340" w:type="dxa"/>
            </w:tcMar>
          </w:tcPr>
          <w:p w14:paraId="7B7006A3" w14:textId="77777777" w:rsidR="0091097A" w:rsidRDefault="00000000">
            <w:pPr>
              <w:pStyle w:val="Nadpis1"/>
              <w:keepNext w:val="0"/>
              <w:widowControl w:val="0"/>
              <w:spacing w:after="240"/>
              <w:ind w:left="573" w:hanging="573"/>
              <w:rPr>
                <w:sz w:val="24"/>
                <w:szCs w:val="24"/>
              </w:rPr>
            </w:pPr>
            <w:bookmarkStart w:id="1" w:name="_heading=h.30j0zll" w:colFirst="0" w:colLast="0"/>
            <w:bookmarkEnd w:id="1"/>
            <w:r>
              <w:rPr>
                <w:sz w:val="24"/>
                <w:szCs w:val="24"/>
              </w:rPr>
              <w:t>Úvodní informace</w:t>
            </w:r>
          </w:p>
        </w:tc>
      </w:tr>
    </w:tbl>
    <w:p w14:paraId="1E887228"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 xml:space="preserve">Jedná se o veřejnou zakázku na dodávky. Zadání probíhá v otevřeném řízení v nadlimitním režimu ve smyslu § 56 a násl. zákona č. 134/2016 Sb., o zadávání veřejných zakázek, ve znění pozdějších předpisů (dále jako </w:t>
      </w:r>
      <w:r>
        <w:rPr>
          <w:rFonts w:ascii="Arial" w:eastAsia="Arial" w:hAnsi="Arial" w:cs="Arial"/>
          <w:color w:val="000000"/>
        </w:rPr>
        <w:lastRenderedPageBreak/>
        <w:t>„ZZVZ“ nebo „zákon“).</w:t>
      </w:r>
    </w:p>
    <w:p w14:paraId="739025F8"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Je-li v zadávací dokumentaci uveden termín „výběrové řízení“ myslí se tím „zadávací řízení“ ve smyslu věty předchozí. Veškeré písemné dokumenty obsahující zadávací podmínky, sdělované nebo zpřístupňované účastníkům zadávacího řízení jsou zadávací dokumentací (dále také jako „ZD“).</w:t>
      </w:r>
    </w:p>
    <w:p w14:paraId="7C0D9932"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 xml:space="preserve">Zadávací řízení probíhá mimo jiné v souladu s účinnými Pokyny pro zadávání zakázek pro programy spolufinancované z rozpočtu SFŽP ČR (dále také jako „pokyny“; </w:t>
      </w:r>
      <w:hyperlink r:id="rId9">
        <w:r>
          <w:rPr>
            <w:rFonts w:ascii="Arial" w:eastAsia="Arial" w:hAnsi="Arial" w:cs="Arial"/>
            <w:color w:val="0000FF"/>
            <w:u w:val="single"/>
          </w:rPr>
          <w:t>odkaz</w:t>
        </w:r>
      </w:hyperlink>
      <w:r>
        <w:rPr>
          <w:rFonts w:ascii="Arial" w:eastAsia="Arial" w:hAnsi="Arial" w:cs="Arial"/>
          <w:color w:val="000000"/>
        </w:rPr>
        <w:t>). Je-li ustanovení ZD v rozporu s pokyny, uplatní se úprava dle pokynů.</w:t>
      </w:r>
    </w:p>
    <w:p w14:paraId="30BB07FB"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Veřejné zakázka není dělena na části. Dodavatel je oprávněn podat pouze jednu nabídku. Zadavatel nepřipouští předložení variant nabídky.</w:t>
      </w:r>
    </w:p>
    <w:p w14:paraId="122DE28E"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bookmarkStart w:id="2" w:name="_heading=h.1fob9te" w:colFirst="0" w:colLast="0"/>
      <w:bookmarkEnd w:id="2"/>
      <w:r>
        <w:rPr>
          <w:rFonts w:ascii="Arial" w:eastAsia="Arial" w:hAnsi="Arial" w:cs="Arial"/>
          <w:color w:val="000000"/>
        </w:rPr>
        <w:t>Podáním nabídky přijímá dodavatel zadávací podmínky zadávacího řízení, a to vždy ve smyslu vysvětlení, doplnění či změn zadávací dokumentace uveřejněných před uplynutím lhůty pro podání nabídek. Předpokládá se, že se dodavatel s těmito podmínkami seznámil a v plném rozsahu jim porozuměl.</w:t>
      </w:r>
    </w:p>
    <w:p w14:paraId="0559282C"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Jsou-li v zadávací dokumentaci uvedeny odkazy na určité dodavatele nebo výrobky nebo patenty a vynálezy, užitné vzory, průmyslové vzory, ochranné známky, normy nebo technické dokumenty, má se vždy za to, že zadavatel umožňuje dodavateli nabídnout i rovnocenné řešení. Tím není dotčena povinnost zadavatele dle § 89 odst. 6 a § 90 odst. 3 ZZVZ.</w:t>
      </w:r>
    </w:p>
    <w:p w14:paraId="4866D782" w14:textId="334D9E0A"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Zadavatel předpokládá realizaci veškeré komunikace mezi zadavatelem a dodavatelem v písemné elektronické podobě</w:t>
      </w:r>
      <w:r w:rsidR="003A3B1F">
        <w:rPr>
          <w:rFonts w:ascii="Arial" w:eastAsia="Arial" w:hAnsi="Arial" w:cs="Arial"/>
          <w:color w:val="000000"/>
        </w:rPr>
        <w:t xml:space="preserve"> prostřednictvím profilu zadavatele</w:t>
      </w:r>
      <w:r>
        <w:rPr>
          <w:rFonts w:ascii="Arial" w:eastAsia="Arial" w:hAnsi="Arial" w:cs="Arial"/>
          <w:color w:val="000000"/>
        </w:rPr>
        <w:t>.</w:t>
      </w:r>
    </w:p>
    <w:tbl>
      <w:tblPr>
        <w:tblStyle w:val="a4"/>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6E93089E" w14:textId="77777777">
        <w:tc>
          <w:tcPr>
            <w:tcW w:w="9495" w:type="dxa"/>
            <w:tcBorders>
              <w:top w:val="nil"/>
              <w:left w:val="nil"/>
              <w:bottom w:val="nil"/>
              <w:right w:val="nil"/>
            </w:tcBorders>
            <w:shd w:val="clear" w:color="auto" w:fill="FDEADA"/>
            <w:tcMar>
              <w:left w:w="340" w:type="dxa"/>
            </w:tcMar>
          </w:tcPr>
          <w:p w14:paraId="2C66608F" w14:textId="77777777" w:rsidR="0091097A" w:rsidRDefault="00000000">
            <w:pPr>
              <w:pStyle w:val="Nadpis3"/>
              <w:keepNext w:val="0"/>
              <w:widowControl w:val="0"/>
              <w:numPr>
                <w:ilvl w:val="1"/>
                <w:numId w:val="1"/>
              </w:numPr>
              <w:spacing w:after="240"/>
              <w:ind w:left="1134" w:hanging="1134"/>
              <w:rPr>
                <w:b/>
              </w:rPr>
            </w:pPr>
            <w:r>
              <w:rPr>
                <w:b/>
                <w:u w:val="none"/>
              </w:rPr>
              <w:t>Informace o spolufinancování projektu</w:t>
            </w:r>
          </w:p>
        </w:tc>
      </w:tr>
    </w:tbl>
    <w:p w14:paraId="19BE77DB"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Tento projekt je spolufinancován Modernizačním fondem na základě rozhodnutí ministra životního prostředí.</w:t>
      </w:r>
    </w:p>
    <w:p w14:paraId="3B08DA1C"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Zadavatel předpokládá spolufinancování realizace veřejné zakázky z dotace. Níže jsou uvedeny podrobné informace o dotačním projektu:</w:t>
      </w:r>
    </w:p>
    <w:tbl>
      <w:tblPr>
        <w:tblStyle w:val="a5"/>
        <w:tblW w:w="9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080"/>
      </w:tblGrid>
      <w:tr w:rsidR="0091097A" w14:paraId="02880A58" w14:textId="77777777">
        <w:tc>
          <w:tcPr>
            <w:tcW w:w="2405" w:type="dxa"/>
            <w:shd w:val="clear" w:color="auto" w:fill="F2F2F2"/>
          </w:tcPr>
          <w:p w14:paraId="5DA43DEF"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Poskytovatel dotace</w:t>
            </w:r>
          </w:p>
        </w:tc>
        <w:tc>
          <w:tcPr>
            <w:tcW w:w="7080" w:type="dxa"/>
          </w:tcPr>
          <w:p w14:paraId="00E8EAE5"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Státní fond životního prostředí ČR</w:t>
            </w:r>
          </w:p>
        </w:tc>
      </w:tr>
      <w:tr w:rsidR="0091097A" w14:paraId="4E50740F" w14:textId="77777777">
        <w:tc>
          <w:tcPr>
            <w:tcW w:w="2405" w:type="dxa"/>
            <w:shd w:val="clear" w:color="auto" w:fill="F2F2F2"/>
          </w:tcPr>
          <w:p w14:paraId="38017975"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Číslo výzvy</w:t>
            </w:r>
          </w:p>
        </w:tc>
        <w:tc>
          <w:tcPr>
            <w:tcW w:w="7080" w:type="dxa"/>
          </w:tcPr>
          <w:p w14:paraId="2B9D5847" w14:textId="77777777" w:rsidR="0091097A" w:rsidRDefault="00000000">
            <w:pPr>
              <w:widowControl w:val="0"/>
              <w:pBdr>
                <w:top w:val="nil"/>
                <w:left w:val="nil"/>
                <w:bottom w:val="nil"/>
                <w:right w:val="nil"/>
                <w:between w:val="nil"/>
              </w:pBdr>
              <w:spacing w:before="120" w:after="120" w:line="276" w:lineRule="auto"/>
              <w:jc w:val="both"/>
              <w:rPr>
                <w:rFonts w:ascii="Arial" w:eastAsia="Arial" w:hAnsi="Arial" w:cs="Arial"/>
                <w:color w:val="000000"/>
                <w:highlight w:val="yellow"/>
              </w:rPr>
            </w:pPr>
            <w:proofErr w:type="spellStart"/>
            <w:r>
              <w:rPr>
                <w:rFonts w:ascii="Arial" w:eastAsia="Arial" w:hAnsi="Arial" w:cs="Arial"/>
                <w:color w:val="000000"/>
                <w:sz w:val="18"/>
                <w:szCs w:val="18"/>
              </w:rPr>
              <w:t>ModF</w:t>
            </w:r>
            <w:proofErr w:type="spellEnd"/>
            <w:r>
              <w:rPr>
                <w:rFonts w:ascii="Arial" w:eastAsia="Arial" w:hAnsi="Arial" w:cs="Arial"/>
                <w:color w:val="000000"/>
                <w:sz w:val="18"/>
                <w:szCs w:val="18"/>
              </w:rPr>
              <w:t xml:space="preserve"> – RES+ č. 4/2024</w:t>
            </w:r>
          </w:p>
        </w:tc>
      </w:tr>
      <w:tr w:rsidR="0091097A" w14:paraId="00E98383" w14:textId="77777777">
        <w:tc>
          <w:tcPr>
            <w:tcW w:w="2405" w:type="dxa"/>
            <w:shd w:val="clear" w:color="auto" w:fill="F2F2F2"/>
          </w:tcPr>
          <w:p w14:paraId="7F813C3C"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Výzva</w:t>
            </w:r>
          </w:p>
        </w:tc>
        <w:tc>
          <w:tcPr>
            <w:tcW w:w="7080" w:type="dxa"/>
          </w:tcPr>
          <w:p w14:paraId="1BF0D35E" w14:textId="77777777" w:rsidR="0091097A" w:rsidRDefault="00000000">
            <w:pPr>
              <w:widowControl w:val="0"/>
              <w:pBdr>
                <w:top w:val="nil"/>
                <w:left w:val="nil"/>
                <w:bottom w:val="nil"/>
                <w:right w:val="nil"/>
                <w:between w:val="nil"/>
              </w:pBdr>
              <w:spacing w:before="120" w:after="120" w:line="276" w:lineRule="auto"/>
              <w:jc w:val="both"/>
              <w:rPr>
                <w:rFonts w:ascii="Arial" w:eastAsia="Arial" w:hAnsi="Arial" w:cs="Arial"/>
                <w:color w:val="000000"/>
              </w:rPr>
            </w:pPr>
            <w:r>
              <w:rPr>
                <w:rFonts w:ascii="Arial" w:eastAsia="Arial" w:hAnsi="Arial" w:cs="Arial"/>
                <w:color w:val="000000"/>
                <w:sz w:val="18"/>
                <w:szCs w:val="18"/>
              </w:rPr>
              <w:t>2. Nové obnovitelné zdroje v energetice (RES+) č. 4/2024</w:t>
            </w:r>
          </w:p>
        </w:tc>
      </w:tr>
      <w:tr w:rsidR="0091097A" w14:paraId="4DB86D53" w14:textId="77777777">
        <w:tc>
          <w:tcPr>
            <w:tcW w:w="2405" w:type="dxa"/>
            <w:shd w:val="clear" w:color="auto" w:fill="F2F2F2"/>
          </w:tcPr>
          <w:p w14:paraId="1966DB36"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rPr>
            </w:pPr>
            <w:r>
              <w:rPr>
                <w:rFonts w:ascii="Arial" w:eastAsia="Arial" w:hAnsi="Arial" w:cs="Arial"/>
                <w:color w:val="000000"/>
              </w:rPr>
              <w:t>Název projektu</w:t>
            </w:r>
          </w:p>
        </w:tc>
        <w:tc>
          <w:tcPr>
            <w:tcW w:w="7080" w:type="dxa"/>
          </w:tcPr>
          <w:p w14:paraId="19F456F3"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highlight w:val="yellow"/>
              </w:rPr>
            </w:pPr>
            <w:r>
              <w:rPr>
                <w:rFonts w:ascii="Arial" w:eastAsia="Arial" w:hAnsi="Arial" w:cs="Arial"/>
                <w:color w:val="000000"/>
                <w:sz w:val="18"/>
                <w:szCs w:val="18"/>
              </w:rPr>
              <w:t>Komunální FVE – Přibyslav</w:t>
            </w:r>
          </w:p>
        </w:tc>
      </w:tr>
    </w:tbl>
    <w:p w14:paraId="3746DE76" w14:textId="77777777" w:rsidR="0091097A" w:rsidRDefault="0091097A">
      <w:pPr>
        <w:widowControl w:val="0"/>
        <w:pBdr>
          <w:top w:val="nil"/>
          <w:left w:val="nil"/>
          <w:bottom w:val="nil"/>
          <w:right w:val="nil"/>
          <w:between w:val="nil"/>
        </w:pBdr>
        <w:spacing w:before="120" w:line="276" w:lineRule="auto"/>
        <w:jc w:val="both"/>
        <w:rPr>
          <w:rFonts w:ascii="Arial" w:eastAsia="Arial" w:hAnsi="Arial" w:cs="Arial"/>
          <w:color w:val="000000"/>
        </w:rPr>
      </w:pPr>
    </w:p>
    <w:tbl>
      <w:tblPr>
        <w:tblStyle w:val="a6"/>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53F1B5DA" w14:textId="77777777">
        <w:tc>
          <w:tcPr>
            <w:tcW w:w="9495" w:type="dxa"/>
            <w:tcBorders>
              <w:top w:val="nil"/>
              <w:left w:val="nil"/>
              <w:bottom w:val="nil"/>
              <w:right w:val="nil"/>
            </w:tcBorders>
            <w:shd w:val="clear" w:color="auto" w:fill="FDEADA"/>
            <w:tcMar>
              <w:left w:w="340" w:type="dxa"/>
            </w:tcMar>
          </w:tcPr>
          <w:p w14:paraId="34D113CF" w14:textId="77777777" w:rsidR="0091097A" w:rsidRDefault="00000000">
            <w:pPr>
              <w:pStyle w:val="Nadpis3"/>
              <w:keepNext w:val="0"/>
              <w:widowControl w:val="0"/>
              <w:numPr>
                <w:ilvl w:val="1"/>
                <w:numId w:val="1"/>
              </w:numPr>
              <w:spacing w:after="240"/>
              <w:ind w:left="1134" w:hanging="1134"/>
              <w:rPr>
                <w:b/>
              </w:rPr>
            </w:pPr>
            <w:r>
              <w:rPr>
                <w:b/>
                <w:u w:val="none"/>
              </w:rPr>
              <w:t>Účast dodavatelů a střet zájmů</w:t>
            </w:r>
          </w:p>
        </w:tc>
      </w:tr>
    </w:tbl>
    <w:p w14:paraId="7ADA5B3C"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V souladu s § 4b zákona č. 159/2006 Sb., o střetu zájmů (člen vlády nebo vedoucí jiného ústředního orgánu státní správy, v jehož čele není člen vlády), v účinném znění se obchodní společnost, ve které veřejný funkcionář uvedený v § 2 odst. 1 písm. c) nebo jím ovládaná osoba vlastní podíl představující alespoň 25 % účasti společníka v obchodní společnosti, nesmí účastnit zadávacích řízení podle zákona upravujícího zadávání veřejných zakázek jako účastník nebo poddodavatel, prostřednictvím kterého dodavatel prokazuje kvalifikaci.</w:t>
      </w:r>
    </w:p>
    <w:p w14:paraId="25EB1458"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 xml:space="preserve">Zadavatel je povinen takovou obchodní společnost vyloučit ze zadávacího řízení. Zadavatel nesmí obchodní </w:t>
      </w:r>
      <w:r>
        <w:rPr>
          <w:rFonts w:ascii="Arial" w:eastAsia="Arial" w:hAnsi="Arial" w:cs="Arial"/>
          <w:color w:val="000000"/>
        </w:rPr>
        <w:lastRenderedPageBreak/>
        <w:t>společnosti uvedené ve větě první zadat veřejnou zakázku malého rozsahu, takové jednání je neplatné</w:t>
      </w:r>
    </w:p>
    <w:p w14:paraId="46783E13"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Dodavatel v nabídce předloží čestné prohlášení, že dodavatel, případně též poddodavatel, jehož prostřednictvím dodavatel prokazuje kvalifikaci, není osobou výše uvedenou. Vzor prohlášení je součástí přílohy č. 1 zadávací dokumentace (dále jako „ZD“).</w:t>
      </w:r>
    </w:p>
    <w:tbl>
      <w:tblPr>
        <w:tblStyle w:val="a7"/>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1E699A5D" w14:textId="77777777">
        <w:tc>
          <w:tcPr>
            <w:tcW w:w="9495" w:type="dxa"/>
            <w:tcBorders>
              <w:top w:val="nil"/>
              <w:left w:val="nil"/>
              <w:bottom w:val="nil"/>
              <w:right w:val="nil"/>
            </w:tcBorders>
            <w:shd w:val="clear" w:color="auto" w:fill="FDEADA"/>
            <w:tcMar>
              <w:left w:w="340" w:type="dxa"/>
            </w:tcMar>
          </w:tcPr>
          <w:p w14:paraId="0DF22B08" w14:textId="77777777" w:rsidR="0091097A" w:rsidRDefault="00000000">
            <w:pPr>
              <w:pStyle w:val="Nadpis3"/>
              <w:keepNext w:val="0"/>
              <w:widowControl w:val="0"/>
              <w:numPr>
                <w:ilvl w:val="1"/>
                <w:numId w:val="1"/>
              </w:numPr>
              <w:spacing w:after="240"/>
              <w:ind w:left="1134" w:hanging="1134"/>
              <w:rPr>
                <w:b/>
              </w:rPr>
            </w:pPr>
            <w:r>
              <w:rPr>
                <w:b/>
                <w:u w:val="none"/>
              </w:rPr>
              <w:t>Účast dodavatelů ve vazbě na sankce proti Rusku</w:t>
            </w:r>
          </w:p>
        </w:tc>
      </w:tr>
    </w:tbl>
    <w:p w14:paraId="5453AE10"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Ve vazbě na nařízení rady (EU) č. 833/2014 o omezujících opatřeních vzhledem k činnostem Ruska destabilizujícím situaci na Ukrajině (</w:t>
      </w:r>
      <w:hyperlink r:id="rId10">
        <w:r>
          <w:rPr>
            <w:rFonts w:ascii="Arial" w:eastAsia="Arial" w:hAnsi="Arial" w:cs="Arial"/>
            <w:color w:val="0000FF"/>
            <w:u w:val="single"/>
          </w:rPr>
          <w:t>dostupné zde</w:t>
        </w:r>
      </w:hyperlink>
      <w:r>
        <w:rPr>
          <w:rFonts w:ascii="Arial" w:eastAsia="Arial" w:hAnsi="Arial" w:cs="Arial"/>
          <w:color w:val="000000"/>
        </w:rPr>
        <w:t>) v účinném znění se v rámci individuálních finančních sankcí zakazuje sankcionovaným osobám anebo s nimi spjatým osobám a subjektům prostřednictvím plateb za plnění veřejných zakázek přímo či nepřímo zpřístupnit jakékoli finanční prostředky nebo hospodářské zdroje (individuální finanční sankce).</w:t>
      </w:r>
    </w:p>
    <w:p w14:paraId="29497235"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V návaznosti na to zadavatel požaduje, aby účastník v nabídce předložil prohlášení o tom, zda má vazbu na osobu vedenou na sankčním seznamu. Vzor prohlášení dodavatele k této skutečnosti je součástí přílohy č. 1 ZD.</w:t>
      </w:r>
    </w:p>
    <w:tbl>
      <w:tblPr>
        <w:tblStyle w:val="a8"/>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36503106" w14:textId="77777777">
        <w:tc>
          <w:tcPr>
            <w:tcW w:w="9495" w:type="dxa"/>
            <w:tcBorders>
              <w:top w:val="nil"/>
              <w:left w:val="nil"/>
              <w:bottom w:val="nil"/>
              <w:right w:val="nil"/>
            </w:tcBorders>
            <w:shd w:val="clear" w:color="auto" w:fill="FBD5B5"/>
            <w:tcMar>
              <w:left w:w="340" w:type="dxa"/>
            </w:tcMar>
          </w:tcPr>
          <w:p w14:paraId="01AF1F4B" w14:textId="77777777" w:rsidR="0091097A" w:rsidRDefault="00000000">
            <w:pPr>
              <w:pStyle w:val="Nadpis1"/>
              <w:keepNext w:val="0"/>
              <w:widowControl w:val="0"/>
              <w:spacing w:after="240"/>
              <w:ind w:left="573" w:hanging="573"/>
              <w:rPr>
                <w:sz w:val="24"/>
                <w:szCs w:val="24"/>
              </w:rPr>
            </w:pPr>
            <w:bookmarkStart w:id="3" w:name="_heading=h.3znysh7" w:colFirst="0" w:colLast="0"/>
            <w:bookmarkEnd w:id="3"/>
            <w:r>
              <w:rPr>
                <w:sz w:val="24"/>
                <w:szCs w:val="24"/>
              </w:rPr>
              <w:t>Předmět veřejné zakázky</w:t>
            </w:r>
          </w:p>
        </w:tc>
      </w:tr>
    </w:tbl>
    <w:p w14:paraId="3D75968A"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bookmarkStart w:id="4" w:name="_heading=h.2et92p0" w:colFirst="0" w:colLast="0"/>
      <w:bookmarkEnd w:id="4"/>
      <w:r>
        <w:rPr>
          <w:rFonts w:ascii="Arial" w:eastAsia="Arial" w:hAnsi="Arial" w:cs="Arial"/>
          <w:color w:val="000000"/>
        </w:rPr>
        <w:t>Předmětem veřejné zakázky je:</w:t>
      </w:r>
    </w:p>
    <w:p w14:paraId="631CF111"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bookmarkStart w:id="5" w:name="_heading=h.tyjcwt" w:colFirst="0" w:colLast="0"/>
      <w:bookmarkEnd w:id="5"/>
      <w:r>
        <w:rPr>
          <w:rFonts w:ascii="Arial" w:eastAsia="Arial" w:hAnsi="Arial" w:cs="Arial"/>
          <w:b/>
        </w:rPr>
        <w:t xml:space="preserve">dodávka a instalace 6 FVE o celkovém výkonu min. 223,44 </w:t>
      </w:r>
      <w:proofErr w:type="spellStart"/>
      <w:r>
        <w:rPr>
          <w:rFonts w:ascii="Arial" w:eastAsia="Arial" w:hAnsi="Arial" w:cs="Arial"/>
          <w:b/>
        </w:rPr>
        <w:t>kWp</w:t>
      </w:r>
      <w:proofErr w:type="spellEnd"/>
      <w:r>
        <w:rPr>
          <w:rFonts w:ascii="Arial" w:eastAsia="Arial" w:hAnsi="Arial" w:cs="Arial"/>
          <w:b/>
        </w:rPr>
        <w:t xml:space="preserve"> s akumulací do bateriového systému o celkové využitelné kapacitě min. 212,3 kWh včetně dodání a instalace systému energetického managementu dle technické specifikace, která je přílohou č. 3 výzvy</w:t>
      </w:r>
      <w:r>
        <w:rPr>
          <w:rFonts w:ascii="Arial" w:eastAsia="Arial" w:hAnsi="Arial" w:cs="Arial"/>
          <w:color w:val="000000"/>
        </w:rPr>
        <w:t>.</w:t>
      </w:r>
    </w:p>
    <w:p w14:paraId="6858F735"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b/>
          <w:color w:val="000000"/>
          <w:sz w:val="22"/>
          <w:szCs w:val="22"/>
        </w:rPr>
      </w:pPr>
      <w:r>
        <w:rPr>
          <w:rFonts w:ascii="Arial" w:eastAsia="Arial" w:hAnsi="Arial" w:cs="Arial"/>
          <w:color w:val="000000"/>
        </w:rPr>
        <w:t>Přesné umístění technologie (včetně bateriového systému) a konkrétní vedení trasy bude stanoveno v rámci plnění smlouvy o dílo na základě technické obhlídky provedené zhotovitelem. Zadavatel s ohledem na variabilitu komponent (množství, rozměry), které mohou jednotliví dodavatelé nabízet v rámci stanovených technických podmínek nestanoví přesná umístění jednotlivých technologických prvků. Náklady na realizaci úprav či zbudování technické místnosti odpovídající dodavatelem nabízenému řešení budou součástí vhodných položek položkového soupisu prací.</w:t>
      </w:r>
    </w:p>
    <w:p w14:paraId="3810AAE2"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Obchodní a smluvní podmínky jsou uvedeny v návrhu smlouvy o dílo, který je přílohou č. 2 výzvy.</w:t>
      </w:r>
    </w:p>
    <w:p w14:paraId="727878E4"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FF0000"/>
        </w:rPr>
      </w:pPr>
      <w:r>
        <w:rPr>
          <w:rFonts w:ascii="Arial" w:eastAsia="Arial" w:hAnsi="Arial" w:cs="Arial"/>
          <w:color w:val="000000"/>
        </w:rPr>
        <w:t xml:space="preserve">Projektová dokumentace byla zpracována Ing. Stanislavem </w:t>
      </w:r>
      <w:proofErr w:type="spellStart"/>
      <w:r>
        <w:rPr>
          <w:rFonts w:ascii="Arial" w:eastAsia="Arial" w:hAnsi="Arial" w:cs="Arial"/>
          <w:color w:val="000000"/>
        </w:rPr>
        <w:t>Návojem</w:t>
      </w:r>
      <w:proofErr w:type="spellEnd"/>
      <w:r>
        <w:rPr>
          <w:rFonts w:ascii="Arial" w:eastAsia="Arial" w:hAnsi="Arial" w:cs="Arial"/>
          <w:color w:val="000000"/>
        </w:rPr>
        <w:t>, ČKAIT 0005085, sídlo Blažkova 166 Hájek u Uhříněvsi, Praha 10 10400.</w:t>
      </w:r>
    </w:p>
    <w:p w14:paraId="12C2A609"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bookmarkStart w:id="6" w:name="_heading=h.3dy6vkm" w:colFirst="0" w:colLast="0"/>
      <w:bookmarkEnd w:id="6"/>
      <w:r>
        <w:rPr>
          <w:rFonts w:ascii="Arial" w:eastAsia="Arial" w:hAnsi="Arial" w:cs="Arial"/>
          <w:color w:val="000000"/>
        </w:rPr>
        <w:t>Součástí technické specifikace (příloha č. 3 ZD) je zpravidla i energetická studie. V energetické studii jsou či mohou být pro účely simulace z důvodu nutnosti výpočtu z konkrétních technických parametrů uvedeny konkrétní výrobky. Touto částí projektové dokumentace nedochází ke stanovení předmětu veřejné zakázky.</w:t>
      </w:r>
    </w:p>
    <w:p w14:paraId="50686DA0" w14:textId="77777777" w:rsidR="0091097A" w:rsidRDefault="00000000">
      <w:pPr>
        <w:rPr>
          <w:rFonts w:ascii="Arial" w:eastAsia="Arial" w:hAnsi="Arial" w:cs="Arial"/>
        </w:rPr>
      </w:pPr>
      <w:r>
        <w:br w:type="page"/>
      </w:r>
    </w:p>
    <w:tbl>
      <w:tblPr>
        <w:tblStyle w:val="a9"/>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7F940C48" w14:textId="77777777">
        <w:tc>
          <w:tcPr>
            <w:tcW w:w="9495" w:type="dxa"/>
            <w:tcBorders>
              <w:top w:val="nil"/>
              <w:left w:val="nil"/>
              <w:bottom w:val="nil"/>
              <w:right w:val="nil"/>
            </w:tcBorders>
            <w:shd w:val="clear" w:color="auto" w:fill="FDEADA"/>
            <w:tcMar>
              <w:left w:w="340" w:type="dxa"/>
            </w:tcMar>
          </w:tcPr>
          <w:p w14:paraId="51428278" w14:textId="77777777" w:rsidR="0091097A" w:rsidRDefault="00000000">
            <w:pPr>
              <w:pStyle w:val="Nadpis3"/>
              <w:keepNext w:val="0"/>
              <w:widowControl w:val="0"/>
              <w:numPr>
                <w:ilvl w:val="1"/>
                <w:numId w:val="1"/>
              </w:numPr>
              <w:spacing w:after="240"/>
              <w:ind w:left="1134" w:hanging="1134"/>
              <w:rPr>
                <w:b/>
              </w:rPr>
            </w:pPr>
            <w:r>
              <w:rPr>
                <w:b/>
                <w:u w:val="none"/>
              </w:rPr>
              <w:lastRenderedPageBreak/>
              <w:t>Klasifikace předmětu veřejné zakázky dle kódu CPV</w:t>
            </w:r>
            <w:r>
              <w:rPr>
                <w:b/>
                <w:u w:val="none"/>
                <w:vertAlign w:val="superscript"/>
              </w:rPr>
              <w:footnoteReference w:id="1"/>
            </w:r>
          </w:p>
        </w:tc>
      </w:tr>
    </w:tbl>
    <w:p w14:paraId="6DA82C6D" w14:textId="77777777" w:rsidR="0091097A" w:rsidRDefault="00000000">
      <w:pPr>
        <w:widowControl w:val="0"/>
        <w:pBdr>
          <w:top w:val="nil"/>
          <w:left w:val="nil"/>
          <w:bottom w:val="nil"/>
          <w:right w:val="nil"/>
          <w:between w:val="nil"/>
        </w:pBdr>
        <w:spacing w:before="240" w:after="60" w:line="276" w:lineRule="auto"/>
        <w:jc w:val="both"/>
        <w:rPr>
          <w:rFonts w:ascii="Arial" w:eastAsia="Arial" w:hAnsi="Arial" w:cs="Arial"/>
          <w:color w:val="000000"/>
        </w:rPr>
      </w:pPr>
      <w:r>
        <w:rPr>
          <w:rFonts w:ascii="Arial" w:eastAsia="Arial" w:hAnsi="Arial" w:cs="Arial"/>
          <w:color w:val="000000"/>
        </w:rPr>
        <w:t>09331200-0</w:t>
      </w:r>
      <w:r>
        <w:rPr>
          <w:rFonts w:ascii="Arial" w:eastAsia="Arial" w:hAnsi="Arial" w:cs="Arial"/>
          <w:color w:val="000000"/>
        </w:rPr>
        <w:tab/>
        <w:t>Solární fotovoltaické moduly</w:t>
      </w:r>
    </w:p>
    <w:p w14:paraId="67BD3E9E" w14:textId="77777777" w:rsidR="0091097A" w:rsidRDefault="00000000">
      <w:pPr>
        <w:widowControl w:val="0"/>
        <w:pBdr>
          <w:top w:val="nil"/>
          <w:left w:val="nil"/>
          <w:bottom w:val="nil"/>
          <w:right w:val="nil"/>
          <w:between w:val="nil"/>
        </w:pBdr>
        <w:spacing w:before="60" w:after="60" w:line="276" w:lineRule="auto"/>
        <w:jc w:val="both"/>
        <w:rPr>
          <w:rFonts w:ascii="Arial" w:eastAsia="Arial" w:hAnsi="Arial" w:cs="Arial"/>
          <w:color w:val="000000"/>
        </w:rPr>
      </w:pPr>
      <w:r>
        <w:rPr>
          <w:rFonts w:ascii="Arial" w:eastAsia="Arial" w:hAnsi="Arial" w:cs="Arial"/>
          <w:color w:val="000000"/>
        </w:rPr>
        <w:t>09332000-5</w:t>
      </w:r>
      <w:r>
        <w:rPr>
          <w:rFonts w:ascii="Arial" w:eastAsia="Arial" w:hAnsi="Arial" w:cs="Arial"/>
          <w:color w:val="000000"/>
        </w:rPr>
        <w:tab/>
        <w:t>Instalace a montáž solárních zařízení</w:t>
      </w:r>
    </w:p>
    <w:p w14:paraId="62181853" w14:textId="77777777" w:rsidR="0091097A" w:rsidRDefault="00000000">
      <w:pPr>
        <w:widowControl w:val="0"/>
        <w:pBdr>
          <w:top w:val="nil"/>
          <w:left w:val="nil"/>
          <w:bottom w:val="nil"/>
          <w:right w:val="nil"/>
          <w:between w:val="nil"/>
        </w:pBdr>
        <w:spacing w:before="60" w:after="60" w:line="276" w:lineRule="auto"/>
        <w:jc w:val="both"/>
        <w:rPr>
          <w:rFonts w:ascii="Arial" w:eastAsia="Arial" w:hAnsi="Arial" w:cs="Arial"/>
          <w:color w:val="000000"/>
        </w:rPr>
      </w:pPr>
      <w:r>
        <w:rPr>
          <w:rFonts w:ascii="Arial" w:eastAsia="Arial" w:hAnsi="Arial" w:cs="Arial"/>
          <w:color w:val="000000"/>
        </w:rPr>
        <w:t>31440000-2</w:t>
      </w:r>
      <w:r>
        <w:rPr>
          <w:rFonts w:ascii="Arial" w:eastAsia="Arial" w:hAnsi="Arial" w:cs="Arial"/>
          <w:color w:val="000000"/>
        </w:rPr>
        <w:tab/>
        <w:t>Baterie</w:t>
      </w:r>
    </w:p>
    <w:p w14:paraId="516A1BB1" w14:textId="77777777" w:rsidR="0091097A" w:rsidRDefault="00000000">
      <w:pPr>
        <w:widowControl w:val="0"/>
        <w:pBdr>
          <w:top w:val="nil"/>
          <w:left w:val="nil"/>
          <w:bottom w:val="nil"/>
          <w:right w:val="nil"/>
          <w:between w:val="nil"/>
        </w:pBdr>
        <w:spacing w:before="60" w:after="240" w:line="276" w:lineRule="auto"/>
        <w:jc w:val="both"/>
        <w:rPr>
          <w:rFonts w:ascii="Arial" w:eastAsia="Arial" w:hAnsi="Arial" w:cs="Arial"/>
          <w:color w:val="000000"/>
        </w:rPr>
      </w:pPr>
      <w:r>
        <w:rPr>
          <w:rFonts w:ascii="Arial" w:eastAsia="Arial" w:hAnsi="Arial" w:cs="Arial"/>
          <w:color w:val="000000"/>
        </w:rPr>
        <w:t>45000000-7</w:t>
      </w:r>
      <w:r>
        <w:rPr>
          <w:rFonts w:ascii="Arial" w:eastAsia="Arial" w:hAnsi="Arial" w:cs="Arial"/>
          <w:color w:val="000000"/>
        </w:rPr>
        <w:tab/>
        <w:t>Stavební práce</w:t>
      </w:r>
    </w:p>
    <w:tbl>
      <w:tblPr>
        <w:tblStyle w:val="aa"/>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386283CD" w14:textId="77777777">
        <w:tc>
          <w:tcPr>
            <w:tcW w:w="9495" w:type="dxa"/>
            <w:tcBorders>
              <w:top w:val="nil"/>
              <w:left w:val="nil"/>
              <w:bottom w:val="nil"/>
              <w:right w:val="nil"/>
            </w:tcBorders>
            <w:shd w:val="clear" w:color="auto" w:fill="FBD5B5"/>
            <w:tcMar>
              <w:left w:w="340" w:type="dxa"/>
            </w:tcMar>
          </w:tcPr>
          <w:p w14:paraId="6EB53295" w14:textId="77777777" w:rsidR="0091097A" w:rsidRDefault="00000000">
            <w:pPr>
              <w:pStyle w:val="Nadpis1"/>
              <w:keepNext w:val="0"/>
              <w:widowControl w:val="0"/>
              <w:spacing w:after="240"/>
              <w:ind w:left="573" w:hanging="573"/>
              <w:rPr>
                <w:sz w:val="24"/>
                <w:szCs w:val="24"/>
              </w:rPr>
            </w:pPr>
            <w:r>
              <w:rPr>
                <w:sz w:val="24"/>
                <w:szCs w:val="24"/>
              </w:rPr>
              <w:t>Předpokládaná hodnota veřejné zakázky a nabídková cena</w:t>
            </w:r>
          </w:p>
        </w:tc>
      </w:tr>
    </w:tbl>
    <w:p w14:paraId="36672B1C"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bookmarkStart w:id="7" w:name="_heading=h.1t3h5sf" w:colFirst="0" w:colLast="0"/>
      <w:bookmarkEnd w:id="7"/>
      <w:r>
        <w:rPr>
          <w:rFonts w:ascii="Arial" w:eastAsia="Arial" w:hAnsi="Arial" w:cs="Arial"/>
          <w:color w:val="000000"/>
        </w:rPr>
        <w:t>Předpokládaná hodnota veřejné zakázky je následující:</w:t>
      </w:r>
    </w:p>
    <w:tbl>
      <w:tblPr>
        <w:tblStyle w:val="ab"/>
        <w:tblW w:w="906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8"/>
        <w:gridCol w:w="2686"/>
      </w:tblGrid>
      <w:tr w:rsidR="0091097A" w14:paraId="1A8F0F08" w14:textId="77777777">
        <w:trPr>
          <w:trHeight w:val="20"/>
        </w:trPr>
        <w:tc>
          <w:tcPr>
            <w:tcW w:w="6378" w:type="dxa"/>
            <w:shd w:val="clear" w:color="auto" w:fill="F2F2F2"/>
          </w:tcPr>
          <w:p w14:paraId="2EEDB0A2" w14:textId="77777777" w:rsidR="0091097A" w:rsidRDefault="00000000">
            <w:pPr>
              <w:widowControl w:val="0"/>
              <w:pBdr>
                <w:top w:val="nil"/>
                <w:left w:val="nil"/>
                <w:bottom w:val="nil"/>
                <w:right w:val="nil"/>
                <w:between w:val="nil"/>
              </w:pBdr>
              <w:spacing w:before="120" w:after="120" w:line="276" w:lineRule="auto"/>
              <w:jc w:val="both"/>
              <w:rPr>
                <w:rFonts w:ascii="Arial" w:eastAsia="Arial" w:hAnsi="Arial" w:cs="Arial"/>
                <w:color w:val="000000"/>
              </w:rPr>
            </w:pPr>
            <w:r>
              <w:rPr>
                <w:rFonts w:ascii="Arial" w:eastAsia="Arial" w:hAnsi="Arial" w:cs="Arial"/>
                <w:color w:val="000000"/>
              </w:rPr>
              <w:t>Předpokládaná hodnota v Kč bez DPH</w:t>
            </w:r>
          </w:p>
        </w:tc>
        <w:tc>
          <w:tcPr>
            <w:tcW w:w="2686" w:type="dxa"/>
          </w:tcPr>
          <w:p w14:paraId="6F9DFA0F" w14:textId="09458EA5" w:rsidR="0091097A" w:rsidRDefault="004F51AE">
            <w:pPr>
              <w:widowControl w:val="0"/>
              <w:pBdr>
                <w:top w:val="nil"/>
                <w:left w:val="nil"/>
                <w:bottom w:val="nil"/>
                <w:right w:val="nil"/>
                <w:between w:val="nil"/>
              </w:pBdr>
              <w:spacing w:before="120" w:after="120" w:line="276" w:lineRule="auto"/>
              <w:jc w:val="center"/>
              <w:rPr>
                <w:rFonts w:ascii="Arial" w:eastAsia="Arial" w:hAnsi="Arial" w:cs="Arial"/>
                <w:b/>
                <w:color w:val="000000"/>
              </w:rPr>
            </w:pPr>
            <w:r>
              <w:rPr>
                <w:rFonts w:ascii="Arial" w:hAnsi="Arial" w:cs="Arial"/>
                <w:b/>
                <w:bCs/>
                <w:color w:val="000000"/>
              </w:rPr>
              <w:t>9.680.581,00</w:t>
            </w:r>
          </w:p>
        </w:tc>
      </w:tr>
      <w:tr w:rsidR="0091097A" w14:paraId="0DF914EB" w14:textId="77777777">
        <w:trPr>
          <w:trHeight w:val="20"/>
        </w:trPr>
        <w:tc>
          <w:tcPr>
            <w:tcW w:w="6378" w:type="dxa"/>
            <w:shd w:val="clear" w:color="auto" w:fill="F2F2F2"/>
          </w:tcPr>
          <w:p w14:paraId="7D4069DD" w14:textId="77777777" w:rsidR="0091097A" w:rsidRDefault="00000000">
            <w:pPr>
              <w:widowControl w:val="0"/>
              <w:pBdr>
                <w:top w:val="nil"/>
                <w:left w:val="nil"/>
                <w:bottom w:val="nil"/>
                <w:right w:val="nil"/>
                <w:between w:val="nil"/>
              </w:pBdr>
              <w:spacing w:before="120" w:after="120" w:line="276" w:lineRule="auto"/>
              <w:jc w:val="both"/>
              <w:rPr>
                <w:rFonts w:ascii="Arial" w:eastAsia="Arial" w:hAnsi="Arial" w:cs="Arial"/>
                <w:color w:val="000000"/>
              </w:rPr>
            </w:pPr>
            <w:r>
              <w:rPr>
                <w:rFonts w:ascii="Arial" w:eastAsia="Arial" w:hAnsi="Arial" w:cs="Arial"/>
                <w:color w:val="000000"/>
              </w:rPr>
              <w:t>Předpokládaná hodnota v Kč s DPH</w:t>
            </w:r>
          </w:p>
        </w:tc>
        <w:tc>
          <w:tcPr>
            <w:tcW w:w="2686" w:type="dxa"/>
          </w:tcPr>
          <w:p w14:paraId="2B2A39D3" w14:textId="77777777" w:rsidR="0091097A" w:rsidRDefault="00000000">
            <w:pPr>
              <w:widowControl w:val="0"/>
              <w:pBdr>
                <w:top w:val="nil"/>
                <w:left w:val="nil"/>
                <w:bottom w:val="nil"/>
                <w:right w:val="nil"/>
                <w:between w:val="nil"/>
              </w:pBdr>
              <w:spacing w:before="120" w:after="120" w:line="276" w:lineRule="auto"/>
              <w:jc w:val="center"/>
              <w:rPr>
                <w:rFonts w:ascii="Arial" w:eastAsia="Arial" w:hAnsi="Arial" w:cs="Arial"/>
                <w:b/>
                <w:color w:val="000000"/>
              </w:rPr>
            </w:pPr>
            <w:r>
              <w:rPr>
                <w:rFonts w:ascii="Arial" w:eastAsia="Arial" w:hAnsi="Arial" w:cs="Arial"/>
                <w:b/>
                <w:color w:val="000000"/>
              </w:rPr>
              <w:t>11.713.503,00</w:t>
            </w:r>
          </w:p>
        </w:tc>
      </w:tr>
    </w:tbl>
    <w:p w14:paraId="27A436DE"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Dodavatel uvede nabídkovou cenu v krycím listu nabídky. Nabídková cena dodavatele musí zahrnovat veškeré náklady na realizaci předmětu plnění zakázky.</w:t>
      </w:r>
    </w:p>
    <w:p w14:paraId="61D99EAA"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Zadavatel stanoví, že překročí-li nabídková cena dodavatele, jehož nabídka byla hodnocena jako nejvýhodnější na základě výsledku hodnocení nabídek, předpokládanou hodnotu veřejné zakázky, bude se jednat o ekonomický důvod hodný zvláštního zřetele, pro který nelze po zadavateli požadovat, aby v zadávacím řízení pokračoval. Zadavatel je v takovém případě oprávněn, nikoliv povinen, zadávací řízení zrušit. V případě, že zadavatel vyhodnotí další pokračování zadávacího řízení jako ekonomicky účelné a hospodárné, bude v zadávacím řízení pokračovat.</w:t>
      </w:r>
    </w:p>
    <w:p w14:paraId="74A8CC8D"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Zadavatel nestanoví hranici, pod kterou bude cena automaticky považována za mimořádně nízkou. Zadavatel si vyhrazuje možnost využití postupu dle § 113 ZZVZ. Posouzení mimořádně nízké nabídkové ceny zadavatel provede před odesláním oznámení o výběru dodavatele.</w:t>
      </w:r>
    </w:p>
    <w:tbl>
      <w:tblPr>
        <w:tblStyle w:val="ac"/>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7111E16A" w14:textId="77777777">
        <w:tc>
          <w:tcPr>
            <w:tcW w:w="9495" w:type="dxa"/>
            <w:tcBorders>
              <w:top w:val="nil"/>
              <w:left w:val="nil"/>
              <w:bottom w:val="nil"/>
              <w:right w:val="nil"/>
            </w:tcBorders>
            <w:shd w:val="clear" w:color="auto" w:fill="FBD5B5"/>
            <w:tcMar>
              <w:left w:w="340" w:type="dxa"/>
            </w:tcMar>
          </w:tcPr>
          <w:p w14:paraId="0ABC338A" w14:textId="77777777" w:rsidR="0091097A" w:rsidRDefault="00000000">
            <w:pPr>
              <w:pStyle w:val="Nadpis1"/>
              <w:keepNext w:val="0"/>
              <w:widowControl w:val="0"/>
              <w:spacing w:after="240"/>
              <w:ind w:left="573" w:hanging="573"/>
              <w:rPr>
                <w:sz w:val="24"/>
                <w:szCs w:val="24"/>
              </w:rPr>
            </w:pPr>
            <w:r>
              <w:rPr>
                <w:sz w:val="24"/>
                <w:szCs w:val="24"/>
              </w:rPr>
              <w:t>Hodnocení nabídek</w:t>
            </w:r>
          </w:p>
        </w:tc>
      </w:tr>
    </w:tbl>
    <w:p w14:paraId="560186C2"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bookmarkStart w:id="8" w:name="_heading=h.4d34og8" w:colFirst="0" w:colLast="0"/>
      <w:bookmarkEnd w:id="8"/>
      <w:r>
        <w:rPr>
          <w:rFonts w:ascii="Arial" w:eastAsia="Arial" w:hAnsi="Arial" w:cs="Arial"/>
          <w:color w:val="000000"/>
        </w:rPr>
        <w:t xml:space="preserve">Nabídky budou hodnoceny podle ekonomické výhodnosti. Ekonomická výhodnost nabídky bude hodnocena podle nejnižší nabídkové ceny. </w:t>
      </w:r>
    </w:p>
    <w:p w14:paraId="139BA602"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 xml:space="preserve">Předmětem hodnocení je vždy celková cena plnění v korunách českých (CZK) </w:t>
      </w:r>
      <w:r>
        <w:rPr>
          <w:rFonts w:ascii="Arial" w:eastAsia="Arial" w:hAnsi="Arial" w:cs="Arial"/>
          <w:b/>
          <w:color w:val="FF0000"/>
        </w:rPr>
        <w:t>bez</w:t>
      </w:r>
      <w:r>
        <w:rPr>
          <w:rFonts w:ascii="Arial" w:eastAsia="Arial" w:hAnsi="Arial" w:cs="Arial"/>
          <w:color w:val="000000"/>
        </w:rPr>
        <w:t xml:space="preserve"> daně z přidané hodnoty (DPH) uvedená v krycím listu nabídky.</w:t>
      </w:r>
    </w:p>
    <w:p w14:paraId="553C52EC"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 xml:space="preserve">Jako nejvýhodnější bude vyhodnocena nabídka s nejnižší nabídkovou cenou. Nabídky na dalších místech budou seřazeny podle výše nabídkové ceny od nejnižší po nejvyšší, přičemž nabídka s nejvyšší nabídkovou cenou bude nabídkou nejméně výhodnou. </w:t>
      </w:r>
    </w:p>
    <w:p w14:paraId="06460A6B"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 xml:space="preserve">V případě shody hodnoty hodnoticích kritérií u nabídek, které by byly podle hodnoticího kritéria hodnoceny jako nejvýhodnější, bude jako ekonomicky nejvýhodnější hodnocena nabídka vzešlá z náhodného losování mezi dotčenými účastníky. Dotčení účastníci mají právo být losování přítomni. O konání losování budou </w:t>
      </w:r>
      <w:r>
        <w:rPr>
          <w:rFonts w:ascii="Arial" w:eastAsia="Arial" w:hAnsi="Arial" w:cs="Arial"/>
          <w:color w:val="000000"/>
        </w:rPr>
        <w:lastRenderedPageBreak/>
        <w:t>dotčení účastníci zadavatelem informováni v dostatečném předstihu.</w:t>
      </w:r>
    </w:p>
    <w:tbl>
      <w:tblPr>
        <w:tblStyle w:val="ad"/>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52171F64" w14:textId="77777777">
        <w:tc>
          <w:tcPr>
            <w:tcW w:w="9495" w:type="dxa"/>
            <w:tcBorders>
              <w:top w:val="nil"/>
              <w:left w:val="nil"/>
              <w:bottom w:val="nil"/>
              <w:right w:val="nil"/>
            </w:tcBorders>
            <w:shd w:val="clear" w:color="auto" w:fill="FBD5B5"/>
            <w:tcMar>
              <w:left w:w="340" w:type="dxa"/>
            </w:tcMar>
          </w:tcPr>
          <w:p w14:paraId="480A66D0" w14:textId="77777777" w:rsidR="0091097A" w:rsidRDefault="00000000">
            <w:pPr>
              <w:pStyle w:val="Nadpis1"/>
              <w:keepNext w:val="0"/>
              <w:widowControl w:val="0"/>
              <w:spacing w:after="240"/>
              <w:ind w:left="573" w:hanging="573"/>
              <w:rPr>
                <w:sz w:val="24"/>
                <w:szCs w:val="24"/>
              </w:rPr>
            </w:pPr>
            <w:bookmarkStart w:id="9" w:name="_heading=h.2s8eyo1" w:colFirst="0" w:colLast="0"/>
            <w:bookmarkEnd w:id="9"/>
            <w:r>
              <w:rPr>
                <w:sz w:val="24"/>
                <w:szCs w:val="24"/>
              </w:rPr>
              <w:t>Termín a místo plnění veřejné zakázky</w:t>
            </w:r>
          </w:p>
        </w:tc>
      </w:tr>
      <w:tr w:rsidR="0091097A" w14:paraId="3C210240" w14:textId="77777777">
        <w:tc>
          <w:tcPr>
            <w:tcW w:w="9495" w:type="dxa"/>
            <w:tcBorders>
              <w:top w:val="nil"/>
              <w:left w:val="nil"/>
              <w:bottom w:val="nil"/>
              <w:right w:val="nil"/>
            </w:tcBorders>
            <w:shd w:val="clear" w:color="auto" w:fill="FDEADA"/>
            <w:tcMar>
              <w:left w:w="340" w:type="dxa"/>
            </w:tcMar>
          </w:tcPr>
          <w:p w14:paraId="5C1C1365" w14:textId="77777777" w:rsidR="0091097A" w:rsidRDefault="00000000">
            <w:pPr>
              <w:pStyle w:val="Nadpis3"/>
              <w:keepNext w:val="0"/>
              <w:widowControl w:val="0"/>
              <w:numPr>
                <w:ilvl w:val="1"/>
                <w:numId w:val="1"/>
              </w:numPr>
              <w:spacing w:after="240"/>
              <w:ind w:left="1134" w:hanging="1134"/>
              <w:rPr>
                <w:sz w:val="24"/>
                <w:szCs w:val="24"/>
              </w:rPr>
            </w:pPr>
            <w:r>
              <w:rPr>
                <w:b/>
                <w:u w:val="none"/>
              </w:rPr>
              <w:t>Termín plnění</w:t>
            </w:r>
          </w:p>
        </w:tc>
      </w:tr>
    </w:tbl>
    <w:p w14:paraId="5960350E"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bookmarkStart w:id="10" w:name="_heading=h.17dp8vu" w:colFirst="0" w:colLast="0"/>
      <w:bookmarkEnd w:id="10"/>
      <w:r>
        <w:rPr>
          <w:rFonts w:ascii="Arial" w:eastAsia="Arial" w:hAnsi="Arial" w:cs="Arial"/>
          <w:color w:val="000000"/>
        </w:rPr>
        <w:t xml:space="preserve">Dodavatel splní předmět veřejné zakázky nejpozději </w:t>
      </w:r>
      <w:r>
        <w:rPr>
          <w:rFonts w:ascii="Arial" w:eastAsia="Arial" w:hAnsi="Arial" w:cs="Arial"/>
          <w:b/>
          <w:color w:val="FF0000"/>
        </w:rPr>
        <w:t>do 4 měsíců</w:t>
      </w:r>
      <w:r>
        <w:rPr>
          <w:rFonts w:ascii="Arial" w:eastAsia="Arial" w:hAnsi="Arial" w:cs="Arial"/>
          <w:color w:val="FF0000"/>
        </w:rPr>
        <w:t xml:space="preserve"> </w:t>
      </w:r>
      <w:r>
        <w:rPr>
          <w:rFonts w:ascii="Arial" w:eastAsia="Arial" w:hAnsi="Arial" w:cs="Arial"/>
          <w:color w:val="000000"/>
        </w:rPr>
        <w:t xml:space="preserve">ode dne, kdy smlouva s vybraným dodavatelem </w:t>
      </w:r>
      <w:proofErr w:type="gramStart"/>
      <w:r>
        <w:rPr>
          <w:rFonts w:ascii="Arial" w:eastAsia="Arial" w:hAnsi="Arial" w:cs="Arial"/>
          <w:color w:val="000000"/>
        </w:rPr>
        <w:t>nabyde</w:t>
      </w:r>
      <w:proofErr w:type="gramEnd"/>
      <w:r>
        <w:rPr>
          <w:rFonts w:ascii="Arial" w:eastAsia="Arial" w:hAnsi="Arial" w:cs="Arial"/>
          <w:color w:val="000000"/>
        </w:rPr>
        <w:t xml:space="preserve"> účinnosti. </w:t>
      </w:r>
    </w:p>
    <w:p w14:paraId="5AE031D3"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color w:val="000000"/>
        </w:rPr>
        <w:t>Předpokládá se realizace na jaře 2025. V případě příznivých klimatických podmínek může být výzva doručena vybranému dodavateli kdykoliv po uzavření smlouvy</w:t>
      </w:r>
    </w:p>
    <w:tbl>
      <w:tblPr>
        <w:tblStyle w:val="ae"/>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0552B605" w14:textId="77777777">
        <w:tc>
          <w:tcPr>
            <w:tcW w:w="9495" w:type="dxa"/>
            <w:tcBorders>
              <w:top w:val="nil"/>
              <w:left w:val="nil"/>
              <w:bottom w:val="nil"/>
              <w:right w:val="nil"/>
            </w:tcBorders>
            <w:shd w:val="clear" w:color="auto" w:fill="FDEADA"/>
            <w:tcMar>
              <w:left w:w="340" w:type="dxa"/>
            </w:tcMar>
          </w:tcPr>
          <w:p w14:paraId="65E46063" w14:textId="77777777" w:rsidR="0091097A" w:rsidRDefault="00000000">
            <w:pPr>
              <w:pStyle w:val="Nadpis3"/>
              <w:keepNext w:val="0"/>
              <w:widowControl w:val="0"/>
              <w:numPr>
                <w:ilvl w:val="1"/>
                <w:numId w:val="1"/>
              </w:numPr>
              <w:spacing w:after="240"/>
              <w:ind w:left="1134" w:hanging="1134"/>
              <w:rPr>
                <w:sz w:val="24"/>
                <w:szCs w:val="24"/>
              </w:rPr>
            </w:pPr>
            <w:r>
              <w:rPr>
                <w:b/>
                <w:u w:val="none"/>
              </w:rPr>
              <w:t>Místo plnění</w:t>
            </w:r>
          </w:p>
        </w:tc>
      </w:tr>
    </w:tbl>
    <w:p w14:paraId="511DA18D" w14:textId="77777777" w:rsidR="0091097A" w:rsidRDefault="00000000">
      <w:pPr>
        <w:widowControl w:val="0"/>
        <w:pBdr>
          <w:top w:val="nil"/>
          <w:left w:val="nil"/>
          <w:bottom w:val="nil"/>
          <w:right w:val="nil"/>
          <w:between w:val="nil"/>
        </w:pBdr>
        <w:spacing w:before="240" w:after="240" w:line="276" w:lineRule="auto"/>
        <w:jc w:val="both"/>
        <w:rPr>
          <w:rFonts w:ascii="Arial" w:eastAsia="Arial" w:hAnsi="Arial" w:cs="Arial"/>
          <w:color w:val="000000"/>
        </w:rPr>
      </w:pPr>
      <w:bookmarkStart w:id="11" w:name="_heading=h.3rdcrjn" w:colFirst="0" w:colLast="0"/>
      <w:bookmarkEnd w:id="11"/>
      <w:r>
        <w:rPr>
          <w:rFonts w:ascii="Arial" w:eastAsia="Arial" w:hAnsi="Arial" w:cs="Arial"/>
          <w:color w:val="000000"/>
        </w:rPr>
        <w:t xml:space="preserve">Místem plnění jsou tyto objekty: </w:t>
      </w:r>
    </w:p>
    <w:tbl>
      <w:tblPr>
        <w:tblStyle w:val="af"/>
        <w:tblW w:w="849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7"/>
        <w:gridCol w:w="2531"/>
        <w:gridCol w:w="1850"/>
        <w:gridCol w:w="2163"/>
        <w:gridCol w:w="1127"/>
      </w:tblGrid>
      <w:tr w:rsidR="0091097A" w14:paraId="38E9AA7E" w14:textId="77777777">
        <w:tc>
          <w:tcPr>
            <w:tcW w:w="827" w:type="dxa"/>
            <w:shd w:val="clear" w:color="auto" w:fill="F2F2F2"/>
          </w:tcPr>
          <w:p w14:paraId="78CB7FDA"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Objekt</w:t>
            </w:r>
          </w:p>
        </w:tc>
        <w:tc>
          <w:tcPr>
            <w:tcW w:w="2531" w:type="dxa"/>
            <w:shd w:val="clear" w:color="auto" w:fill="F2F2F2"/>
          </w:tcPr>
          <w:p w14:paraId="31F4C209"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Adresa</w:t>
            </w:r>
          </w:p>
        </w:tc>
        <w:tc>
          <w:tcPr>
            <w:tcW w:w="1850" w:type="dxa"/>
            <w:shd w:val="clear" w:color="auto" w:fill="F2F2F2"/>
          </w:tcPr>
          <w:p w14:paraId="15C4A638" w14:textId="77777777" w:rsidR="0091097A" w:rsidRDefault="0091097A">
            <w:pPr>
              <w:widowControl w:val="0"/>
              <w:pBdr>
                <w:top w:val="nil"/>
                <w:left w:val="nil"/>
                <w:bottom w:val="nil"/>
                <w:right w:val="nil"/>
                <w:between w:val="nil"/>
              </w:pBdr>
              <w:spacing w:before="120" w:after="120"/>
              <w:jc w:val="both"/>
              <w:rPr>
                <w:rFonts w:ascii="Arial" w:eastAsia="Arial" w:hAnsi="Arial" w:cs="Arial"/>
                <w:color w:val="000000"/>
                <w:sz w:val="18"/>
                <w:szCs w:val="18"/>
              </w:rPr>
            </w:pPr>
          </w:p>
        </w:tc>
        <w:tc>
          <w:tcPr>
            <w:tcW w:w="2163" w:type="dxa"/>
            <w:shd w:val="clear" w:color="auto" w:fill="F2F2F2"/>
          </w:tcPr>
          <w:p w14:paraId="342968BE"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Katastrální území</w:t>
            </w:r>
          </w:p>
        </w:tc>
        <w:tc>
          <w:tcPr>
            <w:tcW w:w="1127" w:type="dxa"/>
            <w:shd w:val="clear" w:color="auto" w:fill="F2F2F2"/>
          </w:tcPr>
          <w:p w14:paraId="33A415EB"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Parcelní číslo</w:t>
            </w:r>
          </w:p>
        </w:tc>
      </w:tr>
      <w:tr w:rsidR="0091097A" w14:paraId="3ABEA004" w14:textId="77777777">
        <w:tc>
          <w:tcPr>
            <w:tcW w:w="827" w:type="dxa"/>
          </w:tcPr>
          <w:p w14:paraId="773E809B"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01</w:t>
            </w:r>
          </w:p>
        </w:tc>
        <w:tc>
          <w:tcPr>
            <w:tcW w:w="2531" w:type="dxa"/>
          </w:tcPr>
          <w:p w14:paraId="33D8BC89" w14:textId="77777777" w:rsidR="0091097A" w:rsidRDefault="00000000">
            <w:pPr>
              <w:widowControl w:val="0"/>
              <w:pBdr>
                <w:top w:val="nil"/>
                <w:left w:val="nil"/>
                <w:bottom w:val="nil"/>
                <w:right w:val="nil"/>
                <w:between w:val="nil"/>
              </w:pBdr>
              <w:spacing w:before="120" w:after="120"/>
              <w:rPr>
                <w:rFonts w:ascii="Arial" w:eastAsia="Arial" w:hAnsi="Arial" w:cs="Arial"/>
                <w:color w:val="000000"/>
                <w:sz w:val="18"/>
                <w:szCs w:val="18"/>
              </w:rPr>
            </w:pPr>
            <w:r>
              <w:rPr>
                <w:rFonts w:ascii="Arial" w:eastAsia="Arial" w:hAnsi="Arial" w:cs="Arial"/>
                <w:color w:val="000000"/>
                <w:sz w:val="18"/>
                <w:szCs w:val="18"/>
              </w:rPr>
              <w:t>Bechyňovo náměstí 1, 582 22 Přibyslav</w:t>
            </w:r>
          </w:p>
        </w:tc>
        <w:tc>
          <w:tcPr>
            <w:tcW w:w="1850" w:type="dxa"/>
          </w:tcPr>
          <w:p w14:paraId="1CC5A1EC" w14:textId="77777777" w:rsidR="0091097A" w:rsidRDefault="00000000">
            <w:pPr>
              <w:widowControl w:val="0"/>
              <w:pBdr>
                <w:top w:val="nil"/>
                <w:left w:val="nil"/>
                <w:bottom w:val="nil"/>
                <w:right w:val="nil"/>
                <w:between w:val="nil"/>
              </w:pBdr>
              <w:spacing w:before="120" w:after="120"/>
              <w:rPr>
                <w:rFonts w:ascii="Arial" w:eastAsia="Arial" w:hAnsi="Arial" w:cs="Arial"/>
                <w:color w:val="000000"/>
                <w:sz w:val="18"/>
                <w:szCs w:val="18"/>
              </w:rPr>
            </w:pPr>
            <w:r>
              <w:rPr>
                <w:rFonts w:ascii="Arial" w:eastAsia="Arial" w:hAnsi="Arial" w:cs="Arial"/>
                <w:color w:val="000000"/>
                <w:sz w:val="18"/>
                <w:szCs w:val="18"/>
              </w:rPr>
              <w:t>Obecní úřad</w:t>
            </w:r>
          </w:p>
        </w:tc>
        <w:tc>
          <w:tcPr>
            <w:tcW w:w="2163" w:type="dxa"/>
          </w:tcPr>
          <w:p w14:paraId="64E19F84" w14:textId="77777777" w:rsidR="0091097A" w:rsidRDefault="00000000">
            <w:pPr>
              <w:widowControl w:val="0"/>
              <w:pBdr>
                <w:top w:val="nil"/>
                <w:left w:val="nil"/>
                <w:bottom w:val="nil"/>
                <w:right w:val="nil"/>
                <w:between w:val="nil"/>
              </w:pBdr>
              <w:spacing w:before="120" w:after="120"/>
              <w:rPr>
                <w:rFonts w:ascii="Arial" w:eastAsia="Arial" w:hAnsi="Arial" w:cs="Arial"/>
                <w:color w:val="000000"/>
                <w:sz w:val="18"/>
                <w:szCs w:val="18"/>
              </w:rPr>
            </w:pPr>
            <w:r>
              <w:rPr>
                <w:rFonts w:ascii="Arial" w:eastAsia="Arial" w:hAnsi="Arial" w:cs="Arial"/>
                <w:color w:val="000000"/>
                <w:sz w:val="18"/>
                <w:szCs w:val="18"/>
              </w:rPr>
              <w:t xml:space="preserve">k. </w:t>
            </w:r>
            <w:proofErr w:type="spellStart"/>
            <w:r>
              <w:rPr>
                <w:rFonts w:ascii="Arial" w:eastAsia="Arial" w:hAnsi="Arial" w:cs="Arial"/>
                <w:color w:val="000000"/>
                <w:sz w:val="18"/>
                <w:szCs w:val="18"/>
              </w:rPr>
              <w:t>ú.</w:t>
            </w:r>
            <w:proofErr w:type="spellEnd"/>
            <w:r>
              <w:rPr>
                <w:rFonts w:ascii="Arial" w:eastAsia="Arial" w:hAnsi="Arial" w:cs="Arial"/>
                <w:color w:val="000000"/>
                <w:sz w:val="18"/>
                <w:szCs w:val="18"/>
              </w:rPr>
              <w:t xml:space="preserve"> Přibyslav (735698)</w:t>
            </w:r>
          </w:p>
        </w:tc>
        <w:tc>
          <w:tcPr>
            <w:tcW w:w="1127" w:type="dxa"/>
          </w:tcPr>
          <w:p w14:paraId="3EB1816A"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St. 7</w:t>
            </w:r>
          </w:p>
        </w:tc>
      </w:tr>
      <w:tr w:rsidR="0091097A" w14:paraId="267C1FAF" w14:textId="77777777">
        <w:tc>
          <w:tcPr>
            <w:tcW w:w="827" w:type="dxa"/>
          </w:tcPr>
          <w:p w14:paraId="3E0D917F"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02</w:t>
            </w:r>
          </w:p>
        </w:tc>
        <w:tc>
          <w:tcPr>
            <w:tcW w:w="2531" w:type="dxa"/>
          </w:tcPr>
          <w:p w14:paraId="29937906"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Bechyňovo náměstí 33, 582 22 Přibyslav</w:t>
            </w:r>
          </w:p>
        </w:tc>
        <w:tc>
          <w:tcPr>
            <w:tcW w:w="1850" w:type="dxa"/>
          </w:tcPr>
          <w:p w14:paraId="1996A463"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ZŠ</w:t>
            </w:r>
          </w:p>
        </w:tc>
        <w:tc>
          <w:tcPr>
            <w:tcW w:w="2163" w:type="dxa"/>
          </w:tcPr>
          <w:p w14:paraId="432D2F33"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 xml:space="preserve">k. </w:t>
            </w:r>
            <w:proofErr w:type="spellStart"/>
            <w:r>
              <w:rPr>
                <w:rFonts w:ascii="Arial" w:eastAsia="Arial" w:hAnsi="Arial" w:cs="Arial"/>
                <w:color w:val="000000"/>
                <w:sz w:val="18"/>
                <w:szCs w:val="18"/>
              </w:rPr>
              <w:t>ú.</w:t>
            </w:r>
            <w:proofErr w:type="spellEnd"/>
            <w:r>
              <w:rPr>
                <w:rFonts w:ascii="Arial" w:eastAsia="Arial" w:hAnsi="Arial" w:cs="Arial"/>
                <w:color w:val="000000"/>
                <w:sz w:val="18"/>
                <w:szCs w:val="18"/>
              </w:rPr>
              <w:t xml:space="preserve"> Přibyslav (735698)</w:t>
            </w:r>
          </w:p>
        </w:tc>
        <w:tc>
          <w:tcPr>
            <w:tcW w:w="1127" w:type="dxa"/>
          </w:tcPr>
          <w:p w14:paraId="37788B13"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St. 334</w:t>
            </w:r>
          </w:p>
        </w:tc>
      </w:tr>
      <w:tr w:rsidR="0091097A" w14:paraId="75FC5B02" w14:textId="77777777">
        <w:tc>
          <w:tcPr>
            <w:tcW w:w="827" w:type="dxa"/>
          </w:tcPr>
          <w:p w14:paraId="02D856DE"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03</w:t>
            </w:r>
          </w:p>
        </w:tc>
        <w:tc>
          <w:tcPr>
            <w:tcW w:w="2531" w:type="dxa"/>
          </w:tcPr>
          <w:p w14:paraId="40893167"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Bezručova 683, 582 22 Přibyslav</w:t>
            </w:r>
          </w:p>
        </w:tc>
        <w:tc>
          <w:tcPr>
            <w:tcW w:w="1850" w:type="dxa"/>
          </w:tcPr>
          <w:p w14:paraId="6A392372"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MŠ</w:t>
            </w:r>
          </w:p>
        </w:tc>
        <w:tc>
          <w:tcPr>
            <w:tcW w:w="2163" w:type="dxa"/>
          </w:tcPr>
          <w:p w14:paraId="2D11B3E4"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 xml:space="preserve">k. </w:t>
            </w:r>
            <w:proofErr w:type="spellStart"/>
            <w:r>
              <w:rPr>
                <w:rFonts w:ascii="Arial" w:eastAsia="Arial" w:hAnsi="Arial" w:cs="Arial"/>
                <w:color w:val="000000"/>
                <w:sz w:val="18"/>
                <w:szCs w:val="18"/>
              </w:rPr>
              <w:t>ú.</w:t>
            </w:r>
            <w:proofErr w:type="spellEnd"/>
            <w:r>
              <w:rPr>
                <w:rFonts w:ascii="Arial" w:eastAsia="Arial" w:hAnsi="Arial" w:cs="Arial"/>
                <w:color w:val="000000"/>
                <w:sz w:val="18"/>
                <w:szCs w:val="18"/>
              </w:rPr>
              <w:t xml:space="preserve"> Přibyslav (735698)</w:t>
            </w:r>
          </w:p>
        </w:tc>
        <w:tc>
          <w:tcPr>
            <w:tcW w:w="1127" w:type="dxa"/>
          </w:tcPr>
          <w:p w14:paraId="1B2F05C0"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St. 1213</w:t>
            </w:r>
          </w:p>
        </w:tc>
      </w:tr>
      <w:tr w:rsidR="0091097A" w14:paraId="389D8986" w14:textId="77777777">
        <w:tc>
          <w:tcPr>
            <w:tcW w:w="827" w:type="dxa"/>
          </w:tcPr>
          <w:p w14:paraId="6D3C47C5"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04</w:t>
            </w:r>
          </w:p>
        </w:tc>
        <w:tc>
          <w:tcPr>
            <w:tcW w:w="2531" w:type="dxa"/>
          </w:tcPr>
          <w:p w14:paraId="3C9A4E12"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Česká 34, 582 22 Přibyslav</w:t>
            </w:r>
          </w:p>
        </w:tc>
        <w:tc>
          <w:tcPr>
            <w:tcW w:w="1850" w:type="dxa"/>
          </w:tcPr>
          <w:p w14:paraId="06B1EBF9"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Sportovní hala</w:t>
            </w:r>
          </w:p>
        </w:tc>
        <w:tc>
          <w:tcPr>
            <w:tcW w:w="2163" w:type="dxa"/>
          </w:tcPr>
          <w:p w14:paraId="72B6645B"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 xml:space="preserve">k. </w:t>
            </w:r>
            <w:proofErr w:type="spellStart"/>
            <w:r>
              <w:rPr>
                <w:rFonts w:ascii="Arial" w:eastAsia="Arial" w:hAnsi="Arial" w:cs="Arial"/>
                <w:color w:val="000000"/>
                <w:sz w:val="18"/>
                <w:szCs w:val="18"/>
              </w:rPr>
              <w:t>ú.</w:t>
            </w:r>
            <w:proofErr w:type="spellEnd"/>
            <w:r>
              <w:rPr>
                <w:rFonts w:ascii="Arial" w:eastAsia="Arial" w:hAnsi="Arial" w:cs="Arial"/>
                <w:color w:val="000000"/>
                <w:sz w:val="18"/>
                <w:szCs w:val="18"/>
              </w:rPr>
              <w:t xml:space="preserve"> Přibyslav (735698)</w:t>
            </w:r>
          </w:p>
        </w:tc>
        <w:tc>
          <w:tcPr>
            <w:tcW w:w="1127" w:type="dxa"/>
          </w:tcPr>
          <w:p w14:paraId="5A34DA0A"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St. 43/1</w:t>
            </w:r>
          </w:p>
        </w:tc>
      </w:tr>
      <w:tr w:rsidR="0091097A" w14:paraId="1649730D" w14:textId="77777777">
        <w:tc>
          <w:tcPr>
            <w:tcW w:w="827" w:type="dxa"/>
          </w:tcPr>
          <w:p w14:paraId="0EB1B5FF"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05</w:t>
            </w:r>
          </w:p>
        </w:tc>
        <w:tc>
          <w:tcPr>
            <w:tcW w:w="2531" w:type="dxa"/>
          </w:tcPr>
          <w:p w14:paraId="529FA2B8"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Česká 740, 582 22 Přibyslav</w:t>
            </w:r>
          </w:p>
        </w:tc>
        <w:tc>
          <w:tcPr>
            <w:tcW w:w="1850" w:type="dxa"/>
          </w:tcPr>
          <w:p w14:paraId="513257B1"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Šatny u koupaliště</w:t>
            </w:r>
          </w:p>
        </w:tc>
        <w:tc>
          <w:tcPr>
            <w:tcW w:w="2163" w:type="dxa"/>
          </w:tcPr>
          <w:p w14:paraId="135AFBE4"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 xml:space="preserve">k. </w:t>
            </w:r>
            <w:proofErr w:type="spellStart"/>
            <w:r>
              <w:rPr>
                <w:rFonts w:ascii="Arial" w:eastAsia="Arial" w:hAnsi="Arial" w:cs="Arial"/>
                <w:color w:val="000000"/>
                <w:sz w:val="18"/>
                <w:szCs w:val="18"/>
              </w:rPr>
              <w:t>ú.</w:t>
            </w:r>
            <w:proofErr w:type="spellEnd"/>
            <w:r>
              <w:rPr>
                <w:rFonts w:ascii="Arial" w:eastAsia="Arial" w:hAnsi="Arial" w:cs="Arial"/>
                <w:color w:val="000000"/>
                <w:sz w:val="18"/>
                <w:szCs w:val="18"/>
              </w:rPr>
              <w:t xml:space="preserve"> Přibyslav (735698)</w:t>
            </w:r>
          </w:p>
        </w:tc>
        <w:tc>
          <w:tcPr>
            <w:tcW w:w="1127" w:type="dxa"/>
          </w:tcPr>
          <w:p w14:paraId="247E2475"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St. 2343</w:t>
            </w:r>
          </w:p>
        </w:tc>
      </w:tr>
      <w:tr w:rsidR="0091097A" w14:paraId="7D4E1031" w14:textId="77777777">
        <w:tc>
          <w:tcPr>
            <w:tcW w:w="827" w:type="dxa"/>
          </w:tcPr>
          <w:p w14:paraId="1ACF6555"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06</w:t>
            </w:r>
          </w:p>
        </w:tc>
        <w:tc>
          <w:tcPr>
            <w:tcW w:w="2531" w:type="dxa"/>
          </w:tcPr>
          <w:p w14:paraId="216F3CC8"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Husova 555, 582 22 Přibyslav</w:t>
            </w:r>
          </w:p>
        </w:tc>
        <w:tc>
          <w:tcPr>
            <w:tcW w:w="1850" w:type="dxa"/>
          </w:tcPr>
          <w:p w14:paraId="437B8266"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Kulturní dům</w:t>
            </w:r>
          </w:p>
        </w:tc>
        <w:tc>
          <w:tcPr>
            <w:tcW w:w="2163" w:type="dxa"/>
          </w:tcPr>
          <w:p w14:paraId="7446504E"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 xml:space="preserve">k. </w:t>
            </w:r>
            <w:proofErr w:type="spellStart"/>
            <w:r>
              <w:rPr>
                <w:rFonts w:ascii="Arial" w:eastAsia="Arial" w:hAnsi="Arial" w:cs="Arial"/>
                <w:color w:val="000000"/>
                <w:sz w:val="18"/>
                <w:szCs w:val="18"/>
              </w:rPr>
              <w:t>ú.</w:t>
            </w:r>
            <w:proofErr w:type="spellEnd"/>
            <w:r>
              <w:rPr>
                <w:rFonts w:ascii="Arial" w:eastAsia="Arial" w:hAnsi="Arial" w:cs="Arial"/>
                <w:color w:val="000000"/>
                <w:sz w:val="18"/>
                <w:szCs w:val="18"/>
              </w:rPr>
              <w:t xml:space="preserve"> Přibyslav (735698)</w:t>
            </w:r>
          </w:p>
        </w:tc>
        <w:tc>
          <w:tcPr>
            <w:tcW w:w="1127" w:type="dxa"/>
          </w:tcPr>
          <w:p w14:paraId="4883A497" w14:textId="77777777" w:rsidR="0091097A" w:rsidRDefault="00000000">
            <w:pPr>
              <w:widowControl w:val="0"/>
              <w:pBdr>
                <w:top w:val="nil"/>
                <w:left w:val="nil"/>
                <w:bottom w:val="nil"/>
                <w:right w:val="nil"/>
                <w:between w:val="nil"/>
              </w:pBdr>
              <w:spacing w:before="120" w:after="120"/>
              <w:jc w:val="both"/>
              <w:rPr>
                <w:rFonts w:ascii="Arial" w:eastAsia="Arial" w:hAnsi="Arial" w:cs="Arial"/>
                <w:color w:val="000000"/>
                <w:sz w:val="18"/>
                <w:szCs w:val="18"/>
              </w:rPr>
            </w:pPr>
            <w:r>
              <w:rPr>
                <w:rFonts w:ascii="Arial" w:eastAsia="Arial" w:hAnsi="Arial" w:cs="Arial"/>
                <w:color w:val="000000"/>
                <w:sz w:val="18"/>
                <w:szCs w:val="18"/>
              </w:rPr>
              <w:t>St. 671</w:t>
            </w:r>
          </w:p>
        </w:tc>
      </w:tr>
    </w:tbl>
    <w:p w14:paraId="36D011C0" w14:textId="77777777" w:rsidR="0091097A" w:rsidRDefault="0091097A">
      <w:pPr>
        <w:rPr>
          <w:rFonts w:ascii="Arial" w:eastAsia="Arial" w:hAnsi="Arial" w:cs="Arial"/>
          <w:sz w:val="18"/>
          <w:szCs w:val="18"/>
        </w:rPr>
      </w:pPr>
    </w:p>
    <w:tbl>
      <w:tblPr>
        <w:tblStyle w:val="af0"/>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7AE098DF" w14:textId="77777777">
        <w:tc>
          <w:tcPr>
            <w:tcW w:w="9495" w:type="dxa"/>
            <w:tcBorders>
              <w:top w:val="nil"/>
              <w:left w:val="nil"/>
              <w:bottom w:val="nil"/>
              <w:right w:val="nil"/>
            </w:tcBorders>
            <w:shd w:val="clear" w:color="auto" w:fill="FBD5B5"/>
            <w:tcMar>
              <w:left w:w="340" w:type="dxa"/>
            </w:tcMar>
          </w:tcPr>
          <w:p w14:paraId="6745C698" w14:textId="77777777" w:rsidR="0091097A" w:rsidRDefault="00000000">
            <w:pPr>
              <w:pStyle w:val="Nadpis1"/>
              <w:keepNext w:val="0"/>
              <w:widowControl w:val="0"/>
              <w:spacing w:after="240"/>
              <w:ind w:left="573" w:hanging="573"/>
              <w:rPr>
                <w:sz w:val="24"/>
                <w:szCs w:val="24"/>
              </w:rPr>
            </w:pPr>
            <w:r>
              <w:rPr>
                <w:sz w:val="24"/>
                <w:szCs w:val="24"/>
              </w:rPr>
              <w:t>Podmínky kvalifikace</w:t>
            </w:r>
          </w:p>
        </w:tc>
      </w:tr>
      <w:tr w:rsidR="0091097A" w14:paraId="0EFC2268" w14:textId="77777777">
        <w:tc>
          <w:tcPr>
            <w:tcW w:w="9495" w:type="dxa"/>
            <w:tcBorders>
              <w:top w:val="nil"/>
              <w:left w:val="nil"/>
              <w:bottom w:val="nil"/>
              <w:right w:val="nil"/>
            </w:tcBorders>
            <w:shd w:val="clear" w:color="auto" w:fill="FDEADA"/>
            <w:tcMar>
              <w:left w:w="340" w:type="dxa"/>
            </w:tcMar>
          </w:tcPr>
          <w:p w14:paraId="1555932F" w14:textId="77777777" w:rsidR="0091097A" w:rsidRDefault="00000000">
            <w:pPr>
              <w:pStyle w:val="Nadpis3"/>
              <w:keepNext w:val="0"/>
              <w:widowControl w:val="0"/>
              <w:numPr>
                <w:ilvl w:val="1"/>
                <w:numId w:val="1"/>
              </w:numPr>
              <w:spacing w:after="240"/>
              <w:ind w:left="1134" w:hanging="1134"/>
              <w:rPr>
                <w:b/>
              </w:rPr>
            </w:pPr>
            <w:r>
              <w:rPr>
                <w:b/>
                <w:u w:val="none"/>
              </w:rPr>
              <w:t>Základní způsobilost</w:t>
            </w:r>
          </w:p>
        </w:tc>
      </w:tr>
    </w:tbl>
    <w:p w14:paraId="79C0A953" w14:textId="77777777" w:rsidR="0091097A" w:rsidRDefault="00000000">
      <w:pPr>
        <w:spacing w:before="240" w:after="240" w:line="276" w:lineRule="auto"/>
        <w:ind w:left="426" w:hanging="425"/>
        <w:jc w:val="both"/>
        <w:rPr>
          <w:rFonts w:ascii="Arial" w:eastAsia="Arial" w:hAnsi="Arial" w:cs="Arial"/>
        </w:rPr>
      </w:pPr>
      <w:r>
        <w:rPr>
          <w:rFonts w:ascii="Arial" w:eastAsia="Arial" w:hAnsi="Arial" w:cs="Arial"/>
        </w:rPr>
        <w:t xml:space="preserve">Způsobilým </w:t>
      </w:r>
      <w:r>
        <w:rPr>
          <w:rFonts w:ascii="Arial" w:eastAsia="Arial" w:hAnsi="Arial" w:cs="Arial"/>
          <w:b/>
        </w:rPr>
        <w:t>není</w:t>
      </w:r>
      <w:r>
        <w:rPr>
          <w:rFonts w:ascii="Arial" w:eastAsia="Arial" w:hAnsi="Arial" w:cs="Arial"/>
        </w:rPr>
        <w:t xml:space="preserve"> dodavatel, který:</w:t>
      </w:r>
    </w:p>
    <w:p w14:paraId="6F2CC22C" w14:textId="77777777" w:rsidR="0091097A" w:rsidRDefault="00000000">
      <w:pPr>
        <w:numPr>
          <w:ilvl w:val="0"/>
          <w:numId w:val="3"/>
        </w:numPr>
        <w:spacing w:before="120" w:after="120" w:line="276" w:lineRule="auto"/>
        <w:ind w:left="426" w:hanging="425"/>
        <w:jc w:val="both"/>
        <w:rPr>
          <w:rFonts w:ascii="Arial" w:eastAsia="Arial" w:hAnsi="Arial" w:cs="Arial"/>
        </w:rPr>
      </w:pPr>
      <w:r>
        <w:rPr>
          <w:rFonts w:ascii="Arial" w:eastAsia="Arial" w:hAnsi="Arial" w:cs="Arial"/>
        </w:rPr>
        <w:t>byl v zemi svého sídla v posledních 5 letech před zahájením zadávacího řízení pravomocně odsouzen pro trestný čin uvedený v příloze č. 3 zákona nebo obdobný trestný čin podle právního řádu země sídla dodavatele; k zahlazeným odsouzením se nepřihlíží;</w:t>
      </w:r>
    </w:p>
    <w:p w14:paraId="2321F6EA" w14:textId="77777777" w:rsidR="0091097A" w:rsidRDefault="00000000">
      <w:pPr>
        <w:numPr>
          <w:ilvl w:val="0"/>
          <w:numId w:val="4"/>
        </w:numPr>
        <w:spacing w:before="120" w:after="120" w:line="276" w:lineRule="auto"/>
        <w:ind w:left="851" w:hanging="425"/>
        <w:jc w:val="both"/>
        <w:rPr>
          <w:rFonts w:ascii="Arial" w:eastAsia="Arial" w:hAnsi="Arial" w:cs="Arial"/>
          <w:b/>
        </w:rPr>
      </w:pPr>
      <w:r>
        <w:rPr>
          <w:rFonts w:ascii="Arial" w:eastAsia="Arial" w:hAnsi="Arial" w:cs="Arial"/>
          <w:b/>
        </w:rPr>
        <w:t>ve vztahu k České republice se prokazuje předložením výpisu z evidence Rejstříku trestů</w:t>
      </w:r>
    </w:p>
    <w:tbl>
      <w:tblPr>
        <w:tblStyle w:val="af1"/>
        <w:tblW w:w="8215"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15"/>
      </w:tblGrid>
      <w:tr w:rsidR="0091097A" w14:paraId="79108DC5" w14:textId="77777777">
        <w:tc>
          <w:tcPr>
            <w:tcW w:w="8215" w:type="dxa"/>
            <w:tcBorders>
              <w:top w:val="single" w:sz="4" w:space="0" w:color="000000"/>
              <w:left w:val="single" w:sz="4" w:space="0" w:color="000000"/>
              <w:bottom w:val="single" w:sz="4" w:space="0" w:color="000000"/>
              <w:right w:val="single" w:sz="4" w:space="0" w:color="000000"/>
            </w:tcBorders>
          </w:tcPr>
          <w:p w14:paraId="690A3C42" w14:textId="77777777" w:rsidR="0091097A" w:rsidRDefault="00000000">
            <w:pPr>
              <w:spacing w:before="120" w:after="120" w:line="276" w:lineRule="auto"/>
              <w:ind w:left="1"/>
              <w:jc w:val="both"/>
              <w:rPr>
                <w:rFonts w:ascii="Arial" w:eastAsia="Arial" w:hAnsi="Arial" w:cs="Arial"/>
                <w:sz w:val="18"/>
                <w:szCs w:val="18"/>
              </w:rPr>
            </w:pPr>
            <w:r>
              <w:rPr>
                <w:rFonts w:ascii="Arial" w:eastAsia="Arial" w:hAnsi="Arial" w:cs="Arial"/>
                <w:sz w:val="18"/>
                <w:szCs w:val="18"/>
              </w:rPr>
              <w:t xml:space="preserve">Je-li dodavatelem právnická osoba, musí podmínku splňovat tato právnická osoba a zároveň každý člen statutárního orgánu. Je-li členem statutárního orgánu dodavatele právnická osoba, musí </w:t>
            </w:r>
            <w:r>
              <w:rPr>
                <w:rFonts w:ascii="Arial" w:eastAsia="Arial" w:hAnsi="Arial" w:cs="Arial"/>
                <w:sz w:val="18"/>
                <w:szCs w:val="18"/>
              </w:rPr>
              <w:lastRenderedPageBreak/>
              <w:t>podmínku podle písm. a) splňovat: tato právnická osoba, každý člen statutárního orgánu této právnické osoby a osoba zastupující tuto právnickou osobu v statutárním orgánu dodavatele.</w:t>
            </w:r>
          </w:p>
          <w:p w14:paraId="48B6943B" w14:textId="77777777" w:rsidR="0091097A" w:rsidRDefault="00000000">
            <w:pPr>
              <w:spacing w:before="120" w:after="120" w:line="276" w:lineRule="auto"/>
              <w:ind w:left="1"/>
              <w:jc w:val="both"/>
              <w:rPr>
                <w:rFonts w:ascii="Arial" w:eastAsia="Arial" w:hAnsi="Arial" w:cs="Arial"/>
                <w:sz w:val="18"/>
                <w:szCs w:val="18"/>
              </w:rPr>
            </w:pPr>
            <w:r>
              <w:rPr>
                <w:rFonts w:ascii="Arial" w:eastAsia="Arial" w:hAnsi="Arial" w:cs="Arial"/>
                <w:sz w:val="18"/>
                <w:szCs w:val="18"/>
              </w:rPr>
              <w:t>Účastní-li se zadávacího řízení pobočka závodu zahraniční právnické osoby, musí podmínku podle písm. a) splňovat tato právnická osoba a vedoucí pobočky závodu.</w:t>
            </w:r>
          </w:p>
          <w:p w14:paraId="1F6176A0" w14:textId="77777777" w:rsidR="0091097A" w:rsidRDefault="00000000">
            <w:pPr>
              <w:spacing w:before="120" w:after="120" w:line="276" w:lineRule="auto"/>
              <w:ind w:left="1"/>
              <w:jc w:val="both"/>
              <w:rPr>
                <w:rFonts w:ascii="Arial" w:eastAsia="Arial" w:hAnsi="Arial" w:cs="Arial"/>
                <w:sz w:val="18"/>
                <w:szCs w:val="18"/>
              </w:rPr>
            </w:pPr>
            <w:r>
              <w:rPr>
                <w:rFonts w:ascii="Arial" w:eastAsia="Arial" w:hAnsi="Arial" w:cs="Arial"/>
                <w:sz w:val="18"/>
                <w:szCs w:val="18"/>
              </w:rPr>
              <w:t>Účastní-li se zadávacího řízení pobočka závodu české právnické osoby, musí podmínku podle písm. a) splňovat tato právnická osoba a zároveň každý člen statutárního orgánu a vedoucí pobočky závodu.</w:t>
            </w:r>
          </w:p>
        </w:tc>
      </w:tr>
    </w:tbl>
    <w:p w14:paraId="0B1BC0DF" w14:textId="77777777" w:rsidR="0091097A" w:rsidRDefault="00000000">
      <w:pPr>
        <w:numPr>
          <w:ilvl w:val="0"/>
          <w:numId w:val="3"/>
        </w:numPr>
        <w:spacing w:before="120" w:after="120" w:line="276" w:lineRule="auto"/>
        <w:ind w:left="426" w:hanging="425"/>
        <w:jc w:val="both"/>
        <w:rPr>
          <w:rFonts w:ascii="Arial" w:eastAsia="Arial" w:hAnsi="Arial" w:cs="Arial"/>
        </w:rPr>
      </w:pPr>
      <w:r>
        <w:rPr>
          <w:rFonts w:ascii="Arial" w:eastAsia="Arial" w:hAnsi="Arial" w:cs="Arial"/>
        </w:rPr>
        <w:lastRenderedPageBreak/>
        <w:t>má v České republice nebo v zemi svého sídla v evidenci daní zachycen splatný daňový nedoplatek;</w:t>
      </w:r>
    </w:p>
    <w:p w14:paraId="42C2D9B1" w14:textId="77777777" w:rsidR="0091097A" w:rsidRDefault="00000000">
      <w:pPr>
        <w:numPr>
          <w:ilvl w:val="0"/>
          <w:numId w:val="4"/>
        </w:numPr>
        <w:spacing w:before="120" w:after="120" w:line="276" w:lineRule="auto"/>
        <w:ind w:left="851" w:hanging="425"/>
        <w:jc w:val="both"/>
        <w:rPr>
          <w:rFonts w:ascii="Arial" w:eastAsia="Arial" w:hAnsi="Arial" w:cs="Arial"/>
          <w:b/>
        </w:rPr>
      </w:pPr>
      <w:r>
        <w:rPr>
          <w:rFonts w:ascii="Arial" w:eastAsia="Arial" w:hAnsi="Arial" w:cs="Arial"/>
          <w:b/>
        </w:rPr>
        <w:t>ve vztahu k České republice se prokazuje předložením potvrzení příslušného finančního úřadu a písemného čestného prohlášení ve vztahu ke spotřební dani</w:t>
      </w:r>
    </w:p>
    <w:p w14:paraId="48263B5C" w14:textId="77777777" w:rsidR="0091097A" w:rsidRDefault="00000000">
      <w:pPr>
        <w:numPr>
          <w:ilvl w:val="0"/>
          <w:numId w:val="3"/>
        </w:numPr>
        <w:spacing w:before="120" w:after="120" w:line="276" w:lineRule="auto"/>
        <w:ind w:left="426" w:hanging="425"/>
        <w:jc w:val="both"/>
        <w:rPr>
          <w:rFonts w:ascii="Arial" w:eastAsia="Arial" w:hAnsi="Arial" w:cs="Arial"/>
        </w:rPr>
      </w:pPr>
      <w:r>
        <w:rPr>
          <w:rFonts w:ascii="Arial" w:eastAsia="Arial" w:hAnsi="Arial" w:cs="Arial"/>
        </w:rPr>
        <w:t>má v České republice nebo v zemi svého sídla splatný nedoplatek na pojistném nebo na penále na veřejné zdravotní pojištění;</w:t>
      </w:r>
    </w:p>
    <w:p w14:paraId="7DC00D03" w14:textId="77777777" w:rsidR="0091097A" w:rsidRDefault="00000000">
      <w:pPr>
        <w:numPr>
          <w:ilvl w:val="0"/>
          <w:numId w:val="4"/>
        </w:numPr>
        <w:spacing w:before="120" w:after="120" w:line="276" w:lineRule="auto"/>
        <w:ind w:left="851" w:hanging="425"/>
        <w:jc w:val="both"/>
        <w:rPr>
          <w:rFonts w:ascii="Arial" w:eastAsia="Arial" w:hAnsi="Arial" w:cs="Arial"/>
          <w:b/>
        </w:rPr>
      </w:pPr>
      <w:r>
        <w:rPr>
          <w:rFonts w:ascii="Arial" w:eastAsia="Arial" w:hAnsi="Arial" w:cs="Arial"/>
          <w:b/>
        </w:rPr>
        <w:t>ve vztahu k České republice se prokazuje předložením písemného čestného prohlášení</w:t>
      </w:r>
    </w:p>
    <w:p w14:paraId="4BC02F10" w14:textId="77777777" w:rsidR="0091097A" w:rsidRDefault="00000000">
      <w:pPr>
        <w:numPr>
          <w:ilvl w:val="0"/>
          <w:numId w:val="3"/>
        </w:numPr>
        <w:spacing w:before="120" w:after="120" w:line="276" w:lineRule="auto"/>
        <w:ind w:left="426" w:hanging="425"/>
        <w:jc w:val="both"/>
        <w:rPr>
          <w:rFonts w:ascii="Arial" w:eastAsia="Arial" w:hAnsi="Arial" w:cs="Arial"/>
        </w:rPr>
      </w:pPr>
      <w:r>
        <w:rPr>
          <w:rFonts w:ascii="Arial" w:eastAsia="Arial" w:hAnsi="Arial" w:cs="Arial"/>
        </w:rPr>
        <w:t>má v České republice nebo v zemi svého sídla splatný nedoplatek na pojistném nebo na penále na sociální zabezpečení a příspěvku na státní politiku zaměstnanosti;</w:t>
      </w:r>
    </w:p>
    <w:p w14:paraId="26DA6622" w14:textId="77777777" w:rsidR="0091097A" w:rsidRDefault="00000000">
      <w:pPr>
        <w:numPr>
          <w:ilvl w:val="0"/>
          <w:numId w:val="4"/>
        </w:numPr>
        <w:spacing w:before="120" w:after="120" w:line="276" w:lineRule="auto"/>
        <w:ind w:left="851" w:hanging="425"/>
        <w:jc w:val="both"/>
        <w:rPr>
          <w:rFonts w:ascii="Arial" w:eastAsia="Arial" w:hAnsi="Arial" w:cs="Arial"/>
          <w:b/>
        </w:rPr>
      </w:pPr>
      <w:r>
        <w:rPr>
          <w:rFonts w:ascii="Arial" w:eastAsia="Arial" w:hAnsi="Arial" w:cs="Arial"/>
          <w:b/>
        </w:rPr>
        <w:t>ve vztahu k České republice se prokazuje předložením potvrzení příslušné okresní správy sociálního zabezpečení</w:t>
      </w:r>
    </w:p>
    <w:p w14:paraId="238D00B8" w14:textId="77777777" w:rsidR="0091097A" w:rsidRDefault="00000000">
      <w:pPr>
        <w:numPr>
          <w:ilvl w:val="0"/>
          <w:numId w:val="3"/>
        </w:numPr>
        <w:spacing w:before="120" w:after="120" w:line="276" w:lineRule="auto"/>
        <w:ind w:left="426" w:hanging="425"/>
        <w:jc w:val="both"/>
        <w:rPr>
          <w:rFonts w:ascii="Arial" w:eastAsia="Arial" w:hAnsi="Arial" w:cs="Arial"/>
        </w:rPr>
      </w:pPr>
      <w:r>
        <w:rPr>
          <w:rFonts w:ascii="Arial" w:eastAsia="Arial" w:hAnsi="Arial" w:cs="Arial"/>
        </w:rPr>
        <w:t>je v likvidaci ve smyslu § 187 zákona č. 89/2012 Sb., občanský zákoník, v účinném znění, proti němuž bylo vydáno rozhodnutí o úpadku ve smyslu § 136 zákona č. 182/2006 Sb., o úpadku a způsobech jeho řešení (insolvenční zákon), v účinném znění, vůči němuž byla nařízena nucená správa podle jiného právního předpisu nebo v obdobné situaci podle právního řádu země sídla dodavatele.</w:t>
      </w:r>
    </w:p>
    <w:p w14:paraId="73614891" w14:textId="77777777" w:rsidR="0091097A" w:rsidRDefault="00000000">
      <w:pPr>
        <w:numPr>
          <w:ilvl w:val="0"/>
          <w:numId w:val="4"/>
        </w:numPr>
        <w:spacing w:before="120" w:after="120" w:line="276" w:lineRule="auto"/>
        <w:ind w:left="851" w:hanging="425"/>
        <w:jc w:val="both"/>
        <w:rPr>
          <w:rFonts w:ascii="Arial" w:eastAsia="Arial" w:hAnsi="Arial" w:cs="Arial"/>
          <w:b/>
        </w:rPr>
      </w:pPr>
      <w:r>
        <w:rPr>
          <w:rFonts w:ascii="Arial" w:eastAsia="Arial" w:hAnsi="Arial" w:cs="Arial"/>
          <w:b/>
        </w:rPr>
        <w:t>ve vztahu k České republice se prokazuje předložením výpisu z obchodního rejstříku, nebo předložením písemného čestného prohlášení v případě, že není v obchodním rejstříku zapsán</w:t>
      </w:r>
    </w:p>
    <w:tbl>
      <w:tblPr>
        <w:tblStyle w:val="af2"/>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3B8DB5FA" w14:textId="77777777">
        <w:tc>
          <w:tcPr>
            <w:tcW w:w="9495" w:type="dxa"/>
            <w:tcBorders>
              <w:top w:val="nil"/>
              <w:left w:val="nil"/>
              <w:bottom w:val="nil"/>
              <w:right w:val="nil"/>
            </w:tcBorders>
            <w:shd w:val="clear" w:color="auto" w:fill="FDEADA"/>
            <w:tcMar>
              <w:left w:w="340" w:type="dxa"/>
            </w:tcMar>
          </w:tcPr>
          <w:p w14:paraId="7629C594" w14:textId="77777777" w:rsidR="0091097A" w:rsidRDefault="00000000">
            <w:pPr>
              <w:pStyle w:val="Nadpis3"/>
              <w:keepNext w:val="0"/>
              <w:widowControl w:val="0"/>
              <w:numPr>
                <w:ilvl w:val="1"/>
                <w:numId w:val="1"/>
              </w:numPr>
              <w:spacing w:after="240"/>
              <w:ind w:left="1134" w:hanging="1134"/>
              <w:rPr>
                <w:b/>
              </w:rPr>
            </w:pPr>
            <w:r>
              <w:rPr>
                <w:b/>
                <w:u w:val="none"/>
              </w:rPr>
              <w:t>Profesní způsobilost</w:t>
            </w:r>
          </w:p>
        </w:tc>
      </w:tr>
    </w:tbl>
    <w:p w14:paraId="468B115C"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Dodavatel je ve vztahu k České republice profesně způsobilý, je-li zapsán v obchodním rejstříku nebo jiné obdobné evidenci, pokud jiný právní předpis zápis do takové evidence vyžaduje.</w:t>
      </w:r>
    </w:p>
    <w:tbl>
      <w:tblPr>
        <w:tblStyle w:val="af3"/>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260C8801" w14:textId="77777777">
        <w:tc>
          <w:tcPr>
            <w:tcW w:w="9495" w:type="dxa"/>
            <w:tcBorders>
              <w:top w:val="nil"/>
              <w:left w:val="nil"/>
              <w:bottom w:val="nil"/>
              <w:right w:val="nil"/>
            </w:tcBorders>
            <w:shd w:val="clear" w:color="auto" w:fill="FDEADA"/>
            <w:tcMar>
              <w:left w:w="340" w:type="dxa"/>
            </w:tcMar>
          </w:tcPr>
          <w:p w14:paraId="6025D295" w14:textId="77777777" w:rsidR="0091097A" w:rsidRDefault="00000000">
            <w:pPr>
              <w:pStyle w:val="Nadpis3"/>
              <w:keepNext w:val="0"/>
              <w:widowControl w:val="0"/>
              <w:numPr>
                <w:ilvl w:val="1"/>
                <w:numId w:val="1"/>
              </w:numPr>
              <w:spacing w:after="240"/>
              <w:ind w:left="1134" w:hanging="1134"/>
              <w:rPr>
                <w:b/>
              </w:rPr>
            </w:pPr>
            <w:r>
              <w:rPr>
                <w:b/>
                <w:u w:val="none"/>
              </w:rPr>
              <w:t>Technická kvalifikace</w:t>
            </w:r>
          </w:p>
        </w:tc>
      </w:tr>
    </w:tbl>
    <w:p w14:paraId="49CA5B17" w14:textId="77777777" w:rsidR="0091097A" w:rsidRDefault="00000000">
      <w:pPr>
        <w:widowControl w:val="0"/>
        <w:spacing w:before="240" w:after="240" w:line="276" w:lineRule="auto"/>
        <w:jc w:val="both"/>
        <w:rPr>
          <w:rFonts w:ascii="Arial" w:eastAsia="Arial" w:hAnsi="Arial" w:cs="Arial"/>
          <w:b/>
        </w:rPr>
      </w:pPr>
      <w:r>
        <w:rPr>
          <w:rFonts w:ascii="Arial" w:eastAsia="Arial" w:hAnsi="Arial" w:cs="Arial"/>
        </w:rPr>
        <w:t xml:space="preserve">K prokázání technické kvalifikace požaduje zadavatel předložení </w:t>
      </w:r>
      <w:r>
        <w:rPr>
          <w:rFonts w:ascii="Arial" w:eastAsia="Arial" w:hAnsi="Arial" w:cs="Arial"/>
          <w:b/>
        </w:rPr>
        <w:t xml:space="preserve">seznamu významných dodávek </w:t>
      </w:r>
      <w:r>
        <w:rPr>
          <w:rFonts w:ascii="Arial" w:eastAsia="Arial" w:hAnsi="Arial" w:cs="Arial"/>
        </w:rPr>
        <w:t xml:space="preserve">realizovaných </w:t>
      </w:r>
      <w:r>
        <w:rPr>
          <w:rFonts w:ascii="Arial" w:eastAsia="Arial" w:hAnsi="Arial" w:cs="Arial"/>
          <w:b/>
        </w:rPr>
        <w:t>za poslední 3 roky před zahájením zadávacího řízení.</w:t>
      </w:r>
    </w:p>
    <w:p w14:paraId="73155B31" w14:textId="77777777" w:rsidR="0091097A" w:rsidRDefault="00000000">
      <w:pPr>
        <w:widowControl w:val="0"/>
        <w:spacing w:before="240" w:after="240" w:line="276" w:lineRule="auto"/>
        <w:jc w:val="both"/>
        <w:rPr>
          <w:rFonts w:ascii="Arial" w:eastAsia="Arial" w:hAnsi="Arial" w:cs="Arial"/>
          <w:b/>
        </w:rPr>
      </w:pPr>
      <w:r>
        <w:rPr>
          <w:rFonts w:ascii="Arial" w:eastAsia="Arial" w:hAnsi="Arial" w:cs="Arial"/>
        </w:rPr>
        <w:t>Ve smyslu § 79 odst. 3 ZZVZ zákona je doba dle předchozího odstavce splněna i v případě, že byla referenční zakázka ukončena do dne podání nabídky dodavatele</w:t>
      </w:r>
      <w:r>
        <w:rPr>
          <w:rFonts w:ascii="Arial" w:eastAsia="Arial" w:hAnsi="Arial" w:cs="Arial"/>
          <w:b/>
        </w:rPr>
        <w:t>.</w:t>
      </w:r>
    </w:p>
    <w:tbl>
      <w:tblPr>
        <w:tblStyle w:val="af4"/>
        <w:tblW w:w="9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64"/>
        <w:gridCol w:w="5521"/>
      </w:tblGrid>
      <w:tr w:rsidR="0091097A" w14:paraId="7A3B1147" w14:textId="77777777">
        <w:tc>
          <w:tcPr>
            <w:tcW w:w="9485" w:type="dxa"/>
            <w:gridSpan w:val="2"/>
            <w:shd w:val="clear" w:color="auto" w:fill="FBD5B5"/>
          </w:tcPr>
          <w:p w14:paraId="15585ED7" w14:textId="77777777" w:rsidR="0091097A" w:rsidRDefault="00000000">
            <w:pPr>
              <w:widowControl w:val="0"/>
              <w:spacing w:before="120" w:after="120" w:line="276" w:lineRule="auto"/>
              <w:jc w:val="both"/>
              <w:rPr>
                <w:rFonts w:ascii="Arial" w:eastAsia="Arial" w:hAnsi="Arial" w:cs="Arial"/>
                <w:b/>
              </w:rPr>
            </w:pPr>
            <w:r>
              <w:rPr>
                <w:rFonts w:ascii="Arial" w:eastAsia="Arial" w:hAnsi="Arial" w:cs="Arial"/>
                <w:b/>
              </w:rPr>
              <w:t>První typ referenční zakázky</w:t>
            </w:r>
          </w:p>
        </w:tc>
      </w:tr>
      <w:tr w:rsidR="0091097A" w14:paraId="4BB47A71" w14:textId="77777777">
        <w:tc>
          <w:tcPr>
            <w:tcW w:w="3964" w:type="dxa"/>
            <w:shd w:val="clear" w:color="auto" w:fill="FDEADA"/>
          </w:tcPr>
          <w:p w14:paraId="4712D351" w14:textId="77777777" w:rsidR="0091097A" w:rsidRDefault="00000000">
            <w:pPr>
              <w:widowControl w:val="0"/>
              <w:spacing w:before="120" w:after="120" w:line="276" w:lineRule="auto"/>
              <w:jc w:val="both"/>
              <w:rPr>
                <w:rFonts w:ascii="Arial" w:eastAsia="Arial" w:hAnsi="Arial" w:cs="Arial"/>
                <w:b/>
              </w:rPr>
            </w:pPr>
            <w:r>
              <w:rPr>
                <w:rFonts w:ascii="Arial" w:eastAsia="Arial" w:hAnsi="Arial" w:cs="Arial"/>
                <w:b/>
              </w:rPr>
              <w:t>Minimální počet referenčních zakázek</w:t>
            </w:r>
          </w:p>
        </w:tc>
        <w:tc>
          <w:tcPr>
            <w:tcW w:w="5521" w:type="dxa"/>
          </w:tcPr>
          <w:p w14:paraId="3841B473" w14:textId="77777777" w:rsidR="0091097A" w:rsidRDefault="00000000">
            <w:pPr>
              <w:widowControl w:val="0"/>
              <w:spacing w:before="120" w:after="120" w:line="276" w:lineRule="auto"/>
              <w:jc w:val="both"/>
              <w:rPr>
                <w:rFonts w:ascii="Arial" w:eastAsia="Arial" w:hAnsi="Arial" w:cs="Arial"/>
              </w:rPr>
            </w:pPr>
            <w:r>
              <w:rPr>
                <w:rFonts w:ascii="Arial" w:eastAsia="Arial" w:hAnsi="Arial" w:cs="Arial"/>
              </w:rPr>
              <w:t>3</w:t>
            </w:r>
          </w:p>
        </w:tc>
      </w:tr>
      <w:tr w:rsidR="0091097A" w14:paraId="19387DEB" w14:textId="77777777">
        <w:tc>
          <w:tcPr>
            <w:tcW w:w="3964" w:type="dxa"/>
            <w:shd w:val="clear" w:color="auto" w:fill="FDEADA"/>
          </w:tcPr>
          <w:p w14:paraId="65CA12A5" w14:textId="77777777" w:rsidR="0091097A" w:rsidRDefault="00000000">
            <w:pPr>
              <w:widowControl w:val="0"/>
              <w:spacing w:before="120" w:after="120" w:line="276" w:lineRule="auto"/>
              <w:jc w:val="both"/>
              <w:rPr>
                <w:rFonts w:ascii="Arial" w:eastAsia="Arial" w:hAnsi="Arial" w:cs="Arial"/>
                <w:b/>
              </w:rPr>
            </w:pPr>
            <w:r>
              <w:rPr>
                <w:rFonts w:ascii="Arial" w:eastAsia="Arial" w:hAnsi="Arial" w:cs="Arial"/>
                <w:b/>
              </w:rPr>
              <w:t>Předmět referenční zakázky</w:t>
            </w:r>
          </w:p>
        </w:tc>
        <w:tc>
          <w:tcPr>
            <w:tcW w:w="5521" w:type="dxa"/>
          </w:tcPr>
          <w:p w14:paraId="143A3CBB" w14:textId="77777777" w:rsidR="0091097A" w:rsidRDefault="00000000">
            <w:pPr>
              <w:widowControl w:val="0"/>
              <w:spacing w:before="120" w:after="120" w:line="276" w:lineRule="auto"/>
              <w:jc w:val="both"/>
              <w:rPr>
                <w:rFonts w:ascii="Arial" w:eastAsia="Arial" w:hAnsi="Arial" w:cs="Arial"/>
              </w:rPr>
            </w:pPr>
            <w:r>
              <w:rPr>
                <w:rFonts w:ascii="Arial" w:eastAsia="Arial" w:hAnsi="Arial" w:cs="Arial"/>
              </w:rPr>
              <w:t xml:space="preserve">Dodávka fotovoltaické elektrárny včetně bateriového systému </w:t>
            </w:r>
          </w:p>
        </w:tc>
      </w:tr>
      <w:tr w:rsidR="0091097A" w14:paraId="143D8A61" w14:textId="77777777">
        <w:tc>
          <w:tcPr>
            <w:tcW w:w="3964" w:type="dxa"/>
            <w:shd w:val="clear" w:color="auto" w:fill="FDEADA"/>
          </w:tcPr>
          <w:p w14:paraId="27436BC0" w14:textId="77777777" w:rsidR="0091097A" w:rsidRDefault="00000000">
            <w:pPr>
              <w:widowControl w:val="0"/>
              <w:spacing w:before="120" w:after="120" w:line="276" w:lineRule="auto"/>
              <w:jc w:val="both"/>
              <w:rPr>
                <w:rFonts w:ascii="Arial" w:eastAsia="Arial" w:hAnsi="Arial" w:cs="Arial"/>
                <w:b/>
              </w:rPr>
            </w:pPr>
            <w:r>
              <w:rPr>
                <w:rFonts w:ascii="Arial" w:eastAsia="Arial" w:hAnsi="Arial" w:cs="Arial"/>
                <w:b/>
              </w:rPr>
              <w:lastRenderedPageBreak/>
              <w:t>Hodnota referenční zakázky</w:t>
            </w:r>
          </w:p>
        </w:tc>
        <w:tc>
          <w:tcPr>
            <w:tcW w:w="5521" w:type="dxa"/>
          </w:tcPr>
          <w:p w14:paraId="6089743F" w14:textId="77777777" w:rsidR="0091097A" w:rsidRDefault="00000000">
            <w:pPr>
              <w:widowControl w:val="0"/>
              <w:spacing w:before="120" w:after="120" w:line="276" w:lineRule="auto"/>
              <w:jc w:val="both"/>
              <w:rPr>
                <w:rFonts w:ascii="Arial" w:eastAsia="Arial" w:hAnsi="Arial" w:cs="Arial"/>
              </w:rPr>
            </w:pPr>
            <w:r>
              <w:rPr>
                <w:rFonts w:ascii="Arial" w:eastAsia="Arial" w:hAnsi="Arial" w:cs="Arial"/>
              </w:rPr>
              <w:t>Alespoň 4.800.000,00 Kč bez DPH</w:t>
            </w:r>
          </w:p>
        </w:tc>
      </w:tr>
    </w:tbl>
    <w:p w14:paraId="17F25786"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 xml:space="preserve">Pokud dodavatel realizoval uvedené zakázky společně s jinými dodavateli (ne jako samostatný generální dodavatel), k prokázání kvalifikace se použijí pouze v rozsahu, v jakém se na jejich plnění podílel sám dodavatel.  </w:t>
      </w:r>
    </w:p>
    <w:p w14:paraId="47147091"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Seznam významných dodávek dle tohoto ustanovení musí obsahovat alespoň:</w:t>
      </w:r>
    </w:p>
    <w:p w14:paraId="762F500D" w14:textId="77777777" w:rsidR="0091097A" w:rsidRDefault="00000000">
      <w:pPr>
        <w:widowControl w:val="0"/>
        <w:numPr>
          <w:ilvl w:val="0"/>
          <w:numId w:val="8"/>
        </w:numPr>
        <w:pBdr>
          <w:top w:val="nil"/>
          <w:left w:val="nil"/>
          <w:bottom w:val="nil"/>
          <w:right w:val="nil"/>
          <w:between w:val="nil"/>
        </w:pBdr>
        <w:spacing w:after="60" w:line="276" w:lineRule="auto"/>
        <w:ind w:left="426" w:hanging="426"/>
        <w:jc w:val="both"/>
        <w:rPr>
          <w:rFonts w:ascii="Arial" w:eastAsia="Arial" w:hAnsi="Arial" w:cs="Arial"/>
          <w:b/>
          <w:color w:val="000000"/>
        </w:rPr>
      </w:pPr>
      <w:r>
        <w:rPr>
          <w:rFonts w:ascii="Arial" w:eastAsia="Arial" w:hAnsi="Arial" w:cs="Arial"/>
          <w:b/>
          <w:color w:val="000000"/>
        </w:rPr>
        <w:t>identifikační údaje objednatele;</w:t>
      </w:r>
    </w:p>
    <w:p w14:paraId="101EF9B6" w14:textId="77777777" w:rsidR="0091097A" w:rsidRDefault="00000000">
      <w:pPr>
        <w:widowControl w:val="0"/>
        <w:numPr>
          <w:ilvl w:val="0"/>
          <w:numId w:val="8"/>
        </w:numPr>
        <w:pBdr>
          <w:top w:val="nil"/>
          <w:left w:val="nil"/>
          <w:bottom w:val="nil"/>
          <w:right w:val="nil"/>
          <w:between w:val="nil"/>
        </w:pBdr>
        <w:spacing w:after="60" w:line="276" w:lineRule="auto"/>
        <w:ind w:left="426" w:hanging="426"/>
        <w:jc w:val="both"/>
        <w:rPr>
          <w:rFonts w:ascii="Arial" w:eastAsia="Arial" w:hAnsi="Arial" w:cs="Arial"/>
          <w:b/>
          <w:color w:val="000000"/>
        </w:rPr>
      </w:pPr>
      <w:r>
        <w:rPr>
          <w:rFonts w:ascii="Arial" w:eastAsia="Arial" w:hAnsi="Arial" w:cs="Arial"/>
          <w:b/>
          <w:color w:val="000000"/>
        </w:rPr>
        <w:t>stručný popis předmětu prací;</w:t>
      </w:r>
    </w:p>
    <w:p w14:paraId="0F5E7FAE" w14:textId="77777777" w:rsidR="0091097A" w:rsidRDefault="00000000">
      <w:pPr>
        <w:widowControl w:val="0"/>
        <w:numPr>
          <w:ilvl w:val="0"/>
          <w:numId w:val="8"/>
        </w:numPr>
        <w:pBdr>
          <w:top w:val="nil"/>
          <w:left w:val="nil"/>
          <w:bottom w:val="nil"/>
          <w:right w:val="nil"/>
          <w:between w:val="nil"/>
        </w:pBdr>
        <w:spacing w:after="60" w:line="276" w:lineRule="auto"/>
        <w:ind w:left="426" w:hanging="426"/>
        <w:jc w:val="both"/>
        <w:rPr>
          <w:rFonts w:ascii="Arial" w:eastAsia="Arial" w:hAnsi="Arial" w:cs="Arial"/>
          <w:b/>
          <w:color w:val="000000"/>
        </w:rPr>
      </w:pPr>
      <w:r>
        <w:rPr>
          <w:rFonts w:ascii="Arial" w:eastAsia="Arial" w:hAnsi="Arial" w:cs="Arial"/>
          <w:b/>
          <w:color w:val="000000"/>
        </w:rPr>
        <w:t>dobu ukončení realizace prací v rozlišení alespoň na měsíce;</w:t>
      </w:r>
    </w:p>
    <w:p w14:paraId="3754F168" w14:textId="77777777" w:rsidR="0091097A" w:rsidRDefault="00000000">
      <w:pPr>
        <w:widowControl w:val="0"/>
        <w:numPr>
          <w:ilvl w:val="0"/>
          <w:numId w:val="8"/>
        </w:numPr>
        <w:pBdr>
          <w:top w:val="nil"/>
          <w:left w:val="nil"/>
          <w:bottom w:val="nil"/>
          <w:right w:val="nil"/>
          <w:between w:val="nil"/>
        </w:pBdr>
        <w:spacing w:after="240" w:line="276" w:lineRule="auto"/>
        <w:ind w:left="425" w:hanging="425"/>
        <w:jc w:val="both"/>
        <w:rPr>
          <w:rFonts w:ascii="Arial" w:eastAsia="Arial" w:hAnsi="Arial" w:cs="Arial"/>
          <w:color w:val="000000"/>
        </w:rPr>
      </w:pPr>
      <w:r>
        <w:rPr>
          <w:rFonts w:ascii="Arial" w:eastAsia="Arial" w:hAnsi="Arial" w:cs="Arial"/>
          <w:b/>
          <w:color w:val="000000"/>
        </w:rPr>
        <w:t>hodnotu prací v Kč bez daně z přidané hodnoty;</w:t>
      </w:r>
      <w:r>
        <w:rPr>
          <w:rFonts w:ascii="Arial" w:eastAsia="Arial" w:hAnsi="Arial" w:cs="Arial"/>
          <w:color w:val="000000"/>
        </w:rPr>
        <w:t xml:space="preserve"> v případě, že dodavatel poskytl předmětné stavební práce společně s jinými dodavateli, uvede rozsah, v jakém se na plnění podílel.</w:t>
      </w:r>
    </w:p>
    <w:tbl>
      <w:tblPr>
        <w:tblStyle w:val="af5"/>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20AB92CD" w14:textId="77777777">
        <w:tc>
          <w:tcPr>
            <w:tcW w:w="9495" w:type="dxa"/>
            <w:tcBorders>
              <w:top w:val="nil"/>
              <w:left w:val="nil"/>
              <w:bottom w:val="nil"/>
              <w:right w:val="nil"/>
            </w:tcBorders>
            <w:shd w:val="clear" w:color="auto" w:fill="FDEADA"/>
            <w:tcMar>
              <w:left w:w="340" w:type="dxa"/>
            </w:tcMar>
          </w:tcPr>
          <w:p w14:paraId="50BDE94A" w14:textId="77777777" w:rsidR="0091097A" w:rsidRDefault="00000000">
            <w:pPr>
              <w:pStyle w:val="Nadpis3"/>
              <w:keepNext w:val="0"/>
              <w:widowControl w:val="0"/>
              <w:numPr>
                <w:ilvl w:val="1"/>
                <w:numId w:val="1"/>
              </w:numPr>
              <w:spacing w:after="240"/>
              <w:ind w:left="1134" w:hanging="1134"/>
              <w:rPr>
                <w:b/>
              </w:rPr>
            </w:pPr>
            <w:r>
              <w:rPr>
                <w:b/>
                <w:u w:val="none"/>
              </w:rPr>
              <w:t>Obecná ustanovení o kvalifikaci</w:t>
            </w:r>
          </w:p>
        </w:tc>
      </w:tr>
    </w:tbl>
    <w:p w14:paraId="712B90EB"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Zadavatel v souladu s § 86 odst. 2 zákona stanoví, že dodavatel je oprávněn nahradit v nabídce předložení dokladů čestným prohlášením.</w:t>
      </w:r>
    </w:p>
    <w:p w14:paraId="2F638E65"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 xml:space="preserve">Dodavatel může vždy nahradit doklady o kvalifikaci jednotným evropským osvědčením pro veřejné zakázky. Dodavatel není povinen předložit zadavateli doklady osvědčující skutečnosti obsažené v jednotném evropském osvědčení pro veřejné zakázky, pokud zadavateli sdělí, že mu je již předložil v předchozím řízení. </w:t>
      </w:r>
    </w:p>
    <w:p w14:paraId="195A7875" w14:textId="77777777" w:rsidR="0091097A" w:rsidRDefault="00000000">
      <w:pPr>
        <w:spacing w:before="240" w:after="240" w:line="276" w:lineRule="auto"/>
        <w:jc w:val="both"/>
        <w:rPr>
          <w:rFonts w:ascii="Arial" w:eastAsia="Arial" w:hAnsi="Arial" w:cs="Arial"/>
          <w:b/>
          <w:color w:val="FF0000"/>
        </w:rPr>
      </w:pPr>
      <w:r>
        <w:rPr>
          <w:rFonts w:ascii="Arial" w:eastAsia="Arial" w:hAnsi="Arial" w:cs="Arial"/>
          <w:b/>
          <w:color w:val="FF0000"/>
        </w:rPr>
        <w:t>Vybranému dodavateli odešle zadavatel výzvu k předložení dokladů podle § 122 odst. 3 ZZVZ. V této výzvě může zadavatel stanovit, že dodavatel musí předložit originály nebo úředně ověřené kopie dokladů.</w:t>
      </w:r>
    </w:p>
    <w:p w14:paraId="3ECBEA15"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Dodavatel je oprávněn prokázat splnění kvalifikace také výpisem ze seznamu kvalifikovaných dodavatelů nebo prostřednictvím certifikátu vydaným v rámci schváleného systému certifikovaných dodavatelů.</w:t>
      </w:r>
    </w:p>
    <w:p w14:paraId="2FE00FB5"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Doklady prokazující základní způsobilost a výpis z obchodního rejstříku nebo jiné obdobné evidence musí prokazovat splnění požadovaného kritéria způsobilosti nejpozději v době tří (3) měsíců přede dnem zahájení zadávacího řízení.</w:t>
      </w:r>
    </w:p>
    <w:p w14:paraId="41C751B2"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Dodavatel je oprávněn prokázat část kvalifikace v souladu s § 83 ZZVZ.</w:t>
      </w:r>
    </w:p>
    <w:p w14:paraId="1695E352"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Povinnost předložit doklad ve smyslu zadávací dokumentace může dodavatel splnit odkazem na odpovídající informace vedené v informačním systému veřejné správy nebo v obdobném systému vedeném v jiném členském státu, který umožňuje neomezený dálkový přístup. Takový odkaz musí obsahovat internetovou adresu a údaje pro přihlášení a vyhledání požadované informace, jsou-li takové údaje nezbytné.</w:t>
      </w:r>
    </w:p>
    <w:p w14:paraId="0F3E8979"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Pokud po předložení dokladů nebo prohlášení o kvalifikaci dojde v průběhu výběrového řízení ke změně kvalifikace účastníka výběrového řízení, je účastník výběrového řízení povinen tuto změnu zadavateli do 5 pracovních dnů oznámit a do 10 pracovních dnů od oznámení této změny předložit nové doklady nebo prohlášení ke kvalifikaci. Povinnost podle věty první účastníku výběrového řízení nevzniká, pokud je kvalifikace změněna takovým způsobem, že podmínky kvalifikace jsou nadále splněny.</w:t>
      </w:r>
    </w:p>
    <w:tbl>
      <w:tblPr>
        <w:tblStyle w:val="af6"/>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64471952" w14:textId="77777777">
        <w:tc>
          <w:tcPr>
            <w:tcW w:w="9495" w:type="dxa"/>
            <w:tcBorders>
              <w:top w:val="nil"/>
              <w:left w:val="nil"/>
              <w:bottom w:val="nil"/>
              <w:right w:val="nil"/>
            </w:tcBorders>
            <w:shd w:val="clear" w:color="auto" w:fill="FBD5B5"/>
            <w:tcMar>
              <w:left w:w="340" w:type="dxa"/>
            </w:tcMar>
          </w:tcPr>
          <w:p w14:paraId="6D2CA1C6" w14:textId="77777777" w:rsidR="0091097A" w:rsidRDefault="00000000">
            <w:pPr>
              <w:pStyle w:val="Nadpis1"/>
              <w:keepNext w:val="0"/>
              <w:widowControl w:val="0"/>
              <w:spacing w:after="240"/>
              <w:ind w:left="573" w:hanging="573"/>
              <w:rPr>
                <w:sz w:val="24"/>
                <w:szCs w:val="24"/>
              </w:rPr>
            </w:pPr>
            <w:r>
              <w:rPr>
                <w:sz w:val="24"/>
                <w:szCs w:val="24"/>
              </w:rPr>
              <w:t>Technické, obchodní a další smluvní podmínky</w:t>
            </w:r>
          </w:p>
        </w:tc>
      </w:tr>
    </w:tbl>
    <w:p w14:paraId="16A34A50" w14:textId="77777777" w:rsidR="0091097A" w:rsidRDefault="00000000">
      <w:pPr>
        <w:widowControl w:val="0"/>
        <w:spacing w:before="240" w:after="240" w:line="276" w:lineRule="auto"/>
        <w:jc w:val="both"/>
        <w:rPr>
          <w:rFonts w:ascii="Arial" w:eastAsia="Arial" w:hAnsi="Arial" w:cs="Arial"/>
        </w:rPr>
      </w:pPr>
      <w:bookmarkStart w:id="12" w:name="_heading=h.26in1rg" w:colFirst="0" w:colLast="0"/>
      <w:bookmarkEnd w:id="12"/>
      <w:r>
        <w:rPr>
          <w:rFonts w:ascii="Arial" w:eastAsia="Arial" w:hAnsi="Arial" w:cs="Arial"/>
        </w:rPr>
        <w:lastRenderedPageBreak/>
        <w:t>Zadavatel pro plnění veřejné zakázky nestanoví žádné technické podmínky nad rámec dalších částí zadávací dokumentace.</w:t>
      </w:r>
    </w:p>
    <w:p w14:paraId="1166ABA4" w14:textId="77777777" w:rsidR="0091097A" w:rsidRDefault="00000000">
      <w:pPr>
        <w:widowControl w:val="0"/>
        <w:spacing w:before="240" w:after="240" w:line="276" w:lineRule="auto"/>
        <w:jc w:val="both"/>
        <w:rPr>
          <w:rFonts w:ascii="Arial" w:eastAsia="Arial" w:hAnsi="Arial" w:cs="Arial"/>
        </w:rPr>
      </w:pPr>
      <w:bookmarkStart w:id="13" w:name="_heading=h.lnxbz9" w:colFirst="0" w:colLast="0"/>
      <w:bookmarkEnd w:id="13"/>
      <w:r>
        <w:rPr>
          <w:rFonts w:ascii="Arial" w:eastAsia="Arial" w:hAnsi="Arial" w:cs="Arial"/>
        </w:rPr>
        <w:t>Obchodní a další smluvní podmínky jsou stanoveny návrhem smlouvy, který je přílohou tohoto dokumentu. Návrh smlouvy je závazný. Dodavatel není povinen vložit vyplněný návrh smlouvy do nabídky. Smlouva bude uzavřena s vybraným dodavatelem v souladu s jím podanou nabídkou.</w:t>
      </w:r>
    </w:p>
    <w:tbl>
      <w:tblPr>
        <w:tblStyle w:val="af7"/>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0EA80E9A" w14:textId="77777777">
        <w:tc>
          <w:tcPr>
            <w:tcW w:w="9495" w:type="dxa"/>
            <w:tcBorders>
              <w:top w:val="nil"/>
              <w:left w:val="nil"/>
              <w:bottom w:val="nil"/>
              <w:right w:val="nil"/>
            </w:tcBorders>
            <w:shd w:val="clear" w:color="auto" w:fill="FBD5B5"/>
            <w:tcMar>
              <w:left w:w="340" w:type="dxa"/>
            </w:tcMar>
          </w:tcPr>
          <w:p w14:paraId="2AD37E7B" w14:textId="77777777" w:rsidR="0091097A" w:rsidRDefault="00000000">
            <w:pPr>
              <w:pStyle w:val="Nadpis1"/>
              <w:keepNext w:val="0"/>
              <w:widowControl w:val="0"/>
              <w:spacing w:after="240"/>
              <w:ind w:left="573" w:hanging="573"/>
              <w:rPr>
                <w:sz w:val="24"/>
                <w:szCs w:val="24"/>
              </w:rPr>
            </w:pPr>
            <w:r>
              <w:rPr>
                <w:sz w:val="24"/>
                <w:szCs w:val="24"/>
              </w:rPr>
              <w:t>Prohlídka místa plnění</w:t>
            </w:r>
          </w:p>
        </w:tc>
      </w:tr>
    </w:tbl>
    <w:p w14:paraId="6044DC38" w14:textId="77777777" w:rsidR="0091097A" w:rsidRDefault="00000000">
      <w:pPr>
        <w:spacing w:before="240" w:after="240" w:line="276" w:lineRule="auto"/>
        <w:jc w:val="both"/>
        <w:rPr>
          <w:rFonts w:ascii="Arial" w:eastAsia="Arial" w:hAnsi="Arial" w:cs="Arial"/>
        </w:rPr>
      </w:pPr>
      <w:r>
        <w:rPr>
          <w:rFonts w:ascii="Arial" w:eastAsia="Arial" w:hAnsi="Arial" w:cs="Arial"/>
        </w:rPr>
        <w:t>Zadavatel umožní dodavatelům prohlídku místa plnění.</w:t>
      </w:r>
    </w:p>
    <w:p w14:paraId="4CC14BFA" w14:textId="77777777" w:rsidR="0091097A" w:rsidRDefault="00000000">
      <w:pPr>
        <w:spacing w:before="240" w:after="240" w:line="276" w:lineRule="auto"/>
        <w:jc w:val="both"/>
        <w:rPr>
          <w:rFonts w:ascii="Arial" w:eastAsia="Arial" w:hAnsi="Arial" w:cs="Arial"/>
          <w:color w:val="FF0000"/>
        </w:rPr>
      </w:pPr>
      <w:r>
        <w:rPr>
          <w:rFonts w:ascii="Arial" w:eastAsia="Arial" w:hAnsi="Arial" w:cs="Arial"/>
          <w:b/>
          <w:color w:val="FF0000"/>
        </w:rPr>
        <w:t xml:space="preserve">Prohlídka místa plnění se uskuteční dne 5. 3. 2025 od 9:30 </w:t>
      </w:r>
      <w:proofErr w:type="gramStart"/>
      <w:r>
        <w:rPr>
          <w:rFonts w:ascii="Arial" w:eastAsia="Arial" w:hAnsi="Arial" w:cs="Arial"/>
          <w:b/>
          <w:color w:val="FF0000"/>
        </w:rPr>
        <w:t>hod..</w:t>
      </w:r>
      <w:proofErr w:type="gramEnd"/>
      <w:r>
        <w:rPr>
          <w:rFonts w:ascii="Arial" w:eastAsia="Arial" w:hAnsi="Arial" w:cs="Arial"/>
          <w:b/>
          <w:color w:val="FF0000"/>
        </w:rPr>
        <w:t xml:space="preserve"> Sraz účastníků je u budovy MŠ ul. Bezručova, č.p. 683.</w:t>
      </w:r>
    </w:p>
    <w:p w14:paraId="2E8C846C" w14:textId="77777777" w:rsidR="0091097A" w:rsidRDefault="00000000">
      <w:pPr>
        <w:spacing w:before="240" w:after="240" w:line="276" w:lineRule="auto"/>
        <w:jc w:val="both"/>
        <w:rPr>
          <w:rFonts w:ascii="Arial" w:eastAsia="Arial" w:hAnsi="Arial" w:cs="Arial"/>
        </w:rPr>
      </w:pPr>
      <w:r>
        <w:rPr>
          <w:rFonts w:ascii="Arial" w:eastAsia="Arial" w:hAnsi="Arial" w:cs="Arial"/>
        </w:rPr>
        <w:t>Účelem prohlídky místa budoucího plnění je seznámení dodavatelů se stávajícím stavem místa budoucího plnění a s jeho technickým vybavením a provozními parametry tak, aby dodavatel mohl zpracovat a podat svou nabídku vycházející z relevantních a úplných informací a podkladů.</w:t>
      </w:r>
    </w:p>
    <w:p w14:paraId="5FC0EB77" w14:textId="0875299B" w:rsidR="0091097A" w:rsidRDefault="00000000">
      <w:pPr>
        <w:spacing w:before="240" w:after="240" w:line="276" w:lineRule="auto"/>
        <w:jc w:val="both"/>
        <w:rPr>
          <w:rFonts w:ascii="Arial" w:eastAsia="Arial" w:hAnsi="Arial" w:cs="Arial"/>
        </w:rPr>
      </w:pPr>
      <w:r>
        <w:rPr>
          <w:rFonts w:ascii="Arial" w:eastAsia="Arial" w:hAnsi="Arial" w:cs="Arial"/>
        </w:rPr>
        <w:t xml:space="preserve">Zadavatel z organizačních důvodů doporučuje dodavatelům písemnou registraci před konáním prohlídky místa plnění. Žádost o registraci je možné zaslat </w:t>
      </w:r>
      <w:r w:rsidR="006545A5">
        <w:rPr>
          <w:rFonts w:ascii="Arial" w:eastAsia="Arial" w:hAnsi="Arial" w:cs="Arial"/>
        </w:rPr>
        <w:t>prostřednictvím profilu zadavatele</w:t>
      </w:r>
      <w:r>
        <w:rPr>
          <w:rFonts w:ascii="Arial" w:eastAsia="Arial" w:hAnsi="Arial" w:cs="Arial"/>
        </w:rPr>
        <w:t>.</w:t>
      </w:r>
    </w:p>
    <w:p w14:paraId="071611F8" w14:textId="77777777" w:rsidR="0091097A" w:rsidRDefault="00000000">
      <w:pPr>
        <w:spacing w:before="240" w:after="240" w:line="276" w:lineRule="auto"/>
        <w:jc w:val="both"/>
        <w:rPr>
          <w:rFonts w:ascii="Arial" w:eastAsia="Arial" w:hAnsi="Arial" w:cs="Arial"/>
        </w:rPr>
      </w:pPr>
      <w:r>
        <w:rPr>
          <w:rFonts w:ascii="Arial" w:eastAsia="Arial" w:hAnsi="Arial" w:cs="Arial"/>
        </w:rPr>
        <w:t>V průběhu prohlídky místa plnění nebude zadavatel či jiná osoba zadavatele zastupující poskytovat vysvětlení zadávací dokumentace. Zadavatel doporučuje, aby dodavatelé veškeré dotazy vzešlé z prohlídky místa plnění uplatnili prostřednictvím písemné žádosti o vysvětlení zadávací dokumentace dle následujícího ustanovení.</w:t>
      </w:r>
    </w:p>
    <w:tbl>
      <w:tblPr>
        <w:tblStyle w:val="af8"/>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6E446552" w14:textId="77777777">
        <w:tc>
          <w:tcPr>
            <w:tcW w:w="9495" w:type="dxa"/>
            <w:tcBorders>
              <w:top w:val="nil"/>
              <w:left w:val="nil"/>
              <w:bottom w:val="nil"/>
              <w:right w:val="nil"/>
            </w:tcBorders>
            <w:shd w:val="clear" w:color="auto" w:fill="FBD5B5"/>
            <w:tcMar>
              <w:left w:w="340" w:type="dxa"/>
            </w:tcMar>
          </w:tcPr>
          <w:p w14:paraId="74BC137C" w14:textId="77777777" w:rsidR="0091097A" w:rsidRDefault="00000000">
            <w:pPr>
              <w:pStyle w:val="Nadpis1"/>
              <w:keepNext w:val="0"/>
              <w:widowControl w:val="0"/>
              <w:spacing w:after="240"/>
              <w:ind w:left="573" w:hanging="573"/>
              <w:rPr>
                <w:sz w:val="24"/>
                <w:szCs w:val="24"/>
              </w:rPr>
            </w:pPr>
            <w:r>
              <w:rPr>
                <w:sz w:val="24"/>
                <w:szCs w:val="24"/>
              </w:rPr>
              <w:t>Vysvětlení zadávací dokumentace (dodatečné informace)</w:t>
            </w:r>
          </w:p>
        </w:tc>
      </w:tr>
    </w:tbl>
    <w:p w14:paraId="50EFDC92" w14:textId="77777777" w:rsidR="0091097A" w:rsidRDefault="00000000">
      <w:pPr>
        <w:spacing w:before="240" w:after="240" w:line="276" w:lineRule="auto"/>
        <w:jc w:val="both"/>
        <w:rPr>
          <w:rFonts w:ascii="Arial" w:eastAsia="Arial" w:hAnsi="Arial" w:cs="Arial"/>
        </w:rPr>
      </w:pPr>
      <w:r>
        <w:rPr>
          <w:rFonts w:ascii="Arial" w:eastAsia="Arial" w:hAnsi="Arial" w:cs="Arial"/>
        </w:rPr>
        <w:t xml:space="preserve">Dodavatel je oprávněn písemně požadovat vysvětlení zadávací dokumentace zadavatelem. Zadavatel vysvětlení uveřejní na profilu zadavatele v detailu veřejné zakázky včetně přesného znění žádosti bez identifikace tohoto dodavatele. Zadavatel uveřejní vysvětlení zadávací dokumentace </w:t>
      </w:r>
      <w:r>
        <w:rPr>
          <w:rFonts w:ascii="Arial" w:eastAsia="Arial" w:hAnsi="Arial" w:cs="Arial"/>
          <w:b/>
        </w:rPr>
        <w:t>do tří (3) pracovních dnů</w:t>
      </w:r>
      <w:r>
        <w:rPr>
          <w:rFonts w:ascii="Arial" w:eastAsia="Arial" w:hAnsi="Arial" w:cs="Arial"/>
        </w:rPr>
        <w:t xml:space="preserve"> od doručení písemné žádosti.</w:t>
      </w:r>
    </w:p>
    <w:p w14:paraId="1CEDA887" w14:textId="77777777" w:rsidR="0091097A" w:rsidRDefault="00000000">
      <w:pPr>
        <w:spacing w:before="240" w:after="240" w:line="276" w:lineRule="auto"/>
        <w:jc w:val="both"/>
        <w:rPr>
          <w:rFonts w:ascii="Arial" w:eastAsia="Arial" w:hAnsi="Arial" w:cs="Arial"/>
        </w:rPr>
      </w:pPr>
      <w:r>
        <w:rPr>
          <w:rFonts w:ascii="Arial" w:eastAsia="Arial" w:hAnsi="Arial" w:cs="Arial"/>
        </w:rPr>
        <w:t xml:space="preserve">Zadavatel není povinen vysvětlení poskytnout, pokud není žádost o vysvětlení doručena včas, a to alespoň </w:t>
      </w:r>
      <w:r>
        <w:rPr>
          <w:rFonts w:ascii="Arial" w:eastAsia="Arial" w:hAnsi="Arial" w:cs="Arial"/>
          <w:b/>
        </w:rPr>
        <w:t>osm (8) pracovních dnů</w:t>
      </w:r>
      <w:r>
        <w:rPr>
          <w:rFonts w:ascii="Arial" w:eastAsia="Arial" w:hAnsi="Arial" w:cs="Arial"/>
        </w:rPr>
        <w:t xml:space="preserve"> před uplynutím lhůty pro podání nabídek.</w:t>
      </w:r>
    </w:p>
    <w:p w14:paraId="64671490" w14:textId="0E13A5C9" w:rsidR="0091097A" w:rsidRDefault="00000000">
      <w:pPr>
        <w:widowControl w:val="0"/>
        <w:spacing w:before="240" w:after="240" w:line="276" w:lineRule="auto"/>
        <w:jc w:val="both"/>
        <w:rPr>
          <w:rFonts w:ascii="Arial" w:eastAsia="Arial" w:hAnsi="Arial" w:cs="Arial"/>
        </w:rPr>
      </w:pPr>
      <w:r>
        <w:rPr>
          <w:rFonts w:ascii="Arial" w:eastAsia="Arial" w:hAnsi="Arial" w:cs="Arial"/>
        </w:rPr>
        <w:t>Zadavatel doporučuje zaslání písemných žádostí o vysvětlení prostřednictvím profilu zadavatele. Vysvětlení, doplnění či změny zadávací dokumentace budou vždy uveřejněny na profilu zadavatele v detailu veřejné zakázky.</w:t>
      </w:r>
    </w:p>
    <w:tbl>
      <w:tblPr>
        <w:tblStyle w:val="af9"/>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71332A74" w14:textId="77777777">
        <w:tc>
          <w:tcPr>
            <w:tcW w:w="9495" w:type="dxa"/>
            <w:tcBorders>
              <w:top w:val="nil"/>
              <w:left w:val="nil"/>
              <w:bottom w:val="nil"/>
              <w:right w:val="nil"/>
            </w:tcBorders>
            <w:shd w:val="clear" w:color="auto" w:fill="FBD5B5"/>
            <w:tcMar>
              <w:left w:w="340" w:type="dxa"/>
            </w:tcMar>
          </w:tcPr>
          <w:p w14:paraId="618CCA20" w14:textId="77777777" w:rsidR="0091097A" w:rsidRDefault="00000000">
            <w:pPr>
              <w:pStyle w:val="Nadpis1"/>
              <w:keepNext w:val="0"/>
              <w:widowControl w:val="0"/>
              <w:spacing w:after="240"/>
              <w:ind w:left="573" w:hanging="573"/>
              <w:rPr>
                <w:sz w:val="24"/>
                <w:szCs w:val="24"/>
              </w:rPr>
            </w:pPr>
            <w:r>
              <w:rPr>
                <w:sz w:val="24"/>
                <w:szCs w:val="24"/>
              </w:rPr>
              <w:t>Podmínky sestavení a podání nabídek</w:t>
            </w:r>
          </w:p>
        </w:tc>
      </w:tr>
    </w:tbl>
    <w:p w14:paraId="52F09582" w14:textId="77777777" w:rsidR="0091097A" w:rsidRDefault="00000000">
      <w:pPr>
        <w:pStyle w:val="Nadpis1"/>
        <w:keepNext w:val="0"/>
        <w:tabs>
          <w:tab w:val="left" w:pos="708"/>
        </w:tabs>
        <w:spacing w:after="240" w:line="276" w:lineRule="auto"/>
        <w:ind w:left="142" w:firstLine="141"/>
        <w:jc w:val="both"/>
        <w:rPr>
          <w:sz w:val="20"/>
          <w:szCs w:val="20"/>
        </w:rPr>
      </w:pPr>
      <w:bookmarkStart w:id="14" w:name="_heading=h.35nkun2" w:colFirst="0" w:colLast="0"/>
      <w:bookmarkEnd w:id="14"/>
      <w:r>
        <w:rPr>
          <w:sz w:val="20"/>
          <w:szCs w:val="20"/>
        </w:rPr>
        <w:t xml:space="preserve">Nabídka dodavatele musí být zpracována v českém jazyce. </w:t>
      </w:r>
      <w:r>
        <w:rPr>
          <w:b w:val="0"/>
          <w:sz w:val="20"/>
          <w:szCs w:val="20"/>
        </w:rPr>
        <w:t>Tím není dotčena přiměřená aplikace ustanovení § 45 odst. 3 ZZVZ.</w:t>
      </w:r>
    </w:p>
    <w:p w14:paraId="72A46F52" w14:textId="77777777" w:rsidR="0091097A" w:rsidRDefault="00000000">
      <w:pPr>
        <w:pStyle w:val="Nadpis1"/>
        <w:keepNext w:val="0"/>
        <w:tabs>
          <w:tab w:val="left" w:pos="708"/>
        </w:tabs>
        <w:spacing w:after="240" w:line="276" w:lineRule="auto"/>
        <w:ind w:left="142" w:firstLine="141"/>
        <w:jc w:val="both"/>
        <w:rPr>
          <w:sz w:val="20"/>
          <w:szCs w:val="20"/>
          <w:u w:val="single"/>
        </w:rPr>
      </w:pPr>
      <w:r>
        <w:rPr>
          <w:sz w:val="20"/>
          <w:szCs w:val="20"/>
        </w:rPr>
        <w:t xml:space="preserve">Nabídka bude zpracována v písemné podobě, a to pouze v elektronické. </w:t>
      </w:r>
      <w:r>
        <w:rPr>
          <w:sz w:val="20"/>
          <w:szCs w:val="20"/>
          <w:u w:val="single"/>
        </w:rPr>
        <w:t>Podání nabídky v listinné podobě není možné.</w:t>
      </w:r>
    </w:p>
    <w:p w14:paraId="294F877D" w14:textId="77777777" w:rsidR="0091097A" w:rsidRDefault="00000000">
      <w:pPr>
        <w:pStyle w:val="Nadpis1"/>
        <w:keepNext w:val="0"/>
        <w:tabs>
          <w:tab w:val="left" w:pos="708"/>
        </w:tabs>
        <w:spacing w:after="240" w:line="276" w:lineRule="auto"/>
        <w:jc w:val="both"/>
        <w:rPr>
          <w:b w:val="0"/>
          <w:sz w:val="20"/>
          <w:szCs w:val="20"/>
        </w:rPr>
      </w:pPr>
      <w:r>
        <w:rPr>
          <w:b w:val="0"/>
          <w:sz w:val="20"/>
          <w:szCs w:val="20"/>
        </w:rPr>
        <w:t>Zadavatel doporučuje následující členění nabídky:</w:t>
      </w:r>
    </w:p>
    <w:p w14:paraId="6B0D930F" w14:textId="77777777" w:rsidR="0091097A" w:rsidRDefault="00000000">
      <w:pPr>
        <w:widowControl w:val="0"/>
        <w:numPr>
          <w:ilvl w:val="0"/>
          <w:numId w:val="2"/>
        </w:numPr>
        <w:pBdr>
          <w:top w:val="nil"/>
          <w:left w:val="nil"/>
          <w:bottom w:val="nil"/>
          <w:right w:val="nil"/>
          <w:between w:val="nil"/>
        </w:pBdr>
        <w:spacing w:before="240" w:after="240" w:line="276" w:lineRule="auto"/>
        <w:ind w:left="502"/>
        <w:rPr>
          <w:rFonts w:ascii="Arial" w:eastAsia="Arial" w:hAnsi="Arial" w:cs="Arial"/>
          <w:b/>
          <w:color w:val="000000"/>
        </w:rPr>
      </w:pPr>
      <w:r>
        <w:rPr>
          <w:rFonts w:ascii="Arial" w:eastAsia="Arial" w:hAnsi="Arial" w:cs="Arial"/>
          <w:b/>
          <w:color w:val="000000"/>
        </w:rPr>
        <w:lastRenderedPageBreak/>
        <w:t>Plná moc</w:t>
      </w:r>
    </w:p>
    <w:p w14:paraId="02CF9FB0" w14:textId="77777777" w:rsidR="0091097A" w:rsidRDefault="00000000">
      <w:pPr>
        <w:widowControl w:val="0"/>
        <w:pBdr>
          <w:top w:val="nil"/>
          <w:left w:val="nil"/>
          <w:bottom w:val="nil"/>
          <w:right w:val="nil"/>
          <w:between w:val="nil"/>
        </w:pBdr>
        <w:spacing w:before="240" w:after="240" w:line="276" w:lineRule="auto"/>
        <w:ind w:left="502"/>
        <w:jc w:val="both"/>
        <w:rPr>
          <w:rFonts w:ascii="Arial" w:eastAsia="Arial" w:hAnsi="Arial" w:cs="Arial"/>
          <w:color w:val="000000"/>
        </w:rPr>
      </w:pPr>
      <w:r>
        <w:rPr>
          <w:rFonts w:ascii="Arial" w:eastAsia="Arial" w:hAnsi="Arial" w:cs="Arial"/>
          <w:color w:val="000000"/>
        </w:rPr>
        <w:t>Je-li nabídka podána osobou odlišnou od osoby oprávněné jednat za dodavatele dle zápisu ve veřejném rejstříku, vloží dodavatel do nabídky plnou moc, ze které bude vyplývat oprávnění příslušné osoby jednat za dodavatele v požadovaném rozsahu.</w:t>
      </w:r>
    </w:p>
    <w:p w14:paraId="722DD284" w14:textId="77777777" w:rsidR="0091097A" w:rsidRDefault="00000000">
      <w:pPr>
        <w:widowControl w:val="0"/>
        <w:spacing w:before="240" w:after="240" w:line="276" w:lineRule="auto"/>
        <w:ind w:left="142"/>
        <w:jc w:val="both"/>
        <w:rPr>
          <w:rFonts w:ascii="Arial" w:eastAsia="Arial" w:hAnsi="Arial" w:cs="Arial"/>
          <w:b/>
          <w:color w:val="FF0000"/>
        </w:rPr>
      </w:pPr>
      <w:r>
        <w:rPr>
          <w:rFonts w:ascii="Arial" w:eastAsia="Arial" w:hAnsi="Arial" w:cs="Arial"/>
          <w:b/>
          <w:color w:val="FF0000"/>
        </w:rPr>
        <w:t>Následující doklady dle bodu 2.–5. je možné předložit v rámci souhrnného prohlášení dodavatele (kromě specificky uvedených příloh). Vzor tohoto prohlášení je přílohou č. 1 ZD. Dodavatel je vždy oprávněn jednu či více částí prohlášení nahradit samostatnými dokumenty.</w:t>
      </w:r>
    </w:p>
    <w:p w14:paraId="62F1F8E8" w14:textId="77777777" w:rsidR="0091097A" w:rsidRDefault="00000000">
      <w:pPr>
        <w:widowControl w:val="0"/>
        <w:numPr>
          <w:ilvl w:val="0"/>
          <w:numId w:val="2"/>
        </w:numPr>
        <w:pBdr>
          <w:top w:val="nil"/>
          <w:left w:val="nil"/>
          <w:bottom w:val="nil"/>
          <w:right w:val="nil"/>
          <w:between w:val="nil"/>
        </w:pBdr>
        <w:spacing w:before="240" w:after="240" w:line="276" w:lineRule="auto"/>
        <w:ind w:left="502"/>
        <w:rPr>
          <w:rFonts w:ascii="Arial" w:eastAsia="Arial" w:hAnsi="Arial" w:cs="Arial"/>
          <w:b/>
          <w:color w:val="000000"/>
        </w:rPr>
      </w:pPr>
      <w:r>
        <w:rPr>
          <w:rFonts w:ascii="Arial" w:eastAsia="Arial" w:hAnsi="Arial" w:cs="Arial"/>
          <w:b/>
          <w:color w:val="000000"/>
        </w:rPr>
        <w:t>Krycí list nabídky</w:t>
      </w:r>
    </w:p>
    <w:p w14:paraId="77E6BCDC" w14:textId="77777777" w:rsidR="0091097A" w:rsidRDefault="00000000">
      <w:pPr>
        <w:widowControl w:val="0"/>
        <w:pBdr>
          <w:top w:val="nil"/>
          <w:left w:val="nil"/>
          <w:bottom w:val="nil"/>
          <w:right w:val="nil"/>
          <w:between w:val="nil"/>
        </w:pBdr>
        <w:spacing w:before="240" w:after="240" w:line="276" w:lineRule="auto"/>
        <w:ind w:left="502"/>
        <w:jc w:val="both"/>
        <w:rPr>
          <w:rFonts w:ascii="Arial" w:eastAsia="Arial" w:hAnsi="Arial" w:cs="Arial"/>
          <w:color w:val="000000"/>
        </w:rPr>
      </w:pPr>
      <w:r>
        <w:rPr>
          <w:rFonts w:ascii="Arial" w:eastAsia="Arial" w:hAnsi="Arial" w:cs="Arial"/>
          <w:color w:val="000000"/>
        </w:rPr>
        <w:t>V krycím listu dodavatel uvede své identifikační a kontaktní údaje a dále údaje nezbytné pro hodnocení nabídky.</w:t>
      </w:r>
    </w:p>
    <w:p w14:paraId="69E8494B" w14:textId="77777777" w:rsidR="0091097A" w:rsidRDefault="00000000">
      <w:pPr>
        <w:widowControl w:val="0"/>
        <w:numPr>
          <w:ilvl w:val="0"/>
          <w:numId w:val="2"/>
        </w:numPr>
        <w:pBdr>
          <w:top w:val="nil"/>
          <w:left w:val="nil"/>
          <w:bottom w:val="nil"/>
          <w:right w:val="nil"/>
          <w:between w:val="nil"/>
        </w:pBdr>
        <w:spacing w:before="240" w:after="240" w:line="276" w:lineRule="auto"/>
        <w:ind w:left="502"/>
        <w:rPr>
          <w:rFonts w:ascii="Arial" w:eastAsia="Arial" w:hAnsi="Arial" w:cs="Arial"/>
          <w:b/>
          <w:color w:val="000000"/>
        </w:rPr>
      </w:pPr>
      <w:r>
        <w:rPr>
          <w:rFonts w:ascii="Arial" w:eastAsia="Arial" w:hAnsi="Arial" w:cs="Arial"/>
          <w:b/>
          <w:color w:val="000000"/>
        </w:rPr>
        <w:t>Doklady o kvalifikaci</w:t>
      </w:r>
    </w:p>
    <w:p w14:paraId="0F50A860" w14:textId="77777777" w:rsidR="0091097A" w:rsidRDefault="00000000">
      <w:pPr>
        <w:widowControl w:val="0"/>
        <w:pBdr>
          <w:top w:val="nil"/>
          <w:left w:val="nil"/>
          <w:bottom w:val="nil"/>
          <w:right w:val="nil"/>
          <w:between w:val="nil"/>
        </w:pBdr>
        <w:spacing w:before="240" w:after="240" w:line="276" w:lineRule="auto"/>
        <w:ind w:left="502"/>
        <w:jc w:val="both"/>
        <w:rPr>
          <w:rFonts w:ascii="Arial" w:eastAsia="Arial" w:hAnsi="Arial" w:cs="Arial"/>
          <w:color w:val="000000"/>
        </w:rPr>
      </w:pPr>
      <w:r>
        <w:rPr>
          <w:rFonts w:ascii="Arial" w:eastAsia="Arial" w:hAnsi="Arial" w:cs="Arial"/>
          <w:color w:val="000000"/>
        </w:rPr>
        <w:t xml:space="preserve">Dodavatel do nabídky předloží doklady k prokázání kvalifikace dle článku 6 výzvy. </w:t>
      </w:r>
    </w:p>
    <w:p w14:paraId="24583475" w14:textId="77777777" w:rsidR="0091097A" w:rsidRDefault="00000000">
      <w:pPr>
        <w:widowControl w:val="0"/>
        <w:numPr>
          <w:ilvl w:val="0"/>
          <w:numId w:val="2"/>
        </w:numPr>
        <w:pBdr>
          <w:top w:val="nil"/>
          <w:left w:val="nil"/>
          <w:bottom w:val="nil"/>
          <w:right w:val="nil"/>
          <w:between w:val="nil"/>
        </w:pBdr>
        <w:spacing w:before="240" w:after="240" w:line="276" w:lineRule="auto"/>
        <w:ind w:left="502"/>
        <w:rPr>
          <w:rFonts w:ascii="Arial" w:eastAsia="Arial" w:hAnsi="Arial" w:cs="Arial"/>
          <w:b/>
          <w:color w:val="000000"/>
        </w:rPr>
      </w:pPr>
      <w:r>
        <w:rPr>
          <w:rFonts w:ascii="Arial" w:eastAsia="Arial" w:hAnsi="Arial" w:cs="Arial"/>
          <w:b/>
          <w:color w:val="000000"/>
        </w:rPr>
        <w:t>Střet zájmů</w:t>
      </w:r>
    </w:p>
    <w:p w14:paraId="66E12E37" w14:textId="77777777" w:rsidR="0091097A" w:rsidRDefault="00000000">
      <w:pPr>
        <w:widowControl w:val="0"/>
        <w:pBdr>
          <w:top w:val="nil"/>
          <w:left w:val="nil"/>
          <w:bottom w:val="nil"/>
          <w:right w:val="nil"/>
          <w:between w:val="nil"/>
        </w:pBdr>
        <w:spacing w:before="240" w:after="240" w:line="276" w:lineRule="auto"/>
        <w:ind w:left="502"/>
        <w:jc w:val="both"/>
        <w:rPr>
          <w:rFonts w:ascii="Arial" w:eastAsia="Arial" w:hAnsi="Arial" w:cs="Arial"/>
          <w:color w:val="000000"/>
        </w:rPr>
      </w:pPr>
      <w:r>
        <w:rPr>
          <w:rFonts w:ascii="Arial" w:eastAsia="Arial" w:hAnsi="Arial" w:cs="Arial"/>
          <w:color w:val="000000"/>
        </w:rPr>
        <w:t xml:space="preserve">Dodavatel v nabídce předloží prohlášení o neexistenci střetu zájmů ve smyslu § 4b zákona č. 159/2006 Sb., o střetu zájmů. </w:t>
      </w:r>
    </w:p>
    <w:p w14:paraId="67B6D948" w14:textId="77777777" w:rsidR="0091097A" w:rsidRDefault="00000000">
      <w:pPr>
        <w:widowControl w:val="0"/>
        <w:numPr>
          <w:ilvl w:val="0"/>
          <w:numId w:val="2"/>
        </w:numPr>
        <w:pBdr>
          <w:top w:val="nil"/>
          <w:left w:val="nil"/>
          <w:bottom w:val="nil"/>
          <w:right w:val="nil"/>
          <w:between w:val="nil"/>
        </w:pBdr>
        <w:spacing w:before="240" w:after="240" w:line="276" w:lineRule="auto"/>
        <w:ind w:left="502"/>
        <w:rPr>
          <w:rFonts w:ascii="Arial" w:eastAsia="Arial" w:hAnsi="Arial" w:cs="Arial"/>
          <w:b/>
          <w:color w:val="000000"/>
        </w:rPr>
      </w:pPr>
      <w:r>
        <w:rPr>
          <w:rFonts w:ascii="Arial" w:eastAsia="Arial" w:hAnsi="Arial" w:cs="Arial"/>
          <w:b/>
          <w:color w:val="000000"/>
        </w:rPr>
        <w:t>Prohlášení ve vztahu k sankcím proti Rusku</w:t>
      </w:r>
    </w:p>
    <w:p w14:paraId="6CBA8F2C" w14:textId="77777777" w:rsidR="0091097A" w:rsidRDefault="00000000">
      <w:pPr>
        <w:widowControl w:val="0"/>
        <w:pBdr>
          <w:top w:val="nil"/>
          <w:left w:val="nil"/>
          <w:bottom w:val="nil"/>
          <w:right w:val="nil"/>
          <w:between w:val="nil"/>
        </w:pBdr>
        <w:spacing w:before="240" w:after="240" w:line="276" w:lineRule="auto"/>
        <w:ind w:left="502"/>
        <w:jc w:val="both"/>
        <w:rPr>
          <w:rFonts w:ascii="Arial" w:eastAsia="Arial" w:hAnsi="Arial" w:cs="Arial"/>
          <w:color w:val="000000"/>
        </w:rPr>
      </w:pPr>
      <w:r>
        <w:rPr>
          <w:rFonts w:ascii="Arial" w:eastAsia="Arial" w:hAnsi="Arial" w:cs="Arial"/>
          <w:color w:val="000000"/>
        </w:rPr>
        <w:t>Dodavatel v nabídce předloží prohlášení o skutečnostech ve smyslu článku 1.3 výzvy.</w:t>
      </w:r>
    </w:p>
    <w:p w14:paraId="4C137A07" w14:textId="77777777" w:rsidR="0091097A" w:rsidRDefault="00013664">
      <w:pPr>
        <w:widowControl w:val="0"/>
        <w:spacing w:before="240" w:after="240" w:line="276" w:lineRule="auto"/>
        <w:jc w:val="both"/>
        <w:rPr>
          <w:rFonts w:ascii="Arial" w:eastAsia="Arial" w:hAnsi="Arial" w:cs="Arial"/>
        </w:rPr>
      </w:pPr>
      <w:r>
        <w:rPr>
          <w:noProof/>
        </w:rPr>
        <w:pict w14:anchorId="03FC44E1">
          <v:rect id="_x0000_i1026" alt="" style="width:453.6pt;height:.05pt;mso-width-percent:0;mso-height-percent:0;mso-width-percent:0;mso-height-percent:0" o:hralign="center" o:hrstd="t" o:hr="t" fillcolor="#a0a0a0" stroked="f"/>
        </w:pict>
      </w:r>
    </w:p>
    <w:p w14:paraId="223D3FE1" w14:textId="77777777" w:rsidR="0091097A" w:rsidRDefault="00000000">
      <w:pPr>
        <w:keepNext/>
        <w:keepLines/>
        <w:numPr>
          <w:ilvl w:val="0"/>
          <w:numId w:val="2"/>
        </w:numPr>
        <w:pBdr>
          <w:top w:val="nil"/>
          <w:left w:val="nil"/>
          <w:bottom w:val="nil"/>
          <w:right w:val="nil"/>
          <w:between w:val="nil"/>
        </w:pBdr>
        <w:spacing w:before="240" w:after="240" w:line="276" w:lineRule="auto"/>
        <w:ind w:left="502"/>
        <w:rPr>
          <w:rFonts w:ascii="Arial" w:eastAsia="Arial" w:hAnsi="Arial" w:cs="Arial"/>
          <w:b/>
          <w:color w:val="000000"/>
        </w:rPr>
      </w:pPr>
      <w:r>
        <w:rPr>
          <w:rFonts w:ascii="Arial" w:eastAsia="Arial" w:hAnsi="Arial" w:cs="Arial"/>
          <w:b/>
          <w:color w:val="000000"/>
        </w:rPr>
        <w:t>Technická specifikace dodávky</w:t>
      </w:r>
    </w:p>
    <w:p w14:paraId="22C84C58" w14:textId="77777777" w:rsidR="0091097A" w:rsidRDefault="00000000">
      <w:pPr>
        <w:widowControl w:val="0"/>
        <w:pBdr>
          <w:top w:val="nil"/>
          <w:left w:val="nil"/>
          <w:bottom w:val="nil"/>
          <w:right w:val="nil"/>
          <w:between w:val="nil"/>
        </w:pBdr>
        <w:spacing w:before="240" w:after="240" w:line="276" w:lineRule="auto"/>
        <w:ind w:left="502"/>
        <w:jc w:val="both"/>
        <w:rPr>
          <w:rFonts w:ascii="Arial" w:eastAsia="Arial" w:hAnsi="Arial" w:cs="Arial"/>
          <w:color w:val="000000"/>
        </w:rPr>
      </w:pPr>
      <w:r>
        <w:rPr>
          <w:rFonts w:ascii="Arial" w:eastAsia="Arial" w:hAnsi="Arial" w:cs="Arial"/>
          <w:color w:val="000000"/>
        </w:rPr>
        <w:t xml:space="preserve">Dodavatel do nabídky vloží </w:t>
      </w:r>
    </w:p>
    <w:p w14:paraId="792588E2" w14:textId="77777777" w:rsidR="0091097A" w:rsidRDefault="00000000">
      <w:pPr>
        <w:widowControl w:val="0"/>
        <w:numPr>
          <w:ilvl w:val="0"/>
          <w:numId w:val="6"/>
        </w:numPr>
        <w:pBdr>
          <w:top w:val="nil"/>
          <w:left w:val="nil"/>
          <w:bottom w:val="nil"/>
          <w:right w:val="nil"/>
          <w:between w:val="nil"/>
        </w:pBdr>
        <w:spacing w:before="240" w:after="240" w:line="276" w:lineRule="auto"/>
        <w:ind w:left="993" w:hanging="426"/>
        <w:jc w:val="both"/>
        <w:rPr>
          <w:rFonts w:ascii="Arial" w:eastAsia="Arial" w:hAnsi="Arial" w:cs="Arial"/>
          <w:color w:val="000000"/>
        </w:rPr>
      </w:pPr>
      <w:bookmarkStart w:id="15" w:name="_heading=h.1ksv4uv" w:colFirst="0" w:colLast="0"/>
      <w:bookmarkEnd w:id="15"/>
      <w:r>
        <w:rPr>
          <w:rFonts w:ascii="Arial" w:eastAsia="Arial" w:hAnsi="Arial" w:cs="Arial"/>
          <w:b/>
          <w:color w:val="000000"/>
        </w:rPr>
        <w:t>technickou specifikací dodávky,</w:t>
      </w:r>
      <w:r>
        <w:rPr>
          <w:rFonts w:ascii="Arial" w:eastAsia="Arial" w:hAnsi="Arial" w:cs="Arial"/>
          <w:color w:val="000000"/>
        </w:rPr>
        <w:t xml:space="preserve"> ve které uvede, jaká je technologická skladba nabízeného plnění – </w:t>
      </w:r>
      <w:r>
        <w:rPr>
          <w:rFonts w:ascii="Arial" w:eastAsia="Arial" w:hAnsi="Arial" w:cs="Arial"/>
          <w:b/>
          <w:color w:val="FF0000"/>
        </w:rPr>
        <w:t xml:space="preserve">dodavatel uvede alespoň výrobce a typ střídače, FV panelů, bateriového úložiště rozvaděče a systému energetického managementu. </w:t>
      </w:r>
      <w:r>
        <w:rPr>
          <w:rFonts w:ascii="Arial" w:eastAsia="Arial" w:hAnsi="Arial" w:cs="Arial"/>
          <w:color w:val="000000"/>
        </w:rPr>
        <w:t>Vzor tabulky pro uvedení specifikace je součástí přílohy č. 1 ZD – technická specifikace. Technická specifikace dodávky musí odpovídat projektové dokumentaci a bude přílohou smlouvy uzavřené s vybraným dodavatelem.</w:t>
      </w:r>
    </w:p>
    <w:p w14:paraId="300139CB" w14:textId="77777777" w:rsidR="0091097A" w:rsidRDefault="00000000">
      <w:pPr>
        <w:widowControl w:val="0"/>
        <w:numPr>
          <w:ilvl w:val="0"/>
          <w:numId w:val="6"/>
        </w:numPr>
        <w:pBdr>
          <w:top w:val="nil"/>
          <w:left w:val="nil"/>
          <w:bottom w:val="nil"/>
          <w:right w:val="nil"/>
          <w:between w:val="nil"/>
        </w:pBdr>
        <w:spacing w:before="240" w:after="240" w:line="276" w:lineRule="auto"/>
        <w:ind w:left="993" w:hanging="426"/>
        <w:jc w:val="both"/>
        <w:rPr>
          <w:rFonts w:ascii="Arial" w:eastAsia="Arial" w:hAnsi="Arial" w:cs="Arial"/>
          <w:color w:val="000000"/>
        </w:rPr>
      </w:pPr>
      <w:r>
        <w:rPr>
          <w:rFonts w:ascii="Arial" w:eastAsia="Arial" w:hAnsi="Arial" w:cs="Arial"/>
          <w:b/>
          <w:color w:val="FF0000"/>
        </w:rPr>
        <w:t>prohlášení o splnění vybraných technických podmínek.</w:t>
      </w:r>
      <w:r>
        <w:rPr>
          <w:rFonts w:ascii="Arial" w:eastAsia="Arial" w:hAnsi="Arial" w:cs="Arial"/>
          <w:color w:val="FF0000"/>
        </w:rPr>
        <w:t xml:space="preserve"> </w:t>
      </w:r>
      <w:r>
        <w:rPr>
          <w:rFonts w:ascii="Arial" w:eastAsia="Arial" w:hAnsi="Arial" w:cs="Arial"/>
          <w:color w:val="000000"/>
        </w:rPr>
        <w:t>Požadovaný obsah prohlášení je podrobně stanoven součástí přílohy č. 1 ZD. V případě, že dodavatel nevyužije vzorové prohlášení dle přílohy č. 1 ZD, prohlásí či doloží splnění technických podmínek jiným způsobem.</w:t>
      </w:r>
    </w:p>
    <w:p w14:paraId="3A12E59B" w14:textId="77777777" w:rsidR="0091097A" w:rsidRDefault="00000000">
      <w:pPr>
        <w:widowControl w:val="0"/>
        <w:numPr>
          <w:ilvl w:val="0"/>
          <w:numId w:val="6"/>
        </w:numPr>
        <w:pBdr>
          <w:top w:val="nil"/>
          <w:left w:val="nil"/>
          <w:bottom w:val="nil"/>
          <w:right w:val="nil"/>
          <w:between w:val="nil"/>
        </w:pBdr>
        <w:spacing w:before="240" w:after="240" w:line="276" w:lineRule="auto"/>
        <w:ind w:left="993"/>
        <w:jc w:val="both"/>
        <w:rPr>
          <w:rFonts w:ascii="Arial" w:eastAsia="Arial" w:hAnsi="Arial" w:cs="Arial"/>
          <w:color w:val="000000"/>
        </w:rPr>
      </w:pPr>
      <w:r>
        <w:rPr>
          <w:rFonts w:ascii="Arial" w:eastAsia="Arial" w:hAnsi="Arial" w:cs="Arial"/>
          <w:b/>
          <w:color w:val="FF0000"/>
        </w:rPr>
        <w:t xml:space="preserve">relevantní doklady </w:t>
      </w:r>
      <w:r>
        <w:rPr>
          <w:rFonts w:ascii="Arial" w:eastAsia="Arial" w:hAnsi="Arial" w:cs="Arial"/>
          <w:b/>
          <w:color w:val="000000"/>
        </w:rPr>
        <w:t>(technické listy/</w:t>
      </w:r>
      <w:proofErr w:type="spellStart"/>
      <w:r>
        <w:rPr>
          <w:rFonts w:ascii="Arial" w:eastAsia="Arial" w:hAnsi="Arial" w:cs="Arial"/>
          <w:b/>
          <w:color w:val="000000"/>
        </w:rPr>
        <w:t>datasheety</w:t>
      </w:r>
      <w:proofErr w:type="spellEnd"/>
      <w:r>
        <w:rPr>
          <w:rFonts w:ascii="Arial" w:eastAsia="Arial" w:hAnsi="Arial" w:cs="Arial"/>
          <w:b/>
          <w:color w:val="000000"/>
        </w:rPr>
        <w:t xml:space="preserve">/certifikáty), </w:t>
      </w:r>
      <w:r>
        <w:rPr>
          <w:rFonts w:ascii="Arial" w:eastAsia="Arial" w:hAnsi="Arial" w:cs="Arial"/>
          <w:color w:val="000000"/>
        </w:rPr>
        <w:t>z jejichž obsahu vyplývá splnění uvedených požadavků dle prohlášení. Tyto doklady mohou být předloženy v českém, slovenském či anglickém jazyce). Tyto doklady budou přílohou prohlášení o splnění vybraných technických podmínek.</w:t>
      </w:r>
    </w:p>
    <w:p w14:paraId="01FF4261" w14:textId="77777777" w:rsidR="0091097A" w:rsidRDefault="00013664">
      <w:pPr>
        <w:widowControl w:val="0"/>
        <w:spacing w:before="240" w:after="240" w:line="276" w:lineRule="auto"/>
        <w:jc w:val="both"/>
        <w:rPr>
          <w:rFonts w:ascii="Arial" w:eastAsia="Arial" w:hAnsi="Arial" w:cs="Arial"/>
        </w:rPr>
      </w:pPr>
      <w:r>
        <w:rPr>
          <w:noProof/>
        </w:rPr>
        <w:pict w14:anchorId="7C46F98F">
          <v:rect id="_x0000_i1025" alt="" style="width:453.6pt;height:.05pt;mso-width-percent:0;mso-height-percent:0;mso-width-percent:0;mso-height-percent:0" o:hralign="center" o:hrstd="t" o:hr="t" fillcolor="#a0a0a0" stroked="f"/>
        </w:pict>
      </w:r>
    </w:p>
    <w:p w14:paraId="38A23943" w14:textId="77777777" w:rsidR="0091097A" w:rsidRDefault="00000000">
      <w:pPr>
        <w:keepNext/>
        <w:keepLines/>
        <w:numPr>
          <w:ilvl w:val="0"/>
          <w:numId w:val="2"/>
        </w:numPr>
        <w:pBdr>
          <w:top w:val="nil"/>
          <w:left w:val="nil"/>
          <w:bottom w:val="nil"/>
          <w:right w:val="nil"/>
          <w:between w:val="nil"/>
        </w:pBdr>
        <w:spacing w:before="240" w:after="240" w:line="276" w:lineRule="auto"/>
        <w:ind w:left="502"/>
        <w:rPr>
          <w:rFonts w:ascii="Arial" w:eastAsia="Arial" w:hAnsi="Arial" w:cs="Arial"/>
          <w:b/>
          <w:color w:val="000000"/>
        </w:rPr>
      </w:pPr>
      <w:r>
        <w:rPr>
          <w:rFonts w:ascii="Arial" w:eastAsia="Arial" w:hAnsi="Arial" w:cs="Arial"/>
          <w:b/>
          <w:color w:val="000000"/>
        </w:rPr>
        <w:t>Nabídkový rozpočet</w:t>
      </w:r>
    </w:p>
    <w:p w14:paraId="427B97C2" w14:textId="77777777" w:rsidR="0091097A" w:rsidRDefault="00000000">
      <w:pPr>
        <w:widowControl w:val="0"/>
        <w:pBdr>
          <w:top w:val="nil"/>
          <w:left w:val="nil"/>
          <w:bottom w:val="nil"/>
          <w:right w:val="nil"/>
          <w:between w:val="nil"/>
        </w:pBdr>
        <w:spacing w:before="240" w:after="240" w:line="276" w:lineRule="auto"/>
        <w:ind w:left="505"/>
        <w:jc w:val="both"/>
        <w:rPr>
          <w:rFonts w:ascii="Arial" w:eastAsia="Arial" w:hAnsi="Arial" w:cs="Arial"/>
          <w:color w:val="000000"/>
        </w:rPr>
      </w:pPr>
      <w:r>
        <w:rPr>
          <w:rFonts w:ascii="Arial" w:eastAsia="Arial" w:hAnsi="Arial" w:cs="Arial"/>
          <w:color w:val="000000"/>
        </w:rPr>
        <w:t xml:space="preserve">Dodavatel vloží do nabídky oceněný nabídkový rozpočet (položkový rozpočet), který je součástí přílohy č. 3 výzvy. Dodavatel ocení všechny položky rozpočtu kladnou nenulovou hodnotou, není-li dále </w:t>
      </w:r>
      <w:r>
        <w:rPr>
          <w:rFonts w:ascii="Arial" w:eastAsia="Arial" w:hAnsi="Arial" w:cs="Arial"/>
          <w:color w:val="000000"/>
        </w:rPr>
        <w:lastRenderedPageBreak/>
        <w:t>uvedeno jinak. Tím není vyloučen postup zadavatele dle § 46 ZZVZ.</w:t>
      </w:r>
    </w:p>
    <w:tbl>
      <w:tblPr>
        <w:tblStyle w:val="afa"/>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4C81645D" w14:textId="77777777">
        <w:tc>
          <w:tcPr>
            <w:tcW w:w="9495" w:type="dxa"/>
            <w:tcBorders>
              <w:top w:val="nil"/>
              <w:left w:val="nil"/>
              <w:bottom w:val="nil"/>
              <w:right w:val="nil"/>
            </w:tcBorders>
            <w:shd w:val="clear" w:color="auto" w:fill="FDEADA"/>
            <w:tcMar>
              <w:left w:w="340" w:type="dxa"/>
            </w:tcMar>
          </w:tcPr>
          <w:p w14:paraId="1A79C4D8" w14:textId="77777777" w:rsidR="0091097A" w:rsidRDefault="00000000">
            <w:pPr>
              <w:pStyle w:val="Nadpis3"/>
              <w:keepNext w:val="0"/>
              <w:widowControl w:val="0"/>
              <w:numPr>
                <w:ilvl w:val="1"/>
                <w:numId w:val="1"/>
              </w:numPr>
              <w:spacing w:after="240"/>
              <w:ind w:left="1134" w:hanging="1134"/>
              <w:rPr>
                <w:b/>
              </w:rPr>
            </w:pPr>
            <w:r>
              <w:rPr>
                <w:b/>
                <w:u w:val="none"/>
              </w:rPr>
              <w:t>Podání nabídky v elektronické podobě</w:t>
            </w:r>
          </w:p>
        </w:tc>
      </w:tr>
    </w:tbl>
    <w:p w14:paraId="1AF43215"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Zadavatel umožňuje podání nabídky pouze v elektronické podobě prostřednictvím elektronického nástroje dle článku 1.2 výzvy. Podmínkou podání nabídky v elektronické podobě je dokončená registrace a přihlášení dodavatele v elektronickém nástroji.</w:t>
      </w:r>
    </w:p>
    <w:p w14:paraId="2532117E"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Nabídka podaná prostřednictvím elektronického nástroje nemusí být podepsána kvalifikovaným elektronickým podpisem.</w:t>
      </w:r>
    </w:p>
    <w:p w14:paraId="0CD5DBA7"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Zadavatel doporučuje vložit do elektronického nástroje soubor nebo soubory s nabídkou označené obchodní firmou dodavatele (nemusí se jednat o zcela přesný přepis obchodní firmy). Maximální velikost jednotlivých souborů vkládaných do elektronického nástroje či jejich počet může být z technických důvodů v elektronickém nástroji omezen.</w:t>
      </w:r>
    </w:p>
    <w:tbl>
      <w:tblPr>
        <w:tblStyle w:val="afb"/>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6F118A0E" w14:textId="77777777">
        <w:tc>
          <w:tcPr>
            <w:tcW w:w="9495" w:type="dxa"/>
            <w:tcBorders>
              <w:top w:val="nil"/>
              <w:left w:val="nil"/>
              <w:bottom w:val="nil"/>
              <w:right w:val="nil"/>
            </w:tcBorders>
            <w:shd w:val="clear" w:color="auto" w:fill="FDEADA"/>
            <w:tcMar>
              <w:left w:w="340" w:type="dxa"/>
            </w:tcMar>
          </w:tcPr>
          <w:p w14:paraId="03585716" w14:textId="77777777" w:rsidR="0091097A" w:rsidRDefault="00000000">
            <w:pPr>
              <w:pStyle w:val="Nadpis3"/>
              <w:keepNext w:val="0"/>
              <w:widowControl w:val="0"/>
              <w:numPr>
                <w:ilvl w:val="1"/>
                <w:numId w:val="1"/>
              </w:numPr>
              <w:spacing w:after="240"/>
              <w:ind w:left="1134" w:hanging="1134"/>
              <w:rPr>
                <w:b/>
              </w:rPr>
            </w:pPr>
            <w:r>
              <w:rPr>
                <w:b/>
                <w:u w:val="none"/>
              </w:rPr>
              <w:t>Lhůta pro podání nabídek</w:t>
            </w:r>
          </w:p>
        </w:tc>
      </w:tr>
    </w:tbl>
    <w:p w14:paraId="0EEA3B97" w14:textId="77777777" w:rsidR="0091097A" w:rsidRDefault="00000000">
      <w:pPr>
        <w:spacing w:before="240" w:after="240"/>
        <w:rPr>
          <w:rFonts w:ascii="Arial" w:eastAsia="Arial" w:hAnsi="Arial" w:cs="Arial"/>
          <w:b/>
          <w:color w:val="FF0000"/>
        </w:rPr>
      </w:pPr>
      <w:r>
        <w:rPr>
          <w:rFonts w:ascii="Arial" w:eastAsia="Arial" w:hAnsi="Arial" w:cs="Arial"/>
          <w:b/>
          <w:color w:val="FF0000"/>
        </w:rPr>
        <w:t>Lhůta pro podání nabídek je uvedena v detailu veřejné zakázky na profilu zadavatele.</w:t>
      </w:r>
    </w:p>
    <w:tbl>
      <w:tblPr>
        <w:tblStyle w:val="afc"/>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60D54368" w14:textId="77777777">
        <w:tc>
          <w:tcPr>
            <w:tcW w:w="9495" w:type="dxa"/>
            <w:tcBorders>
              <w:top w:val="nil"/>
              <w:left w:val="nil"/>
              <w:bottom w:val="nil"/>
              <w:right w:val="nil"/>
            </w:tcBorders>
            <w:shd w:val="clear" w:color="auto" w:fill="FDEADA"/>
            <w:tcMar>
              <w:left w:w="340" w:type="dxa"/>
            </w:tcMar>
          </w:tcPr>
          <w:p w14:paraId="4AFCD71D" w14:textId="77777777" w:rsidR="0091097A" w:rsidRDefault="00000000">
            <w:pPr>
              <w:pStyle w:val="Nadpis3"/>
              <w:keepNext w:val="0"/>
              <w:widowControl w:val="0"/>
              <w:numPr>
                <w:ilvl w:val="1"/>
                <w:numId w:val="1"/>
              </w:numPr>
              <w:spacing w:after="240"/>
              <w:ind w:left="1134" w:hanging="1134"/>
              <w:rPr>
                <w:b/>
              </w:rPr>
            </w:pPr>
            <w:r>
              <w:rPr>
                <w:b/>
                <w:u w:val="none"/>
              </w:rPr>
              <w:t>Ostatní ustanovení k podání nabídek</w:t>
            </w:r>
          </w:p>
        </w:tc>
      </w:tr>
    </w:tbl>
    <w:p w14:paraId="7087DEBF"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Pokud dodavatel podá více nabídek samostatně nebo společně s jinými dodavateli, nebo podá nabídku a současně je osobou, jejímž prostřednictvím jiný účastník výběrového řízení v tomtéž výběrovém řízení prokazuje kvalifikaci, bude to považováno za nesplnění podmínek účasti ve výběrovém řízení.</w:t>
      </w:r>
    </w:p>
    <w:tbl>
      <w:tblPr>
        <w:tblStyle w:val="afd"/>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6E451381" w14:textId="77777777">
        <w:tc>
          <w:tcPr>
            <w:tcW w:w="9495" w:type="dxa"/>
            <w:tcBorders>
              <w:top w:val="nil"/>
              <w:left w:val="nil"/>
              <w:bottom w:val="nil"/>
              <w:right w:val="nil"/>
            </w:tcBorders>
            <w:shd w:val="clear" w:color="auto" w:fill="FBD5B5"/>
            <w:tcMar>
              <w:left w:w="340" w:type="dxa"/>
            </w:tcMar>
          </w:tcPr>
          <w:p w14:paraId="277929CB" w14:textId="77777777" w:rsidR="0091097A" w:rsidRDefault="00000000">
            <w:pPr>
              <w:pStyle w:val="Nadpis1"/>
              <w:keepNext w:val="0"/>
              <w:widowControl w:val="0"/>
              <w:spacing w:after="240"/>
              <w:ind w:left="573" w:hanging="573"/>
              <w:rPr>
                <w:sz w:val="24"/>
                <w:szCs w:val="24"/>
              </w:rPr>
            </w:pPr>
            <w:r>
              <w:rPr>
                <w:sz w:val="24"/>
                <w:szCs w:val="24"/>
              </w:rPr>
              <w:t>Otevírání nabídek</w:t>
            </w:r>
          </w:p>
        </w:tc>
      </w:tr>
    </w:tbl>
    <w:p w14:paraId="6B0A35FE"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Otevřením nabídky v elektronické podobě se rozumí zpřístupnění jejího obsahu zadavateli. Nabídky v elektronické podobě otevírá zadavatel po uplynutí lhůty pro podání nabídek.</w:t>
      </w:r>
    </w:p>
    <w:p w14:paraId="01C6547A"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O otevírání nabídek může zadavatel vyhotovit písemný protokol obdobně dle § 110 odst. 5 ZZVZ, který bude obsahovat alespoň identifikační údaje všech účastníků a údaje z jejich nabídek odpovídající číselně vyjádřitelným kritériím hodnocení.</w:t>
      </w:r>
    </w:p>
    <w:p w14:paraId="30A381E5"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Zadavatel si vyhrazuje právo účastníkům výběrového řízení zaslat anonymizovaný protokol. Každý účastník má právo požádat o uveřejnění anonymizovaného protokolu žádostí zaslanou zástupci zadavatele. Anonymizovaným protokolem se rozumí protokol bez uvedení informací, které by mohly vést k identifikaci účastníků zadávacího řízení.</w:t>
      </w:r>
    </w:p>
    <w:p w14:paraId="0BBB032A"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Zadavatel si vyhrazuje právo uveřejnit anonymizovaný protokol v sekci v detailu veřejné zakázky na profilu zadavatele. Každý účastník má právo požádat o uveřejnění anonymizovaného protokolu žádostí zaslanou zástupci zadavatele. Anonymizovaným protokolem se rozumí protokol o otevírání nabídek bez uvedení informací, které by mohly vést k identifikaci účastníků zadávacího řízení</w:t>
      </w:r>
    </w:p>
    <w:p w14:paraId="20752BFD" w14:textId="77777777" w:rsidR="0091097A" w:rsidRDefault="00000000">
      <w:pPr>
        <w:rPr>
          <w:rFonts w:ascii="Arial" w:eastAsia="Arial" w:hAnsi="Arial" w:cs="Arial"/>
        </w:rPr>
      </w:pPr>
      <w:r>
        <w:br w:type="page"/>
      </w:r>
    </w:p>
    <w:tbl>
      <w:tblPr>
        <w:tblStyle w:val="afe"/>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15C34303" w14:textId="77777777">
        <w:tc>
          <w:tcPr>
            <w:tcW w:w="9495" w:type="dxa"/>
            <w:tcBorders>
              <w:top w:val="nil"/>
              <w:left w:val="nil"/>
              <w:bottom w:val="nil"/>
              <w:right w:val="nil"/>
            </w:tcBorders>
            <w:shd w:val="clear" w:color="auto" w:fill="FBD5B5"/>
            <w:tcMar>
              <w:left w:w="340" w:type="dxa"/>
            </w:tcMar>
          </w:tcPr>
          <w:p w14:paraId="4A25588F" w14:textId="77777777" w:rsidR="0091097A" w:rsidRDefault="00000000">
            <w:pPr>
              <w:pStyle w:val="Nadpis1"/>
              <w:keepNext w:val="0"/>
              <w:widowControl w:val="0"/>
              <w:spacing w:after="240"/>
              <w:ind w:left="573" w:hanging="573"/>
              <w:rPr>
                <w:sz w:val="24"/>
                <w:szCs w:val="24"/>
              </w:rPr>
            </w:pPr>
            <w:r>
              <w:rPr>
                <w:sz w:val="24"/>
                <w:szCs w:val="24"/>
              </w:rPr>
              <w:lastRenderedPageBreak/>
              <w:t>Závěrečná ustanovení</w:t>
            </w:r>
          </w:p>
        </w:tc>
      </w:tr>
    </w:tbl>
    <w:p w14:paraId="7EEE947D" w14:textId="77777777" w:rsidR="0091097A" w:rsidRDefault="00000000">
      <w:pPr>
        <w:widowControl w:val="0"/>
        <w:spacing w:before="240" w:after="240" w:line="276" w:lineRule="auto"/>
        <w:jc w:val="both"/>
        <w:rPr>
          <w:rFonts w:ascii="Arial" w:eastAsia="Arial" w:hAnsi="Arial" w:cs="Arial"/>
        </w:rPr>
      </w:pPr>
      <w:bookmarkStart w:id="16" w:name="_heading=h.44sinio" w:colFirst="0" w:colLast="0"/>
      <w:bookmarkEnd w:id="16"/>
      <w:r>
        <w:rPr>
          <w:rFonts w:ascii="Arial" w:eastAsia="Arial" w:hAnsi="Arial" w:cs="Arial"/>
        </w:rPr>
        <w:t>Zadavatel v souladu s § 104 odst. 1 písm. e) ZZVZ požaduje, aby vybraný dodavatel jako podmínku pro uzavření smlouvy předložil:</w:t>
      </w:r>
    </w:p>
    <w:p w14:paraId="21C38DC7" w14:textId="77777777" w:rsidR="0091097A" w:rsidRDefault="00000000">
      <w:pPr>
        <w:widowControl w:val="0"/>
        <w:numPr>
          <w:ilvl w:val="0"/>
          <w:numId w:val="5"/>
        </w:numPr>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b/>
          <w:color w:val="FF0000"/>
        </w:rPr>
        <w:t>informace o tom, zda je malým či středním podnikem</w:t>
      </w:r>
      <w:r>
        <w:rPr>
          <w:rFonts w:ascii="Arial" w:eastAsia="Arial" w:hAnsi="Arial" w:cs="Arial"/>
          <w:color w:val="FF0000"/>
        </w:rPr>
        <w:t xml:space="preserve"> </w:t>
      </w:r>
      <w:r>
        <w:rPr>
          <w:rFonts w:ascii="Arial" w:eastAsia="Arial" w:hAnsi="Arial" w:cs="Arial"/>
          <w:color w:val="000000"/>
        </w:rPr>
        <w:t xml:space="preserve">ve smyslu Doporučení Komise ze dne 6. května 2003 týkající se definice mikropodniků, malých a středních podniků (oznámeno pod číslem dokumentu </w:t>
      </w:r>
      <w:proofErr w:type="gramStart"/>
      <w:r>
        <w:rPr>
          <w:rFonts w:ascii="Arial" w:eastAsia="Arial" w:hAnsi="Arial" w:cs="Arial"/>
          <w:color w:val="000000"/>
        </w:rPr>
        <w:t>C(</w:t>
      </w:r>
      <w:proofErr w:type="gramEnd"/>
      <w:r>
        <w:rPr>
          <w:rFonts w:ascii="Arial" w:eastAsia="Arial" w:hAnsi="Arial" w:cs="Arial"/>
          <w:color w:val="000000"/>
        </w:rPr>
        <w:t>2003) 1422) (</w:t>
      </w:r>
      <w:proofErr w:type="spellStart"/>
      <w:r>
        <w:rPr>
          <w:rFonts w:ascii="Arial" w:eastAsia="Arial" w:hAnsi="Arial" w:cs="Arial"/>
          <w:color w:val="000000"/>
        </w:rPr>
        <w:t>Úř</w:t>
      </w:r>
      <w:proofErr w:type="spellEnd"/>
      <w:r>
        <w:rPr>
          <w:rFonts w:ascii="Arial" w:eastAsia="Arial" w:hAnsi="Arial" w:cs="Arial"/>
          <w:color w:val="000000"/>
        </w:rPr>
        <w:t xml:space="preserve">. </w:t>
      </w:r>
      <w:proofErr w:type="spellStart"/>
      <w:r>
        <w:rPr>
          <w:rFonts w:ascii="Arial" w:eastAsia="Arial" w:hAnsi="Arial" w:cs="Arial"/>
          <w:color w:val="000000"/>
        </w:rPr>
        <w:t>věst</w:t>
      </w:r>
      <w:proofErr w:type="spellEnd"/>
      <w:r>
        <w:rPr>
          <w:rFonts w:ascii="Arial" w:eastAsia="Arial" w:hAnsi="Arial" w:cs="Arial"/>
          <w:color w:val="000000"/>
        </w:rPr>
        <w:t>. L 124, 20. 5. 2003, s. 36–41);</w:t>
      </w:r>
    </w:p>
    <w:p w14:paraId="6622C343" w14:textId="77777777" w:rsidR="0091097A" w:rsidRDefault="00000000">
      <w:pPr>
        <w:widowControl w:val="0"/>
        <w:numPr>
          <w:ilvl w:val="0"/>
          <w:numId w:val="5"/>
        </w:numPr>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b/>
          <w:color w:val="FF0000"/>
        </w:rPr>
        <w:t>prohlášení o splnění podmínek dotační výzvy</w:t>
      </w:r>
      <w:r>
        <w:rPr>
          <w:rFonts w:ascii="Arial" w:eastAsia="Arial" w:hAnsi="Arial" w:cs="Arial"/>
          <w:b/>
          <w:color w:val="000000"/>
        </w:rPr>
        <w:t xml:space="preserve">. </w:t>
      </w:r>
      <w:r>
        <w:rPr>
          <w:rFonts w:ascii="Arial" w:eastAsia="Arial" w:hAnsi="Arial" w:cs="Arial"/>
          <w:color w:val="000000"/>
        </w:rPr>
        <w:t>Vybraný dodavatel je povinen před uzavřením smlouvy předložit prohlášení požadované poskytovatelem dotace ke splnění technických specifikací realizovaného díla. Požadovaná prohlášení jsou přílohou č. 4 ZD;</w:t>
      </w:r>
    </w:p>
    <w:p w14:paraId="5EA9D57A" w14:textId="77777777" w:rsidR="0091097A" w:rsidRDefault="00000000">
      <w:pPr>
        <w:widowControl w:val="0"/>
        <w:numPr>
          <w:ilvl w:val="0"/>
          <w:numId w:val="5"/>
        </w:numPr>
        <w:pBdr>
          <w:top w:val="nil"/>
          <w:left w:val="nil"/>
          <w:bottom w:val="nil"/>
          <w:right w:val="nil"/>
          <w:between w:val="nil"/>
        </w:pBdr>
        <w:spacing w:before="240" w:after="240" w:line="276" w:lineRule="auto"/>
        <w:jc w:val="both"/>
        <w:rPr>
          <w:rFonts w:ascii="Arial" w:eastAsia="Arial" w:hAnsi="Arial" w:cs="Arial"/>
          <w:color w:val="000000"/>
        </w:rPr>
      </w:pPr>
      <w:r>
        <w:rPr>
          <w:rFonts w:ascii="Arial" w:eastAsia="Arial" w:hAnsi="Arial" w:cs="Arial"/>
          <w:b/>
          <w:color w:val="FF0000"/>
        </w:rPr>
        <w:t>technické listy a certifikáty</w:t>
      </w:r>
      <w:r>
        <w:rPr>
          <w:rFonts w:ascii="Arial" w:eastAsia="Arial" w:hAnsi="Arial" w:cs="Arial"/>
          <w:b/>
          <w:color w:val="000000"/>
        </w:rPr>
        <w:t xml:space="preserve"> </w:t>
      </w:r>
      <w:r>
        <w:rPr>
          <w:rFonts w:ascii="Arial" w:eastAsia="Arial" w:hAnsi="Arial" w:cs="Arial"/>
          <w:color w:val="000000"/>
        </w:rPr>
        <w:t>dodávaných zařízení, a to minimálně v rozsahu: FVE panely, měniče, elektrické akumulátory, nebyly-li již předloženy v předchozích fázích zadávacího řízení.</w:t>
      </w:r>
    </w:p>
    <w:p w14:paraId="346F97FE"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 xml:space="preserve">U vybraného dodavatele, je-li českou právnickou osobou, zadavatel zjistí údaje o jeho skutečném majiteli podle zákona o některých opatřeních proti legalizaci výnosů z trestné činnosti a financování terorismu (dále jen "skutečný majitel") z evidence údajů o skutečných majitelích podle zákona upravujícího veřejné rejstříky právnických a fyzických osob. Zjištěné údaje zadavatel uvede v dokumentaci o veřejné zakázce. Vybraného dodavatele, je-li zahraniční právnickou osobou, zadavatel vyzve k předložení výpisu ze zahraniční evidence obdobné evidenci skutečných majitelů nebo, není-li takové evidence ke sdělení ke sdělení identifikačních údajů všech osob, které jsou jeho skutečným majitelem a předložení příslušných dokladů. </w:t>
      </w:r>
    </w:p>
    <w:p w14:paraId="3826A99D" w14:textId="77777777" w:rsidR="0091097A" w:rsidRDefault="00000000">
      <w:pPr>
        <w:widowControl w:val="0"/>
        <w:spacing w:before="240" w:after="240" w:line="276" w:lineRule="auto"/>
        <w:jc w:val="both"/>
        <w:rPr>
          <w:rFonts w:ascii="Arial" w:eastAsia="Arial" w:hAnsi="Arial" w:cs="Arial"/>
        </w:rPr>
      </w:pPr>
      <w:r>
        <w:rPr>
          <w:rFonts w:ascii="Arial" w:eastAsia="Arial" w:hAnsi="Arial" w:cs="Arial"/>
        </w:rPr>
        <w:t>Náklady na vypracování nabídky zadavatel nehradí. Předložené nabídky zadavatel nevrací. Zadavatel si vyhrazuje právo před rozhodnutím o výběru dodavatele ověřit informace a skutečnosti deklarované účastníkem zadávacího řízení v jeho nabídce.</w:t>
      </w:r>
    </w:p>
    <w:tbl>
      <w:tblPr>
        <w:tblStyle w:val="aff"/>
        <w:tblW w:w="9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95"/>
      </w:tblGrid>
      <w:tr w:rsidR="0091097A" w14:paraId="167CEBC6" w14:textId="77777777">
        <w:tc>
          <w:tcPr>
            <w:tcW w:w="9495" w:type="dxa"/>
            <w:tcBorders>
              <w:top w:val="nil"/>
              <w:left w:val="nil"/>
              <w:bottom w:val="nil"/>
              <w:right w:val="nil"/>
            </w:tcBorders>
            <w:shd w:val="clear" w:color="auto" w:fill="FBD5B5"/>
            <w:tcMar>
              <w:left w:w="340" w:type="dxa"/>
            </w:tcMar>
          </w:tcPr>
          <w:p w14:paraId="3E45CAAC" w14:textId="77777777" w:rsidR="0091097A" w:rsidRDefault="00000000">
            <w:pPr>
              <w:pStyle w:val="Nadpis1"/>
              <w:keepNext w:val="0"/>
              <w:widowControl w:val="0"/>
              <w:spacing w:after="240"/>
              <w:ind w:left="573" w:hanging="573"/>
              <w:rPr>
                <w:sz w:val="24"/>
                <w:szCs w:val="24"/>
              </w:rPr>
            </w:pPr>
            <w:r>
              <w:rPr>
                <w:sz w:val="24"/>
                <w:szCs w:val="24"/>
              </w:rPr>
              <w:t>Přílohy výzvy k podání nabídek</w:t>
            </w:r>
          </w:p>
        </w:tc>
      </w:tr>
    </w:tbl>
    <w:p w14:paraId="516DC2C0" w14:textId="77777777" w:rsidR="0091097A" w:rsidRDefault="00000000">
      <w:pPr>
        <w:widowControl w:val="0"/>
        <w:numPr>
          <w:ilvl w:val="0"/>
          <w:numId w:val="7"/>
        </w:numPr>
        <w:pBdr>
          <w:top w:val="nil"/>
          <w:left w:val="nil"/>
          <w:bottom w:val="nil"/>
          <w:right w:val="nil"/>
          <w:between w:val="nil"/>
        </w:pBdr>
        <w:spacing w:before="240" w:line="276" w:lineRule="auto"/>
        <w:ind w:left="567" w:hanging="498"/>
        <w:jc w:val="both"/>
        <w:rPr>
          <w:rFonts w:ascii="Arial" w:eastAsia="Arial" w:hAnsi="Arial" w:cs="Arial"/>
          <w:color w:val="000000"/>
        </w:rPr>
      </w:pPr>
      <w:r>
        <w:rPr>
          <w:rFonts w:ascii="Arial" w:eastAsia="Arial" w:hAnsi="Arial" w:cs="Arial"/>
          <w:color w:val="000000"/>
        </w:rPr>
        <w:t>Vzor souhrnného prohlášení dodavatele</w:t>
      </w:r>
    </w:p>
    <w:p w14:paraId="7AD525F3" w14:textId="77777777" w:rsidR="0091097A" w:rsidRDefault="00000000">
      <w:pPr>
        <w:widowControl w:val="0"/>
        <w:numPr>
          <w:ilvl w:val="0"/>
          <w:numId w:val="7"/>
        </w:numPr>
        <w:pBdr>
          <w:top w:val="nil"/>
          <w:left w:val="nil"/>
          <w:bottom w:val="nil"/>
          <w:right w:val="nil"/>
          <w:between w:val="nil"/>
        </w:pBdr>
        <w:spacing w:line="276" w:lineRule="auto"/>
        <w:ind w:left="567" w:hanging="498"/>
        <w:jc w:val="both"/>
        <w:rPr>
          <w:rFonts w:ascii="Arial" w:eastAsia="Arial" w:hAnsi="Arial" w:cs="Arial"/>
          <w:color w:val="000000"/>
        </w:rPr>
      </w:pPr>
      <w:r>
        <w:rPr>
          <w:rFonts w:ascii="Arial" w:eastAsia="Arial" w:hAnsi="Arial" w:cs="Arial"/>
          <w:color w:val="000000"/>
        </w:rPr>
        <w:t xml:space="preserve">Návrh smlouvy </w:t>
      </w:r>
    </w:p>
    <w:p w14:paraId="5E1DD230" w14:textId="77777777" w:rsidR="0091097A" w:rsidRDefault="00000000">
      <w:pPr>
        <w:widowControl w:val="0"/>
        <w:numPr>
          <w:ilvl w:val="0"/>
          <w:numId w:val="7"/>
        </w:numPr>
        <w:pBdr>
          <w:top w:val="nil"/>
          <w:left w:val="nil"/>
          <w:bottom w:val="nil"/>
          <w:right w:val="nil"/>
          <w:between w:val="nil"/>
        </w:pBdr>
        <w:spacing w:line="276" w:lineRule="auto"/>
        <w:ind w:left="567" w:hanging="498"/>
        <w:jc w:val="both"/>
        <w:rPr>
          <w:rFonts w:ascii="Arial" w:eastAsia="Arial" w:hAnsi="Arial" w:cs="Arial"/>
          <w:color w:val="000000"/>
          <w:sz w:val="22"/>
          <w:szCs w:val="22"/>
        </w:rPr>
      </w:pPr>
      <w:r>
        <w:rPr>
          <w:rFonts w:ascii="Arial" w:eastAsia="Arial" w:hAnsi="Arial" w:cs="Arial"/>
          <w:color w:val="000000"/>
        </w:rPr>
        <w:t>Technická specifikace</w:t>
      </w:r>
    </w:p>
    <w:p w14:paraId="39155F78" w14:textId="77777777" w:rsidR="0091097A" w:rsidRDefault="00000000">
      <w:pPr>
        <w:widowControl w:val="0"/>
        <w:numPr>
          <w:ilvl w:val="0"/>
          <w:numId w:val="7"/>
        </w:numPr>
        <w:pBdr>
          <w:top w:val="nil"/>
          <w:left w:val="nil"/>
          <w:bottom w:val="nil"/>
          <w:right w:val="nil"/>
          <w:between w:val="nil"/>
        </w:pBdr>
        <w:spacing w:line="276" w:lineRule="auto"/>
        <w:ind w:left="567" w:hanging="498"/>
        <w:jc w:val="both"/>
        <w:rPr>
          <w:rFonts w:ascii="Arial" w:eastAsia="Arial" w:hAnsi="Arial" w:cs="Arial"/>
          <w:color w:val="000000"/>
          <w:sz w:val="22"/>
          <w:szCs w:val="22"/>
        </w:rPr>
      </w:pPr>
      <w:bookmarkStart w:id="17" w:name="_heading=h.2jxsxqh" w:colFirst="0" w:colLast="0"/>
      <w:bookmarkEnd w:id="17"/>
      <w:r>
        <w:rPr>
          <w:rFonts w:ascii="Arial" w:eastAsia="Arial" w:hAnsi="Arial" w:cs="Arial"/>
          <w:color w:val="000000"/>
        </w:rPr>
        <w:t>Prohlášení o splnění podmínek dotační výzvy</w:t>
      </w:r>
    </w:p>
    <w:sectPr w:rsidR="0091097A">
      <w:headerReference w:type="even" r:id="rId11"/>
      <w:headerReference w:type="default" r:id="rId12"/>
      <w:footerReference w:type="even" r:id="rId13"/>
      <w:footerReference w:type="default" r:id="rId14"/>
      <w:headerReference w:type="first" r:id="rId15"/>
      <w:footerReference w:type="first" r:id="rId16"/>
      <w:pgSz w:w="11905" w:h="16837"/>
      <w:pgMar w:top="1077" w:right="1134" w:bottom="1077" w:left="1276" w:header="709" w:footer="737"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FD8E3" w14:textId="77777777" w:rsidR="00013664" w:rsidRDefault="00013664">
      <w:r>
        <w:separator/>
      </w:r>
    </w:p>
  </w:endnote>
  <w:endnote w:type="continuationSeparator" w:id="0">
    <w:p w14:paraId="49629DF1" w14:textId="77777777" w:rsidR="00013664" w:rsidRDefault="00013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05964406-D734-F640-81D2-23CD14168F88}"/>
  </w:font>
  <w:font w:name="Courier New">
    <w:panose1 w:val="02070309020205020404"/>
    <w:charset w:val="00"/>
    <w:family w:val="modern"/>
    <w:pitch w:val="fixed"/>
    <w:sig w:usb0="E0002AFF" w:usb1="C0007843" w:usb2="00000009" w:usb3="00000000" w:csb0="000001FF" w:csb1="00000000"/>
    <w:embedRegular r:id="rId2" w:fontKey="{A6FC418E-8B70-1F44-9D48-84649B5541D0}"/>
  </w:font>
  <w:font w:name="Arial">
    <w:panose1 w:val="020B0604020202020204"/>
    <w:charset w:val="00"/>
    <w:family w:val="swiss"/>
    <w:pitch w:val="variable"/>
    <w:sig w:usb0="E0002AFF" w:usb1="C0007843" w:usb2="00000009" w:usb3="00000000" w:csb0="000001FF" w:csb1="00000000"/>
    <w:embedRegular r:id="rId3" w:fontKey="{2A446E74-4204-A547-89FB-2E1EF6419930}"/>
    <w:embedBold r:id="rId4" w:fontKey="{F89C84A0-3D39-CA47-9C35-CEDBB71F492A}"/>
  </w:font>
  <w:font w:name="Times New Roman">
    <w:panose1 w:val="02020603050405020304"/>
    <w:charset w:val="00"/>
    <w:family w:val="roman"/>
    <w:pitch w:val="variable"/>
    <w:sig w:usb0="E0002EFF" w:usb1="C000785B" w:usb2="00000009" w:usb3="00000000" w:csb0="000001FF" w:csb1="00000000"/>
    <w:embedRegular r:id="rId5" w:fontKey="{1EB7995D-7B93-D648-ABFB-4E8EAE4C2C5B}"/>
    <w:embedBold r:id="rId6" w:fontKey="{D4CB0072-71DB-8B45-ADFC-432EFCAB7612}"/>
    <w:embedItalic r:id="rId7" w:fontKey="{21F1AA9A-5814-3148-8F8E-C333476C1A06}"/>
  </w:font>
  <w:font w:name="Calibri">
    <w:panose1 w:val="020F0502020204030204"/>
    <w:charset w:val="00"/>
    <w:family w:val="swiss"/>
    <w:pitch w:val="variable"/>
    <w:sig w:usb0="E0002AFF" w:usb1="C000247B" w:usb2="00000009" w:usb3="00000000" w:csb0="000001FF" w:csb1="00000000"/>
    <w:embedRegular r:id="rId8" w:fontKey="{FF7CB15F-0AD3-A240-B87C-4FFB2902CE0A}"/>
    <w:embedBold r:id="rId9" w:fontKey="{04679041-B604-9840-A13E-5CD43603E0B8}"/>
  </w:font>
  <w:font w:name="Wingdings">
    <w:panose1 w:val="05000000000000000000"/>
    <w:charset w:val="00"/>
    <w:family w:val="decorative"/>
    <w:pitch w:val="variable"/>
    <w:sig w:usb0="00000003" w:usb1="00000000" w:usb2="00000000" w:usb3="00000000" w:csb0="80000001" w:csb1="00000000"/>
    <w:embedRegular r:id="rId10" w:fontKey="{1171F38B-747C-CF49-B12A-08839A0F231D}"/>
  </w:font>
  <w:font w:name="Symbol">
    <w:panose1 w:val="05050102010706020507"/>
    <w:charset w:val="02"/>
    <w:family w:val="decorative"/>
    <w:pitch w:val="variable"/>
    <w:sig w:usb0="00000000" w:usb1="10000000" w:usb2="00000000" w:usb3="00000000" w:csb0="80000000" w:csb1="00000000"/>
    <w:embedRegular r:id="rId11" w:fontKey="{B7EC887A-E5CF-0E44-9EE2-3DCEA2269B48}"/>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embedRegular r:id="rId12" w:fontKey="{4770DC73-0B1C-2145-A026-5025287413DF}"/>
    <w:embedItalic r:id="rId13" w:fontKey="{5D0B32F7-D145-3841-A0A8-60EF82D5F8FD}"/>
  </w:font>
  <w:font w:name="Verdana">
    <w:panose1 w:val="020B0604030504040204"/>
    <w:charset w:val="00"/>
    <w:family w:val="swiss"/>
    <w:pitch w:val="variable"/>
    <w:sig w:usb0="A10006FF" w:usb1="4000205B" w:usb2="00000010" w:usb3="00000000" w:csb0="0000019F" w:csb1="00000000"/>
    <w:embedRegular r:id="rId14" w:fontKey="{FBFF6C5A-1850-D946-8711-C78214CECA6B}"/>
  </w:font>
  <w:font w:name="Times New Roman Bold">
    <w:panose1 w:val="020B0604020202020204"/>
    <w:charset w:val="00"/>
    <w:family w:val="roman"/>
    <w:notTrueType/>
    <w:pitch w:val="default"/>
  </w:font>
  <w:font w:name="Consolas">
    <w:panose1 w:val="020B0609020204030204"/>
    <w:charset w:val="00"/>
    <w:family w:val="modern"/>
    <w:pitch w:val="fixed"/>
    <w:sig w:usb0="E10002FF" w:usb1="4000FCFF" w:usb2="00000009" w:usb3="00000000" w:csb0="0000019F" w:csb1="00000000"/>
    <w:embedRegular r:id="rId16" w:fontKey="{300844AA-18A7-4540-AB11-9BBFCCA12182}"/>
  </w:font>
  <w:font w:name="Cambria">
    <w:panose1 w:val="02040503050406030204"/>
    <w:charset w:val="00"/>
    <w:family w:val="roman"/>
    <w:pitch w:val="variable"/>
    <w:sig w:usb0="E00002FF" w:usb1="400004FF" w:usb2="00000000" w:usb3="00000000" w:csb0="0000019F" w:csb1="00000000"/>
    <w:embedRegular r:id="rId17" w:fontKey="{8FAC3EE9-1EDC-B64E-A512-34C1DD2185AC}"/>
    <w:embedBold r:id="rId18" w:fontKey="{A4C3446D-127E-5748-AE5E-950DDEFF6F17}"/>
  </w:font>
  <w:font w:name="JohnSans Text Pro">
    <w:altName w:val="Cambria"/>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22" w:fontKey="{E53C7054-1BA8-174D-90FB-22CC74B0A530}"/>
    <w:embedItalic r:id="rId23" w:fontKey="{1A736634-BD24-3547-A50E-B871DA67617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9A78B" w14:textId="77777777" w:rsidR="0091097A" w:rsidRDefault="0091097A">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878BC" w14:textId="77777777" w:rsidR="0091097A" w:rsidRDefault="0091097A">
    <w:pPr>
      <w:pBdr>
        <w:top w:val="nil"/>
        <w:left w:val="nil"/>
        <w:bottom w:val="nil"/>
        <w:right w:val="nil"/>
        <w:between w:val="nil"/>
      </w:pBdr>
      <w:tabs>
        <w:tab w:val="center" w:pos="4536"/>
        <w:tab w:val="right" w:pos="9072"/>
      </w:tabs>
      <w:jc w:val="right"/>
      <w:rPr>
        <w:color w:val="000000"/>
      </w:rPr>
    </w:pPr>
  </w:p>
  <w:p w14:paraId="3E7C72FB" w14:textId="4E743062" w:rsidR="0091097A" w:rsidRDefault="00000000">
    <w:pPr>
      <w:pBdr>
        <w:top w:val="nil"/>
        <w:left w:val="nil"/>
        <w:bottom w:val="nil"/>
        <w:right w:val="nil"/>
        <w:between w:val="nil"/>
      </w:pBdr>
      <w:tabs>
        <w:tab w:val="center" w:pos="4536"/>
        <w:tab w:val="right" w:pos="9072"/>
      </w:tabs>
      <w:jc w:val="right"/>
      <w:rPr>
        <w:rFonts w:ascii="Arial" w:eastAsia="Arial" w:hAnsi="Arial" w:cs="Arial"/>
        <w:color w:val="000000"/>
        <w:sz w:val="16"/>
        <w:szCs w:val="16"/>
      </w:rPr>
    </w:pP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4F51AE">
      <w:rPr>
        <w:rFonts w:ascii="Arial" w:eastAsia="Arial" w:hAnsi="Arial" w:cs="Arial"/>
        <w:noProof/>
        <w:color w:val="000000"/>
        <w:sz w:val="16"/>
        <w:szCs w:val="16"/>
      </w:rPr>
      <w:t>2</w:t>
    </w:r>
    <w:r>
      <w:rPr>
        <w:rFonts w:ascii="Arial" w:eastAsia="Arial" w:hAnsi="Arial" w:cs="Arial"/>
        <w:color w:val="000000"/>
        <w:sz w:val="16"/>
        <w:szCs w:val="16"/>
      </w:rPr>
      <w:fldChar w:fldCharType="end"/>
    </w:r>
  </w:p>
  <w:p w14:paraId="4753CC61" w14:textId="77777777" w:rsidR="0091097A" w:rsidRDefault="0091097A">
    <w:pPr>
      <w:pBdr>
        <w:top w:val="nil"/>
        <w:left w:val="nil"/>
        <w:bottom w:val="nil"/>
        <w:right w:val="nil"/>
        <w:between w:val="nil"/>
      </w:pBdr>
      <w:tabs>
        <w:tab w:val="center" w:pos="4536"/>
        <w:tab w:val="right" w:pos="9072"/>
      </w:tabs>
      <w:ind w:right="-3"/>
      <w:jc w:val="center"/>
      <w:rPr>
        <w:rFonts w:ascii="Verdana" w:eastAsia="Verdana" w:hAnsi="Verdana" w:cs="Verdana"/>
        <w:color w:val="000000"/>
        <w:sz w:val="18"/>
        <w:szCs w:val="18"/>
      </w:rPr>
    </w:pPr>
  </w:p>
  <w:p w14:paraId="74D48871" w14:textId="77777777" w:rsidR="0091097A" w:rsidRDefault="0091097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AD30" w14:textId="77777777" w:rsidR="0091097A" w:rsidRDefault="0091097A">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20BE3" w14:textId="77777777" w:rsidR="00013664" w:rsidRDefault="00013664">
      <w:r>
        <w:separator/>
      </w:r>
    </w:p>
  </w:footnote>
  <w:footnote w:type="continuationSeparator" w:id="0">
    <w:p w14:paraId="5CC839EF" w14:textId="77777777" w:rsidR="00013664" w:rsidRDefault="00013664">
      <w:r>
        <w:continuationSeparator/>
      </w:r>
    </w:p>
  </w:footnote>
  <w:footnote w:id="1">
    <w:p w14:paraId="1CCFE030" w14:textId="77777777" w:rsidR="0091097A" w:rsidRDefault="00000000">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sz w:val="16"/>
          <w:szCs w:val="16"/>
        </w:rPr>
        <w:t xml:space="preserve"> </w:t>
      </w:r>
      <w:hyperlink r:id="rId1">
        <w:r>
          <w:rPr>
            <w:rFonts w:ascii="Arial" w:eastAsia="Arial" w:hAnsi="Arial" w:cs="Arial"/>
            <w:color w:val="0000FF"/>
            <w:sz w:val="16"/>
            <w:szCs w:val="16"/>
            <w:u w:val="single"/>
          </w:rPr>
          <w:t>https://eur-lex.europa.eu/CS/legal-content/summary/common-procurement-vocabulary.html</w:t>
        </w:r>
      </w:hyperlink>
      <w:r>
        <w:rPr>
          <w:rFonts w:ascii="Arial" w:eastAsia="Arial" w:hAnsi="Arial" w:cs="Arial"/>
          <w:color w:val="000000"/>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0B3C7" w14:textId="77777777" w:rsidR="0091097A" w:rsidRDefault="0091097A">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DDC39" w14:textId="77777777" w:rsidR="0091097A" w:rsidRDefault="0091097A">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CBFB" w14:textId="77777777" w:rsidR="0091097A" w:rsidRDefault="00000000">
    <w:pPr>
      <w:pBdr>
        <w:top w:val="nil"/>
        <w:left w:val="nil"/>
        <w:bottom w:val="nil"/>
        <w:right w:val="nil"/>
        <w:between w:val="nil"/>
      </w:pBdr>
      <w:tabs>
        <w:tab w:val="center" w:pos="4536"/>
        <w:tab w:val="right" w:pos="9072"/>
      </w:tabs>
      <w:rPr>
        <w:color w:val="000000"/>
      </w:rPr>
    </w:pPr>
    <w:r>
      <w:rPr>
        <w:noProof/>
        <w:color w:val="000000"/>
      </w:rPr>
      <w:drawing>
        <wp:inline distT="0" distB="0" distL="0" distR="0" wp14:anchorId="093C8B49" wp14:editId="72B82DEF">
          <wp:extent cx="6029325" cy="89535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029325" cy="8953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03AE9"/>
    <w:multiLevelType w:val="multilevel"/>
    <w:tmpl w:val="71AC403A"/>
    <w:lvl w:ilvl="0">
      <w:start w:val="1"/>
      <w:numFmt w:val="lowerLetter"/>
      <w:pStyle w:val="cislovani1"/>
      <w:lvlText w:val="%1)"/>
      <w:lvlJc w:val="left"/>
      <w:pPr>
        <w:ind w:left="1494" w:hanging="360"/>
      </w:pPr>
    </w:lvl>
    <w:lvl w:ilvl="1">
      <w:start w:val="1"/>
      <w:numFmt w:val="lowerLetter"/>
      <w:pStyle w:val="Nadpis2"/>
      <w:lvlText w:val="%2."/>
      <w:lvlJc w:val="left"/>
      <w:pPr>
        <w:ind w:left="2214" w:hanging="360"/>
      </w:pPr>
    </w:lvl>
    <w:lvl w:ilvl="2">
      <w:start w:val="1"/>
      <w:numFmt w:val="lowerRoman"/>
      <w:pStyle w:val="Cislovani3"/>
      <w:lvlText w:val="%3."/>
      <w:lvlJc w:val="right"/>
      <w:pPr>
        <w:ind w:left="2934" w:hanging="180"/>
      </w:pPr>
    </w:lvl>
    <w:lvl w:ilvl="3">
      <w:start w:val="1"/>
      <w:numFmt w:val="decimal"/>
      <w:pStyle w:val="Cislovani4"/>
      <w:lvlText w:val="%4."/>
      <w:lvlJc w:val="left"/>
      <w:pPr>
        <w:ind w:left="3654" w:hanging="360"/>
      </w:pPr>
    </w:lvl>
    <w:lvl w:ilvl="4">
      <w:start w:val="1"/>
      <w:numFmt w:val="lowerLetter"/>
      <w:pStyle w:val="Cislovani4text"/>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 w15:restartNumberingAfterBreak="0">
    <w:nsid w:val="12E74E9C"/>
    <w:multiLevelType w:val="multilevel"/>
    <w:tmpl w:val="E15289F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7ED1371"/>
    <w:multiLevelType w:val="multilevel"/>
    <w:tmpl w:val="00E24C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E51F54"/>
    <w:multiLevelType w:val="multilevel"/>
    <w:tmpl w:val="31A04C5C"/>
    <w:lvl w:ilvl="0">
      <w:start w:val="1"/>
      <w:numFmt w:val="decimal"/>
      <w:lvlText w:val="%1."/>
      <w:lvlJc w:val="left"/>
      <w:pPr>
        <w:ind w:left="933" w:hanging="360"/>
      </w:pPr>
    </w:lvl>
    <w:lvl w:ilvl="1">
      <w:start w:val="1"/>
      <w:numFmt w:val="lowerLetter"/>
      <w:lvlText w:val="%2."/>
      <w:lvlJc w:val="left"/>
      <w:pPr>
        <w:ind w:left="1653" w:hanging="360"/>
      </w:pPr>
    </w:lvl>
    <w:lvl w:ilvl="2">
      <w:start w:val="1"/>
      <w:numFmt w:val="lowerRoman"/>
      <w:lvlText w:val="%3."/>
      <w:lvlJc w:val="right"/>
      <w:pPr>
        <w:ind w:left="2373" w:hanging="180"/>
      </w:pPr>
    </w:lvl>
    <w:lvl w:ilvl="3">
      <w:start w:val="1"/>
      <w:numFmt w:val="decimal"/>
      <w:lvlText w:val="%4."/>
      <w:lvlJc w:val="left"/>
      <w:pPr>
        <w:ind w:left="3093" w:hanging="360"/>
      </w:pPr>
    </w:lvl>
    <w:lvl w:ilvl="4">
      <w:start w:val="1"/>
      <w:numFmt w:val="lowerLetter"/>
      <w:lvlText w:val="%5."/>
      <w:lvlJc w:val="left"/>
      <w:pPr>
        <w:ind w:left="3813" w:hanging="360"/>
      </w:pPr>
    </w:lvl>
    <w:lvl w:ilvl="5">
      <w:start w:val="1"/>
      <w:numFmt w:val="lowerRoman"/>
      <w:lvlText w:val="%6."/>
      <w:lvlJc w:val="right"/>
      <w:pPr>
        <w:ind w:left="4533" w:hanging="180"/>
      </w:pPr>
    </w:lvl>
    <w:lvl w:ilvl="6">
      <w:start w:val="1"/>
      <w:numFmt w:val="decimal"/>
      <w:lvlText w:val="%7."/>
      <w:lvlJc w:val="left"/>
      <w:pPr>
        <w:ind w:left="5253" w:hanging="360"/>
      </w:pPr>
    </w:lvl>
    <w:lvl w:ilvl="7">
      <w:start w:val="1"/>
      <w:numFmt w:val="lowerLetter"/>
      <w:lvlText w:val="%8."/>
      <w:lvlJc w:val="left"/>
      <w:pPr>
        <w:ind w:left="5973" w:hanging="360"/>
      </w:pPr>
    </w:lvl>
    <w:lvl w:ilvl="8">
      <w:start w:val="1"/>
      <w:numFmt w:val="lowerRoman"/>
      <w:lvlText w:val="%9."/>
      <w:lvlJc w:val="right"/>
      <w:pPr>
        <w:ind w:left="6693" w:hanging="180"/>
      </w:pPr>
    </w:lvl>
  </w:abstractNum>
  <w:abstractNum w:abstractNumId="4" w15:restartNumberingAfterBreak="0">
    <w:nsid w:val="35251650"/>
    <w:multiLevelType w:val="multilevel"/>
    <w:tmpl w:val="86503BCC"/>
    <w:lvl w:ilvl="0">
      <w:start w:val="1"/>
      <w:numFmt w:val="decimal"/>
      <w:pStyle w:val="Nadpis1"/>
      <w:lvlText w:val="%1"/>
      <w:lvlJc w:val="left"/>
      <w:pPr>
        <w:ind w:left="574" w:hanging="432"/>
      </w:pPr>
      <w:rPr>
        <w:rFonts w:ascii="Arial" w:eastAsia="Arial" w:hAnsi="Arial" w:cs="Arial"/>
        <w:b/>
        <w:i w:val="0"/>
        <w:smallCaps w:val="0"/>
        <w:strike w:val="0"/>
        <w:color w:val="000000"/>
        <w:sz w:val="24"/>
        <w:szCs w:val="24"/>
        <w:u w:val="none"/>
        <w:vertAlign w:val="baseline"/>
      </w:rPr>
    </w:lvl>
    <w:lvl w:ilvl="1">
      <w:start w:val="1"/>
      <w:numFmt w:val="decimal"/>
      <w:lvlText w:val="%1.%2"/>
      <w:lvlJc w:val="left"/>
      <w:pPr>
        <w:ind w:left="1002" w:hanging="576"/>
      </w:pPr>
      <w:rPr>
        <w:rFonts w:ascii="Arial" w:eastAsia="Arial" w:hAnsi="Arial" w:cs="Arial"/>
        <w:b/>
        <w:i w:val="0"/>
        <w:sz w:val="20"/>
        <w:szCs w:val="20"/>
      </w:rPr>
    </w:lvl>
    <w:lvl w:ilvl="2">
      <w:start w:val="1"/>
      <w:numFmt w:val="decimal"/>
      <w:pStyle w:val="Nadpis3"/>
      <w:lvlText w:val="%1.%2.%3"/>
      <w:lvlJc w:val="left"/>
      <w:pPr>
        <w:ind w:left="720" w:hanging="720"/>
      </w:pPr>
      <w:rPr>
        <w:u w:val="none"/>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5" w15:restartNumberingAfterBreak="0">
    <w:nsid w:val="48C745CA"/>
    <w:multiLevelType w:val="multilevel"/>
    <w:tmpl w:val="48E87A7C"/>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6" w15:restartNumberingAfterBreak="0">
    <w:nsid w:val="5F7E36AE"/>
    <w:multiLevelType w:val="multilevel"/>
    <w:tmpl w:val="BBF4FBD2"/>
    <w:lvl w:ilvl="0">
      <w:start w:val="1"/>
      <w:numFmt w:val="bullet"/>
      <w:lvlText w:val="●"/>
      <w:lvlJc w:val="left"/>
      <w:pPr>
        <w:ind w:left="1854" w:hanging="360"/>
      </w:pPr>
      <w:rPr>
        <w:rFonts w:ascii="Noto Sans Symbols" w:eastAsia="Noto Sans Symbols" w:hAnsi="Noto Sans Symbols" w:cs="Noto Sans Symbols"/>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7" w15:restartNumberingAfterBreak="0">
    <w:nsid w:val="7FDB4D74"/>
    <w:multiLevelType w:val="multilevel"/>
    <w:tmpl w:val="2594E788"/>
    <w:lvl w:ilvl="0">
      <w:start w:val="1"/>
      <w:numFmt w:val="bullet"/>
      <w:lvlText w:val="●"/>
      <w:lvlJc w:val="left"/>
      <w:pPr>
        <w:ind w:left="1222" w:hanging="360"/>
      </w:pPr>
      <w:rPr>
        <w:rFonts w:ascii="Noto Sans Symbols" w:eastAsia="Noto Sans Symbols" w:hAnsi="Noto Sans Symbols" w:cs="Noto Sans Symbols"/>
      </w:rPr>
    </w:lvl>
    <w:lvl w:ilvl="1">
      <w:start w:val="1"/>
      <w:numFmt w:val="bullet"/>
      <w:lvlText w:val="o"/>
      <w:lvlJc w:val="left"/>
      <w:pPr>
        <w:ind w:left="1942" w:hanging="360"/>
      </w:pPr>
      <w:rPr>
        <w:rFonts w:ascii="Courier New" w:eastAsia="Courier New" w:hAnsi="Courier New" w:cs="Courier New"/>
      </w:rPr>
    </w:lvl>
    <w:lvl w:ilvl="2">
      <w:start w:val="1"/>
      <w:numFmt w:val="bullet"/>
      <w:lvlText w:val="▪"/>
      <w:lvlJc w:val="left"/>
      <w:pPr>
        <w:ind w:left="2662" w:hanging="360"/>
      </w:pPr>
      <w:rPr>
        <w:rFonts w:ascii="Noto Sans Symbols" w:eastAsia="Noto Sans Symbols" w:hAnsi="Noto Sans Symbols" w:cs="Noto Sans Symbols"/>
      </w:rPr>
    </w:lvl>
    <w:lvl w:ilvl="3">
      <w:start w:val="1"/>
      <w:numFmt w:val="bullet"/>
      <w:lvlText w:val="●"/>
      <w:lvlJc w:val="left"/>
      <w:pPr>
        <w:ind w:left="3382" w:hanging="360"/>
      </w:pPr>
      <w:rPr>
        <w:rFonts w:ascii="Noto Sans Symbols" w:eastAsia="Noto Sans Symbols" w:hAnsi="Noto Sans Symbols" w:cs="Noto Sans Symbols"/>
      </w:rPr>
    </w:lvl>
    <w:lvl w:ilvl="4">
      <w:start w:val="1"/>
      <w:numFmt w:val="bullet"/>
      <w:lvlText w:val="o"/>
      <w:lvlJc w:val="left"/>
      <w:pPr>
        <w:ind w:left="4102" w:hanging="360"/>
      </w:pPr>
      <w:rPr>
        <w:rFonts w:ascii="Courier New" w:eastAsia="Courier New" w:hAnsi="Courier New" w:cs="Courier New"/>
      </w:rPr>
    </w:lvl>
    <w:lvl w:ilvl="5">
      <w:start w:val="1"/>
      <w:numFmt w:val="bullet"/>
      <w:lvlText w:val="▪"/>
      <w:lvlJc w:val="left"/>
      <w:pPr>
        <w:ind w:left="4822" w:hanging="360"/>
      </w:pPr>
      <w:rPr>
        <w:rFonts w:ascii="Noto Sans Symbols" w:eastAsia="Noto Sans Symbols" w:hAnsi="Noto Sans Symbols" w:cs="Noto Sans Symbols"/>
      </w:rPr>
    </w:lvl>
    <w:lvl w:ilvl="6">
      <w:start w:val="1"/>
      <w:numFmt w:val="bullet"/>
      <w:lvlText w:val="●"/>
      <w:lvlJc w:val="left"/>
      <w:pPr>
        <w:ind w:left="5542" w:hanging="360"/>
      </w:pPr>
      <w:rPr>
        <w:rFonts w:ascii="Noto Sans Symbols" w:eastAsia="Noto Sans Symbols" w:hAnsi="Noto Sans Symbols" w:cs="Noto Sans Symbols"/>
      </w:rPr>
    </w:lvl>
    <w:lvl w:ilvl="7">
      <w:start w:val="1"/>
      <w:numFmt w:val="bullet"/>
      <w:lvlText w:val="o"/>
      <w:lvlJc w:val="left"/>
      <w:pPr>
        <w:ind w:left="6262" w:hanging="360"/>
      </w:pPr>
      <w:rPr>
        <w:rFonts w:ascii="Courier New" w:eastAsia="Courier New" w:hAnsi="Courier New" w:cs="Courier New"/>
      </w:rPr>
    </w:lvl>
    <w:lvl w:ilvl="8">
      <w:start w:val="1"/>
      <w:numFmt w:val="bullet"/>
      <w:lvlText w:val="▪"/>
      <w:lvlJc w:val="left"/>
      <w:pPr>
        <w:ind w:left="6982" w:hanging="360"/>
      </w:pPr>
      <w:rPr>
        <w:rFonts w:ascii="Noto Sans Symbols" w:eastAsia="Noto Sans Symbols" w:hAnsi="Noto Sans Symbols" w:cs="Noto Sans Symbols"/>
      </w:rPr>
    </w:lvl>
  </w:abstractNum>
  <w:num w:numId="1" w16cid:durableId="803543479">
    <w:abstractNumId w:val="4"/>
  </w:num>
  <w:num w:numId="2" w16cid:durableId="1575819263">
    <w:abstractNumId w:val="2"/>
  </w:num>
  <w:num w:numId="3" w16cid:durableId="1018889532">
    <w:abstractNumId w:val="0"/>
  </w:num>
  <w:num w:numId="4" w16cid:durableId="1389379475">
    <w:abstractNumId w:val="6"/>
  </w:num>
  <w:num w:numId="5" w16cid:durableId="1896770113">
    <w:abstractNumId w:val="1"/>
  </w:num>
  <w:num w:numId="6" w16cid:durableId="672535482">
    <w:abstractNumId w:val="7"/>
  </w:num>
  <w:num w:numId="7" w16cid:durableId="385299932">
    <w:abstractNumId w:val="3"/>
  </w:num>
  <w:num w:numId="8" w16cid:durableId="21408057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9"/>
  <w:displayBackgroundShape/>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97A"/>
    <w:rsid w:val="00013664"/>
    <w:rsid w:val="00280CB6"/>
    <w:rsid w:val="003A3B1F"/>
    <w:rsid w:val="004F51AE"/>
    <w:rsid w:val="006545A5"/>
    <w:rsid w:val="0091097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8E39B4"/>
  <w15:docId w15:val="{1E9F2509-B1A8-EC45-B1C7-56152F1FB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27E68"/>
    <w:pPr>
      <w:suppressAutoHyphens/>
    </w:pPr>
    <w:rPr>
      <w:lang w:eastAsia="ar-SA"/>
    </w:rPr>
  </w:style>
  <w:style w:type="paragraph" w:styleId="Nadpis1">
    <w:name w:val="heading 1"/>
    <w:basedOn w:val="Normln"/>
    <w:next w:val="Normln"/>
    <w:link w:val="Nadpis1Char"/>
    <w:uiPriority w:val="9"/>
    <w:qFormat/>
    <w:rsid w:val="00664EE6"/>
    <w:pPr>
      <w:keepNext/>
      <w:numPr>
        <w:numId w:val="1"/>
      </w:numPr>
      <w:spacing w:before="240" w:after="60"/>
      <w:outlineLvl w:val="0"/>
    </w:pPr>
    <w:rPr>
      <w:rFonts w:ascii="Arial" w:hAnsi="Arial" w:cs="Arial"/>
      <w:b/>
      <w:bCs/>
      <w:kern w:val="1"/>
      <w:sz w:val="22"/>
      <w:szCs w:val="32"/>
    </w:rPr>
  </w:style>
  <w:style w:type="paragraph" w:styleId="Nadpis2">
    <w:name w:val="heading 2"/>
    <w:basedOn w:val="Cislovani2"/>
    <w:next w:val="Normln"/>
    <w:link w:val="Nadpis2Char"/>
    <w:uiPriority w:val="9"/>
    <w:unhideWhenUsed/>
    <w:qFormat/>
    <w:rsid w:val="004633DD"/>
    <w:pPr>
      <w:spacing w:line="276" w:lineRule="auto"/>
      <w:ind w:left="1002"/>
      <w:outlineLvl w:val="1"/>
    </w:pPr>
    <w:rPr>
      <w:rFonts w:ascii="Calibri" w:hAnsi="Calibri"/>
      <w:b/>
      <w:color w:val="000000"/>
      <w:sz w:val="22"/>
      <w:szCs w:val="22"/>
    </w:rPr>
  </w:style>
  <w:style w:type="paragraph" w:styleId="Nadpis3">
    <w:name w:val="heading 3"/>
    <w:basedOn w:val="Normln"/>
    <w:next w:val="Normln"/>
    <w:link w:val="Nadpis3Char"/>
    <w:uiPriority w:val="9"/>
    <w:unhideWhenUsed/>
    <w:qFormat/>
    <w:rsid w:val="00664EE6"/>
    <w:pPr>
      <w:keepNext/>
      <w:numPr>
        <w:ilvl w:val="2"/>
        <w:numId w:val="1"/>
      </w:numPr>
      <w:spacing w:before="240" w:after="60"/>
      <w:outlineLvl w:val="2"/>
    </w:pPr>
    <w:rPr>
      <w:rFonts w:ascii="Arial" w:hAnsi="Arial" w:cs="Arial"/>
      <w:bCs/>
      <w:szCs w:val="26"/>
      <w:u w:val="single"/>
    </w:rPr>
  </w:style>
  <w:style w:type="paragraph" w:styleId="Nadpis4">
    <w:name w:val="heading 4"/>
    <w:basedOn w:val="Normln"/>
    <w:next w:val="Normln"/>
    <w:link w:val="Nadpis4Char"/>
    <w:uiPriority w:val="9"/>
    <w:semiHidden/>
    <w:unhideWhenUsed/>
    <w:qFormat/>
    <w:rsid w:val="00664EE6"/>
    <w:pPr>
      <w:keepNext/>
      <w:numPr>
        <w:ilvl w:val="3"/>
        <w:numId w:val="1"/>
      </w:numPr>
      <w:spacing w:before="240" w:after="60"/>
      <w:outlineLvl w:val="3"/>
    </w:pPr>
    <w:rPr>
      <w:b/>
      <w:bCs/>
      <w:sz w:val="28"/>
      <w:szCs w:val="28"/>
    </w:rPr>
  </w:style>
  <w:style w:type="paragraph" w:styleId="Nadpis5">
    <w:name w:val="heading 5"/>
    <w:basedOn w:val="Normln"/>
    <w:next w:val="Normln"/>
    <w:link w:val="Nadpis5Char"/>
    <w:uiPriority w:val="9"/>
    <w:semiHidden/>
    <w:unhideWhenUsed/>
    <w:qFormat/>
    <w:rsid w:val="00664EE6"/>
    <w:pPr>
      <w:keepNext/>
      <w:numPr>
        <w:ilvl w:val="4"/>
        <w:numId w:val="1"/>
      </w:numPr>
      <w:outlineLvl w:val="4"/>
    </w:pPr>
    <w:rPr>
      <w:b/>
      <w:sz w:val="28"/>
    </w:rPr>
  </w:style>
  <w:style w:type="paragraph" w:styleId="Nadpis6">
    <w:name w:val="heading 6"/>
    <w:basedOn w:val="Normln"/>
    <w:next w:val="Normln"/>
    <w:link w:val="Nadpis6Char"/>
    <w:uiPriority w:val="9"/>
    <w:semiHidden/>
    <w:unhideWhenUsed/>
    <w:qFormat/>
    <w:rsid w:val="00664EE6"/>
    <w:pPr>
      <w:keepNext/>
      <w:numPr>
        <w:ilvl w:val="5"/>
        <w:numId w:val="1"/>
      </w:numPr>
      <w:jc w:val="right"/>
      <w:outlineLvl w:val="5"/>
    </w:pPr>
    <w:rPr>
      <w:rFonts w:ascii="Arial" w:hAnsi="Arial"/>
      <w:b/>
    </w:rPr>
  </w:style>
  <w:style w:type="paragraph" w:styleId="Nadpis7">
    <w:name w:val="heading 7"/>
    <w:basedOn w:val="Normln"/>
    <w:next w:val="Normln"/>
    <w:link w:val="Nadpis7Char"/>
    <w:uiPriority w:val="99"/>
    <w:qFormat/>
    <w:rsid w:val="00664EE6"/>
    <w:pPr>
      <w:numPr>
        <w:ilvl w:val="6"/>
        <w:numId w:val="1"/>
      </w:numPr>
      <w:spacing w:before="240" w:after="60"/>
      <w:outlineLvl w:val="6"/>
    </w:pPr>
    <w:rPr>
      <w:sz w:val="24"/>
      <w:szCs w:val="24"/>
    </w:rPr>
  </w:style>
  <w:style w:type="paragraph" w:styleId="Nadpis8">
    <w:name w:val="heading 8"/>
    <w:basedOn w:val="Normln"/>
    <w:next w:val="Normln"/>
    <w:link w:val="Nadpis8Char"/>
    <w:uiPriority w:val="99"/>
    <w:qFormat/>
    <w:rsid w:val="00664EE6"/>
    <w:pPr>
      <w:numPr>
        <w:ilvl w:val="7"/>
        <w:numId w:val="1"/>
      </w:numPr>
      <w:spacing w:before="240" w:after="60"/>
      <w:outlineLvl w:val="7"/>
    </w:pPr>
    <w:rPr>
      <w:i/>
      <w:iCs/>
      <w:sz w:val="24"/>
      <w:szCs w:val="24"/>
    </w:rPr>
  </w:style>
  <w:style w:type="paragraph" w:styleId="Nadpis9">
    <w:name w:val="heading 9"/>
    <w:basedOn w:val="Normln"/>
    <w:next w:val="Normln"/>
    <w:link w:val="Nadpis9Char"/>
    <w:uiPriority w:val="99"/>
    <w:qFormat/>
    <w:rsid w:val="00664EE6"/>
    <w:pPr>
      <w:numPr>
        <w:ilvl w:val="8"/>
        <w:numId w:val="1"/>
      </w:num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link w:val="NzevChar"/>
    <w:uiPriority w:val="10"/>
    <w:qFormat/>
    <w:rsid w:val="00E12F0E"/>
    <w:pPr>
      <w:suppressAutoHyphens w:val="0"/>
      <w:jc w:val="center"/>
    </w:pPr>
    <w:rPr>
      <w:b/>
      <w:sz w:val="40"/>
    </w:rPr>
  </w:style>
  <w:style w:type="character" w:customStyle="1" w:styleId="Nadpis1Char">
    <w:name w:val="Nadpis 1 Char"/>
    <w:basedOn w:val="Standardnpsmoodstavce"/>
    <w:link w:val="Nadpis1"/>
    <w:uiPriority w:val="99"/>
    <w:locked/>
    <w:rsid w:val="006C7A13"/>
    <w:rPr>
      <w:rFonts w:ascii="Arial" w:hAnsi="Arial" w:cs="Arial"/>
      <w:b/>
      <w:bCs/>
      <w:kern w:val="1"/>
      <w:szCs w:val="32"/>
      <w:lang w:eastAsia="ar-SA"/>
    </w:rPr>
  </w:style>
  <w:style w:type="character" w:customStyle="1" w:styleId="Nadpis2Char">
    <w:name w:val="Nadpis 2 Char"/>
    <w:basedOn w:val="Standardnpsmoodstavce"/>
    <w:link w:val="Nadpis2"/>
    <w:uiPriority w:val="99"/>
    <w:locked/>
    <w:rsid w:val="004633DD"/>
    <w:rPr>
      <w:rFonts w:ascii="Calibri" w:hAnsi="Calibri"/>
      <w:b/>
      <w:color w:val="000000"/>
    </w:rPr>
  </w:style>
  <w:style w:type="character" w:customStyle="1" w:styleId="Nadpis3Char">
    <w:name w:val="Nadpis 3 Char"/>
    <w:basedOn w:val="Standardnpsmoodstavce"/>
    <w:link w:val="Nadpis3"/>
    <w:uiPriority w:val="99"/>
    <w:locked/>
    <w:rsid w:val="006C7A13"/>
    <w:rPr>
      <w:rFonts w:ascii="Arial" w:hAnsi="Arial" w:cs="Arial"/>
      <w:bCs/>
      <w:sz w:val="20"/>
      <w:szCs w:val="26"/>
      <w:u w:val="single"/>
      <w:lang w:eastAsia="ar-SA"/>
    </w:rPr>
  </w:style>
  <w:style w:type="character" w:customStyle="1" w:styleId="Nadpis4Char">
    <w:name w:val="Nadpis 4 Char"/>
    <w:basedOn w:val="Standardnpsmoodstavce"/>
    <w:link w:val="Nadpis4"/>
    <w:uiPriority w:val="99"/>
    <w:locked/>
    <w:rsid w:val="006C7A13"/>
    <w:rPr>
      <w:b/>
      <w:bCs/>
      <w:sz w:val="28"/>
      <w:szCs w:val="28"/>
      <w:lang w:eastAsia="ar-SA"/>
    </w:rPr>
  </w:style>
  <w:style w:type="character" w:customStyle="1" w:styleId="Nadpis5Char">
    <w:name w:val="Nadpis 5 Char"/>
    <w:basedOn w:val="Standardnpsmoodstavce"/>
    <w:link w:val="Nadpis5"/>
    <w:uiPriority w:val="99"/>
    <w:locked/>
    <w:rsid w:val="006C7A13"/>
    <w:rPr>
      <w:b/>
      <w:sz w:val="28"/>
      <w:szCs w:val="20"/>
      <w:lang w:eastAsia="ar-SA"/>
    </w:rPr>
  </w:style>
  <w:style w:type="character" w:customStyle="1" w:styleId="Nadpis6Char">
    <w:name w:val="Nadpis 6 Char"/>
    <w:basedOn w:val="Standardnpsmoodstavce"/>
    <w:link w:val="Nadpis6"/>
    <w:uiPriority w:val="99"/>
    <w:locked/>
    <w:rsid w:val="006C7A13"/>
    <w:rPr>
      <w:rFonts w:ascii="Arial" w:hAnsi="Arial"/>
      <w:b/>
      <w:sz w:val="20"/>
      <w:szCs w:val="20"/>
      <w:lang w:eastAsia="ar-SA"/>
    </w:rPr>
  </w:style>
  <w:style w:type="character" w:customStyle="1" w:styleId="Nadpis7Char">
    <w:name w:val="Nadpis 7 Char"/>
    <w:basedOn w:val="Standardnpsmoodstavce"/>
    <w:link w:val="Nadpis7"/>
    <w:uiPriority w:val="99"/>
    <w:locked/>
    <w:rsid w:val="006C7A13"/>
    <w:rPr>
      <w:sz w:val="24"/>
      <w:szCs w:val="24"/>
      <w:lang w:eastAsia="ar-SA"/>
    </w:rPr>
  </w:style>
  <w:style w:type="character" w:customStyle="1" w:styleId="Nadpis8Char">
    <w:name w:val="Nadpis 8 Char"/>
    <w:basedOn w:val="Standardnpsmoodstavce"/>
    <w:link w:val="Nadpis8"/>
    <w:uiPriority w:val="99"/>
    <w:locked/>
    <w:rsid w:val="006C7A13"/>
    <w:rPr>
      <w:i/>
      <w:iCs/>
      <w:sz w:val="24"/>
      <w:szCs w:val="24"/>
      <w:lang w:eastAsia="ar-SA"/>
    </w:rPr>
  </w:style>
  <w:style w:type="character" w:customStyle="1" w:styleId="Nadpis9Char">
    <w:name w:val="Nadpis 9 Char"/>
    <w:basedOn w:val="Standardnpsmoodstavce"/>
    <w:link w:val="Nadpis9"/>
    <w:uiPriority w:val="99"/>
    <w:locked/>
    <w:rsid w:val="006C7A13"/>
    <w:rPr>
      <w:rFonts w:ascii="Arial" w:hAnsi="Arial" w:cs="Arial"/>
      <w:lang w:eastAsia="ar-SA"/>
    </w:rPr>
  </w:style>
  <w:style w:type="character" w:customStyle="1" w:styleId="WW8Num1z1">
    <w:name w:val="WW8Num1z1"/>
    <w:uiPriority w:val="99"/>
    <w:rsid w:val="00664EE6"/>
    <w:rPr>
      <w:rFonts w:ascii="Courier New" w:hAnsi="Courier New"/>
    </w:rPr>
  </w:style>
  <w:style w:type="character" w:customStyle="1" w:styleId="WW8Num2z0">
    <w:name w:val="WW8Num2z0"/>
    <w:uiPriority w:val="99"/>
    <w:rsid w:val="00664EE6"/>
    <w:rPr>
      <w:rFonts w:ascii="Wingdings" w:hAnsi="Wingdings"/>
    </w:rPr>
  </w:style>
  <w:style w:type="character" w:customStyle="1" w:styleId="WW8Num3z0">
    <w:name w:val="WW8Num3z0"/>
    <w:uiPriority w:val="99"/>
    <w:rsid w:val="00664EE6"/>
    <w:rPr>
      <w:rFonts w:ascii="Times New Roman" w:hAnsi="Times New Roman"/>
    </w:rPr>
  </w:style>
  <w:style w:type="character" w:customStyle="1" w:styleId="WW8Num3z1">
    <w:name w:val="WW8Num3z1"/>
    <w:uiPriority w:val="99"/>
    <w:rsid w:val="00664EE6"/>
    <w:rPr>
      <w:b/>
    </w:rPr>
  </w:style>
  <w:style w:type="character" w:customStyle="1" w:styleId="WW8Num5z0">
    <w:name w:val="WW8Num5z0"/>
    <w:uiPriority w:val="99"/>
    <w:rsid w:val="00664EE6"/>
    <w:rPr>
      <w:rFonts w:ascii="Arial" w:hAnsi="Arial"/>
    </w:rPr>
  </w:style>
  <w:style w:type="character" w:customStyle="1" w:styleId="WW8Num6z0">
    <w:name w:val="WW8Num6z0"/>
    <w:uiPriority w:val="99"/>
    <w:rsid w:val="00664EE6"/>
    <w:rPr>
      <w:rFonts w:ascii="Times New Roman" w:hAnsi="Times New Roman"/>
    </w:rPr>
  </w:style>
  <w:style w:type="character" w:customStyle="1" w:styleId="Absatz-Standardschriftart">
    <w:name w:val="Absatz-Standardschriftart"/>
    <w:uiPriority w:val="99"/>
    <w:rsid w:val="00664EE6"/>
  </w:style>
  <w:style w:type="character" w:customStyle="1" w:styleId="WW8Num1z0">
    <w:name w:val="WW8Num1z0"/>
    <w:uiPriority w:val="99"/>
    <w:rsid w:val="00664EE6"/>
    <w:rPr>
      <w:rFonts w:ascii="Symbol" w:hAnsi="Symbol"/>
    </w:rPr>
  </w:style>
  <w:style w:type="character" w:customStyle="1" w:styleId="WW8Num1z2">
    <w:name w:val="WW8Num1z2"/>
    <w:uiPriority w:val="99"/>
    <w:rsid w:val="00664EE6"/>
    <w:rPr>
      <w:rFonts w:ascii="Wingdings" w:hAnsi="Wingdings"/>
    </w:rPr>
  </w:style>
  <w:style w:type="character" w:customStyle="1" w:styleId="WW8Num4z0">
    <w:name w:val="WW8Num4z0"/>
    <w:uiPriority w:val="99"/>
    <w:rsid w:val="00664EE6"/>
    <w:rPr>
      <w:rFonts w:ascii="Wingdings" w:hAnsi="Wingdings"/>
      <w:sz w:val="24"/>
    </w:rPr>
  </w:style>
  <w:style w:type="character" w:customStyle="1" w:styleId="WW8Num4z1">
    <w:name w:val="WW8Num4z1"/>
    <w:uiPriority w:val="99"/>
    <w:rsid w:val="00664EE6"/>
    <w:rPr>
      <w:rFonts w:ascii="Courier New" w:hAnsi="Courier New"/>
    </w:rPr>
  </w:style>
  <w:style w:type="character" w:customStyle="1" w:styleId="WW8Num4z2">
    <w:name w:val="WW8Num4z2"/>
    <w:uiPriority w:val="99"/>
    <w:rsid w:val="00664EE6"/>
    <w:rPr>
      <w:rFonts w:ascii="Wingdings" w:hAnsi="Wingdings"/>
    </w:rPr>
  </w:style>
  <w:style w:type="character" w:customStyle="1" w:styleId="WW8Num4z3">
    <w:name w:val="WW8Num4z3"/>
    <w:uiPriority w:val="99"/>
    <w:rsid w:val="00664EE6"/>
    <w:rPr>
      <w:rFonts w:ascii="Symbol" w:hAnsi="Symbol"/>
    </w:rPr>
  </w:style>
  <w:style w:type="character" w:customStyle="1" w:styleId="WW8Num5z1">
    <w:name w:val="WW8Num5z1"/>
    <w:uiPriority w:val="99"/>
    <w:rsid w:val="00664EE6"/>
    <w:rPr>
      <w:rFonts w:ascii="Courier New" w:hAnsi="Courier New"/>
    </w:rPr>
  </w:style>
  <w:style w:type="character" w:customStyle="1" w:styleId="WW8Num5z2">
    <w:name w:val="WW8Num5z2"/>
    <w:uiPriority w:val="99"/>
    <w:rsid w:val="00664EE6"/>
    <w:rPr>
      <w:rFonts w:ascii="Wingdings" w:hAnsi="Wingdings"/>
    </w:rPr>
  </w:style>
  <w:style w:type="character" w:customStyle="1" w:styleId="WW8Num5z3">
    <w:name w:val="WW8Num5z3"/>
    <w:uiPriority w:val="99"/>
    <w:rsid w:val="00664EE6"/>
    <w:rPr>
      <w:rFonts w:ascii="Symbol" w:hAnsi="Symbol"/>
    </w:rPr>
  </w:style>
  <w:style w:type="character" w:customStyle="1" w:styleId="WW8Num6z1">
    <w:name w:val="WW8Num6z1"/>
    <w:uiPriority w:val="99"/>
    <w:rsid w:val="00664EE6"/>
    <w:rPr>
      <w:rFonts w:ascii="Wingdings" w:hAnsi="Wingdings"/>
    </w:rPr>
  </w:style>
  <w:style w:type="character" w:customStyle="1" w:styleId="WW8Num8z0">
    <w:name w:val="WW8Num8z0"/>
    <w:uiPriority w:val="99"/>
    <w:rsid w:val="00664EE6"/>
    <w:rPr>
      <w:rFonts w:ascii="Wingdings" w:hAnsi="Wingdings"/>
      <w:sz w:val="24"/>
    </w:rPr>
  </w:style>
  <w:style w:type="character" w:customStyle="1" w:styleId="WW8Num8z1">
    <w:name w:val="WW8Num8z1"/>
    <w:uiPriority w:val="99"/>
    <w:rsid w:val="00664EE6"/>
    <w:rPr>
      <w:rFonts w:ascii="Arial" w:hAnsi="Arial"/>
    </w:rPr>
  </w:style>
  <w:style w:type="character" w:customStyle="1" w:styleId="WW8Num8z2">
    <w:name w:val="WW8Num8z2"/>
    <w:uiPriority w:val="99"/>
    <w:rsid w:val="00664EE6"/>
    <w:rPr>
      <w:rFonts w:ascii="Wingdings" w:hAnsi="Wingdings"/>
    </w:rPr>
  </w:style>
  <w:style w:type="character" w:customStyle="1" w:styleId="WW8Num8z3">
    <w:name w:val="WW8Num8z3"/>
    <w:uiPriority w:val="99"/>
    <w:rsid w:val="00664EE6"/>
    <w:rPr>
      <w:rFonts w:ascii="Symbol" w:hAnsi="Symbol"/>
    </w:rPr>
  </w:style>
  <w:style w:type="character" w:customStyle="1" w:styleId="WW8Num8z4">
    <w:name w:val="WW8Num8z4"/>
    <w:uiPriority w:val="99"/>
    <w:rsid w:val="00664EE6"/>
    <w:rPr>
      <w:rFonts w:ascii="Courier New" w:hAnsi="Courier New"/>
    </w:rPr>
  </w:style>
  <w:style w:type="character" w:customStyle="1" w:styleId="WW8Num9z0">
    <w:name w:val="WW8Num9z0"/>
    <w:uiPriority w:val="99"/>
    <w:rsid w:val="00664EE6"/>
    <w:rPr>
      <w:rFonts w:ascii="Symbol" w:hAnsi="Symbol"/>
    </w:rPr>
  </w:style>
  <w:style w:type="character" w:customStyle="1" w:styleId="WW8Num9z1">
    <w:name w:val="WW8Num9z1"/>
    <w:uiPriority w:val="99"/>
    <w:rsid w:val="00664EE6"/>
    <w:rPr>
      <w:rFonts w:ascii="Courier New" w:hAnsi="Courier New"/>
    </w:rPr>
  </w:style>
  <w:style w:type="character" w:customStyle="1" w:styleId="WW8Num9z2">
    <w:name w:val="WW8Num9z2"/>
    <w:uiPriority w:val="99"/>
    <w:rsid w:val="00664EE6"/>
    <w:rPr>
      <w:rFonts w:ascii="Wingdings" w:hAnsi="Wingdings"/>
    </w:rPr>
  </w:style>
  <w:style w:type="character" w:customStyle="1" w:styleId="WW8Num10z0">
    <w:name w:val="WW8Num10z0"/>
    <w:uiPriority w:val="99"/>
    <w:rsid w:val="00664EE6"/>
    <w:rPr>
      <w:rFonts w:ascii="Arial" w:hAnsi="Arial"/>
    </w:rPr>
  </w:style>
  <w:style w:type="character" w:customStyle="1" w:styleId="WW8Num11z0">
    <w:name w:val="WW8Num11z0"/>
    <w:uiPriority w:val="99"/>
    <w:rsid w:val="00664EE6"/>
    <w:rPr>
      <w:rFonts w:ascii="Wingdings" w:hAnsi="Wingdings"/>
    </w:rPr>
  </w:style>
  <w:style w:type="character" w:customStyle="1" w:styleId="WW8Num11z1">
    <w:name w:val="WW8Num11z1"/>
    <w:uiPriority w:val="99"/>
    <w:rsid w:val="00664EE6"/>
    <w:rPr>
      <w:rFonts w:ascii="Courier New" w:hAnsi="Courier New"/>
    </w:rPr>
  </w:style>
  <w:style w:type="character" w:customStyle="1" w:styleId="WW8Num11z3">
    <w:name w:val="WW8Num11z3"/>
    <w:uiPriority w:val="99"/>
    <w:rsid w:val="00664EE6"/>
    <w:rPr>
      <w:rFonts w:ascii="Symbol" w:hAnsi="Symbol"/>
    </w:rPr>
  </w:style>
  <w:style w:type="character" w:customStyle="1" w:styleId="WW8Num12z0">
    <w:name w:val="WW8Num12z0"/>
    <w:uiPriority w:val="99"/>
    <w:rsid w:val="00664EE6"/>
    <w:rPr>
      <w:rFonts w:ascii="Arial" w:hAnsi="Arial"/>
    </w:rPr>
  </w:style>
  <w:style w:type="character" w:customStyle="1" w:styleId="WW8Num12z1">
    <w:name w:val="WW8Num12z1"/>
    <w:uiPriority w:val="99"/>
    <w:rsid w:val="00664EE6"/>
    <w:rPr>
      <w:rFonts w:ascii="Courier New" w:hAnsi="Courier New"/>
    </w:rPr>
  </w:style>
  <w:style w:type="character" w:customStyle="1" w:styleId="WW8Num12z2">
    <w:name w:val="WW8Num12z2"/>
    <w:uiPriority w:val="99"/>
    <w:rsid w:val="00664EE6"/>
    <w:rPr>
      <w:rFonts w:ascii="Wingdings" w:hAnsi="Wingdings"/>
    </w:rPr>
  </w:style>
  <w:style w:type="character" w:customStyle="1" w:styleId="WW8Num12z3">
    <w:name w:val="WW8Num12z3"/>
    <w:uiPriority w:val="99"/>
    <w:rsid w:val="00664EE6"/>
    <w:rPr>
      <w:rFonts w:ascii="Symbol" w:hAnsi="Symbol"/>
    </w:rPr>
  </w:style>
  <w:style w:type="character" w:customStyle="1" w:styleId="WW8Num13z0">
    <w:name w:val="WW8Num13z0"/>
    <w:uiPriority w:val="99"/>
    <w:rsid w:val="00664EE6"/>
    <w:rPr>
      <w:rFonts w:ascii="Wingdings" w:hAnsi="Wingdings"/>
    </w:rPr>
  </w:style>
  <w:style w:type="character" w:customStyle="1" w:styleId="WW8Num13z1">
    <w:name w:val="WW8Num13z1"/>
    <w:uiPriority w:val="99"/>
    <w:rsid w:val="00664EE6"/>
    <w:rPr>
      <w:rFonts w:ascii="Courier New" w:hAnsi="Courier New"/>
    </w:rPr>
  </w:style>
  <w:style w:type="character" w:customStyle="1" w:styleId="WW8Num13z3">
    <w:name w:val="WW8Num13z3"/>
    <w:uiPriority w:val="99"/>
    <w:rsid w:val="00664EE6"/>
    <w:rPr>
      <w:rFonts w:ascii="Symbol" w:hAnsi="Symbol"/>
    </w:rPr>
  </w:style>
  <w:style w:type="character" w:customStyle="1" w:styleId="WW8Num14z2">
    <w:name w:val="WW8Num14z2"/>
    <w:uiPriority w:val="99"/>
    <w:rsid w:val="00664EE6"/>
    <w:rPr>
      <w:rFonts w:ascii="Wingdings" w:hAnsi="Wingdings"/>
    </w:rPr>
  </w:style>
  <w:style w:type="character" w:customStyle="1" w:styleId="WW8Num15z0">
    <w:name w:val="WW8Num15z0"/>
    <w:uiPriority w:val="99"/>
    <w:rsid w:val="00664EE6"/>
    <w:rPr>
      <w:rFonts w:ascii="Wingdings" w:hAnsi="Wingdings"/>
    </w:rPr>
  </w:style>
  <w:style w:type="character" w:customStyle="1" w:styleId="WW8Num15z1">
    <w:name w:val="WW8Num15z1"/>
    <w:uiPriority w:val="99"/>
    <w:rsid w:val="00664EE6"/>
    <w:rPr>
      <w:rFonts w:ascii="Courier New" w:hAnsi="Courier New"/>
    </w:rPr>
  </w:style>
  <w:style w:type="character" w:customStyle="1" w:styleId="WW8Num15z3">
    <w:name w:val="WW8Num15z3"/>
    <w:uiPriority w:val="99"/>
    <w:rsid w:val="00664EE6"/>
    <w:rPr>
      <w:rFonts w:ascii="Symbol" w:hAnsi="Symbol"/>
    </w:rPr>
  </w:style>
  <w:style w:type="character" w:customStyle="1" w:styleId="WW8Num16z0">
    <w:name w:val="WW8Num16z0"/>
    <w:uiPriority w:val="99"/>
    <w:rsid w:val="00664EE6"/>
    <w:rPr>
      <w:rFonts w:ascii="Wingdings" w:hAnsi="Wingdings"/>
    </w:rPr>
  </w:style>
  <w:style w:type="character" w:customStyle="1" w:styleId="WW8Num16z1">
    <w:name w:val="WW8Num16z1"/>
    <w:uiPriority w:val="99"/>
    <w:rsid w:val="00664EE6"/>
    <w:rPr>
      <w:rFonts w:ascii="Courier New" w:hAnsi="Courier New"/>
    </w:rPr>
  </w:style>
  <w:style w:type="character" w:customStyle="1" w:styleId="WW8Num16z3">
    <w:name w:val="WW8Num16z3"/>
    <w:uiPriority w:val="99"/>
    <w:rsid w:val="00664EE6"/>
    <w:rPr>
      <w:rFonts w:ascii="Symbol" w:hAnsi="Symbol"/>
    </w:rPr>
  </w:style>
  <w:style w:type="character" w:customStyle="1" w:styleId="Standardnpsmoodstavce1">
    <w:name w:val="Standardní písmo odstavce1"/>
    <w:uiPriority w:val="99"/>
    <w:rsid w:val="00664EE6"/>
  </w:style>
  <w:style w:type="character" w:styleId="slostrnky">
    <w:name w:val="page number"/>
    <w:basedOn w:val="Standardnpsmoodstavce1"/>
    <w:uiPriority w:val="99"/>
    <w:rsid w:val="00664EE6"/>
    <w:rPr>
      <w:rFonts w:cs="Times New Roman"/>
    </w:rPr>
  </w:style>
  <w:style w:type="character" w:styleId="Hypertextovodkaz">
    <w:name w:val="Hyperlink"/>
    <w:basedOn w:val="Standardnpsmoodstavce"/>
    <w:uiPriority w:val="99"/>
    <w:rsid w:val="00664EE6"/>
    <w:rPr>
      <w:rFonts w:cs="Times New Roman"/>
      <w:color w:val="0000FF"/>
      <w:u w:val="single"/>
    </w:rPr>
  </w:style>
  <w:style w:type="character" w:customStyle="1" w:styleId="Odkaznakoment1">
    <w:name w:val="Odkaz na komentář1"/>
    <w:uiPriority w:val="99"/>
    <w:rsid w:val="00664EE6"/>
    <w:rPr>
      <w:sz w:val="16"/>
    </w:rPr>
  </w:style>
  <w:style w:type="character" w:customStyle="1" w:styleId="SanormChar">
    <w:name w:val="Sáťa norm. Char"/>
    <w:uiPriority w:val="99"/>
    <w:rsid w:val="00664EE6"/>
    <w:rPr>
      <w:rFonts w:ascii="Arial" w:hAnsi="Arial"/>
      <w:lang w:val="cs-CZ" w:eastAsia="ar-SA" w:bidi="ar-SA"/>
    </w:rPr>
  </w:style>
  <w:style w:type="paragraph" w:customStyle="1" w:styleId="Nadpis">
    <w:name w:val="Nadpis"/>
    <w:basedOn w:val="Normln"/>
    <w:next w:val="Zkladntext"/>
    <w:uiPriority w:val="99"/>
    <w:rsid w:val="00664EE6"/>
    <w:pPr>
      <w:keepNext/>
      <w:spacing w:before="240" w:after="120"/>
    </w:pPr>
    <w:rPr>
      <w:rFonts w:ascii="Arial" w:eastAsia="MS Mincho" w:hAnsi="Arial" w:cs="Tahoma"/>
      <w:sz w:val="28"/>
      <w:szCs w:val="28"/>
    </w:rPr>
  </w:style>
  <w:style w:type="paragraph" w:styleId="Zkladntext">
    <w:name w:val="Body Text"/>
    <w:basedOn w:val="Normln"/>
    <w:link w:val="ZkladntextChar"/>
    <w:uiPriority w:val="99"/>
    <w:rsid w:val="00664EE6"/>
    <w:pPr>
      <w:widowControl w:val="0"/>
    </w:pPr>
    <w:rPr>
      <w:rFonts w:ascii="Arial" w:hAnsi="Arial"/>
      <w:color w:val="000000"/>
      <w:sz w:val="24"/>
    </w:rPr>
  </w:style>
  <w:style w:type="character" w:customStyle="1" w:styleId="ZkladntextChar">
    <w:name w:val="Základní text Char"/>
    <w:basedOn w:val="Standardnpsmoodstavce"/>
    <w:link w:val="Zkladntext"/>
    <w:uiPriority w:val="99"/>
    <w:locked/>
    <w:rsid w:val="00A83C18"/>
    <w:rPr>
      <w:rFonts w:ascii="Arial" w:hAnsi="Arial" w:cs="Times New Roman"/>
      <w:color w:val="000000"/>
      <w:sz w:val="24"/>
      <w:lang w:eastAsia="ar-SA" w:bidi="ar-SA"/>
    </w:rPr>
  </w:style>
  <w:style w:type="paragraph" w:styleId="Seznam">
    <w:name w:val="List"/>
    <w:basedOn w:val="Zkladntext"/>
    <w:uiPriority w:val="99"/>
    <w:rsid w:val="00664EE6"/>
    <w:rPr>
      <w:rFonts w:cs="Tahoma"/>
    </w:rPr>
  </w:style>
  <w:style w:type="paragraph" w:customStyle="1" w:styleId="Popisek">
    <w:name w:val="Popisek"/>
    <w:basedOn w:val="Normln"/>
    <w:uiPriority w:val="99"/>
    <w:rsid w:val="00664EE6"/>
    <w:pPr>
      <w:suppressLineNumbers/>
      <w:spacing w:before="120" w:after="120"/>
    </w:pPr>
    <w:rPr>
      <w:rFonts w:cs="Tahoma"/>
      <w:i/>
      <w:iCs/>
      <w:sz w:val="24"/>
      <w:szCs w:val="24"/>
    </w:rPr>
  </w:style>
  <w:style w:type="paragraph" w:customStyle="1" w:styleId="Rejstk">
    <w:name w:val="Rejstřík"/>
    <w:basedOn w:val="Normln"/>
    <w:uiPriority w:val="99"/>
    <w:rsid w:val="00664EE6"/>
    <w:pPr>
      <w:suppressLineNumbers/>
    </w:pPr>
    <w:rPr>
      <w:rFonts w:cs="Tahoma"/>
    </w:rPr>
  </w:style>
  <w:style w:type="paragraph" w:styleId="Zpat">
    <w:name w:val="footer"/>
    <w:basedOn w:val="Normln"/>
    <w:link w:val="ZpatChar"/>
    <w:uiPriority w:val="99"/>
    <w:rsid w:val="00664EE6"/>
    <w:pPr>
      <w:tabs>
        <w:tab w:val="center" w:pos="4536"/>
        <w:tab w:val="right" w:pos="9072"/>
      </w:tabs>
    </w:pPr>
  </w:style>
  <w:style w:type="character" w:customStyle="1" w:styleId="ZpatChar">
    <w:name w:val="Zápatí Char"/>
    <w:basedOn w:val="Standardnpsmoodstavce"/>
    <w:link w:val="Zpat"/>
    <w:uiPriority w:val="99"/>
    <w:locked/>
    <w:rsid w:val="004E40D5"/>
    <w:rPr>
      <w:rFonts w:cs="Times New Roman"/>
      <w:lang w:eastAsia="ar-SA" w:bidi="ar-SA"/>
    </w:rPr>
  </w:style>
  <w:style w:type="paragraph" w:styleId="Normlnweb">
    <w:name w:val="Normal (Web)"/>
    <w:basedOn w:val="Normln"/>
    <w:uiPriority w:val="99"/>
    <w:rsid w:val="00664EE6"/>
    <w:pPr>
      <w:spacing w:before="280" w:after="280"/>
      <w:jc w:val="both"/>
    </w:pPr>
    <w:rPr>
      <w:rFonts w:ascii="Verdana" w:hAnsi="Verdana"/>
      <w:color w:val="000000"/>
      <w:sz w:val="22"/>
      <w:szCs w:val="22"/>
    </w:rPr>
  </w:style>
  <w:style w:type="paragraph" w:styleId="Obsah1">
    <w:name w:val="toc 1"/>
    <w:basedOn w:val="Normln"/>
    <w:next w:val="Normln"/>
    <w:uiPriority w:val="39"/>
    <w:rsid w:val="00664EE6"/>
    <w:pPr>
      <w:spacing w:before="360" w:after="360"/>
    </w:pPr>
    <w:rPr>
      <w:rFonts w:ascii="Calibri" w:hAnsi="Calibri"/>
      <w:b/>
      <w:bCs/>
      <w:caps/>
      <w:sz w:val="22"/>
      <w:szCs w:val="22"/>
      <w:u w:val="single"/>
    </w:rPr>
  </w:style>
  <w:style w:type="paragraph" w:styleId="Obsah2">
    <w:name w:val="toc 2"/>
    <w:basedOn w:val="Normln"/>
    <w:next w:val="Normln"/>
    <w:uiPriority w:val="99"/>
    <w:rsid w:val="00664EE6"/>
    <w:rPr>
      <w:rFonts w:ascii="Calibri" w:hAnsi="Calibri"/>
      <w:b/>
      <w:bCs/>
      <w:smallCaps/>
      <w:sz w:val="22"/>
      <w:szCs w:val="22"/>
    </w:rPr>
  </w:style>
  <w:style w:type="paragraph" w:styleId="Obsah3">
    <w:name w:val="toc 3"/>
    <w:basedOn w:val="Normln"/>
    <w:next w:val="Normln"/>
    <w:uiPriority w:val="99"/>
    <w:rsid w:val="00664EE6"/>
    <w:rPr>
      <w:rFonts w:ascii="Calibri" w:hAnsi="Calibri"/>
      <w:smallCaps/>
      <w:sz w:val="22"/>
      <w:szCs w:val="22"/>
    </w:rPr>
  </w:style>
  <w:style w:type="paragraph" w:customStyle="1" w:styleId="odsazfurt">
    <w:name w:val="odsaz furt"/>
    <w:basedOn w:val="Normln"/>
    <w:uiPriority w:val="99"/>
    <w:rsid w:val="00664EE6"/>
    <w:pPr>
      <w:ind w:left="284"/>
      <w:jc w:val="both"/>
    </w:pPr>
    <w:rPr>
      <w:rFonts w:ascii="Tahoma" w:hAnsi="Tahoma"/>
      <w:color w:val="000000"/>
    </w:rPr>
  </w:style>
  <w:style w:type="paragraph" w:customStyle="1" w:styleId="Nadpis1-Arial">
    <w:name w:val="Nadpis 1 - Arial"/>
    <w:basedOn w:val="Nadpis1"/>
    <w:uiPriority w:val="99"/>
    <w:rsid w:val="00664EE6"/>
    <w:pPr>
      <w:numPr>
        <w:numId w:val="0"/>
      </w:numPr>
      <w:tabs>
        <w:tab w:val="left" w:pos="1527"/>
      </w:tabs>
      <w:spacing w:before="0" w:after="0"/>
      <w:ind w:left="509" w:hanging="509"/>
    </w:pPr>
    <w:rPr>
      <w:rFonts w:cs="Times New Roman"/>
      <w:sz w:val="24"/>
      <w:szCs w:val="28"/>
    </w:rPr>
  </w:style>
  <w:style w:type="paragraph" w:customStyle="1" w:styleId="Eodsazenfurt0">
    <w:name w:val="E odsazení furt 0"/>
    <w:basedOn w:val="Normln"/>
    <w:uiPriority w:val="99"/>
    <w:rsid w:val="00664EE6"/>
    <w:pPr>
      <w:ind w:left="284"/>
      <w:jc w:val="both"/>
    </w:pPr>
    <w:rPr>
      <w:rFonts w:ascii="Tahoma" w:hAnsi="Tahoma"/>
    </w:rPr>
  </w:style>
  <w:style w:type="paragraph" w:customStyle="1" w:styleId="Textkomente1">
    <w:name w:val="Text komentáře1"/>
    <w:basedOn w:val="Normln"/>
    <w:uiPriority w:val="99"/>
    <w:rsid w:val="00664EE6"/>
  </w:style>
  <w:style w:type="paragraph" w:styleId="Textkomente">
    <w:name w:val="annotation text"/>
    <w:basedOn w:val="Normln"/>
    <w:link w:val="TextkomenteChar"/>
    <w:uiPriority w:val="99"/>
    <w:semiHidden/>
    <w:rsid w:val="002206E8"/>
  </w:style>
  <w:style w:type="character" w:customStyle="1" w:styleId="TextkomenteChar">
    <w:name w:val="Text komentáře Char"/>
    <w:basedOn w:val="Standardnpsmoodstavce"/>
    <w:link w:val="Textkomente"/>
    <w:uiPriority w:val="99"/>
    <w:semiHidden/>
    <w:locked/>
    <w:rsid w:val="006C7A13"/>
    <w:rPr>
      <w:rFonts w:cs="Times New Roman"/>
      <w:sz w:val="20"/>
      <w:szCs w:val="20"/>
      <w:lang w:eastAsia="ar-SA" w:bidi="ar-SA"/>
    </w:rPr>
  </w:style>
  <w:style w:type="paragraph" w:styleId="Pedmtkomente">
    <w:name w:val="annotation subject"/>
    <w:basedOn w:val="Textkomente1"/>
    <w:next w:val="Textkomente1"/>
    <w:link w:val="PedmtkomenteChar"/>
    <w:uiPriority w:val="99"/>
    <w:rsid w:val="00664EE6"/>
    <w:rPr>
      <w:b/>
      <w:bCs/>
    </w:rPr>
  </w:style>
  <w:style w:type="character" w:customStyle="1" w:styleId="PedmtkomenteChar">
    <w:name w:val="Předmět komentáře Char"/>
    <w:basedOn w:val="TextkomenteChar"/>
    <w:link w:val="Pedmtkomente"/>
    <w:uiPriority w:val="99"/>
    <w:semiHidden/>
    <w:locked/>
    <w:rsid w:val="006C7A13"/>
    <w:rPr>
      <w:rFonts w:cs="Times New Roman"/>
      <w:b/>
      <w:bCs/>
      <w:sz w:val="20"/>
      <w:szCs w:val="20"/>
      <w:lang w:eastAsia="ar-SA" w:bidi="ar-SA"/>
    </w:rPr>
  </w:style>
  <w:style w:type="paragraph" w:styleId="Textbubliny">
    <w:name w:val="Balloon Text"/>
    <w:basedOn w:val="Normln"/>
    <w:link w:val="TextbublinyChar"/>
    <w:uiPriority w:val="99"/>
    <w:rsid w:val="00664EE6"/>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6C7A13"/>
    <w:rPr>
      <w:rFonts w:cs="Times New Roman"/>
      <w:sz w:val="2"/>
      <w:lang w:eastAsia="ar-SA" w:bidi="ar-SA"/>
    </w:rPr>
  </w:style>
  <w:style w:type="paragraph" w:styleId="Zhlav">
    <w:name w:val="header"/>
    <w:basedOn w:val="Normln"/>
    <w:link w:val="ZhlavChar"/>
    <w:uiPriority w:val="99"/>
    <w:rsid w:val="00664EE6"/>
    <w:pPr>
      <w:tabs>
        <w:tab w:val="center" w:pos="4536"/>
        <w:tab w:val="right" w:pos="9072"/>
      </w:tabs>
    </w:pPr>
  </w:style>
  <w:style w:type="character" w:customStyle="1" w:styleId="ZhlavChar">
    <w:name w:val="Záhlaví Char"/>
    <w:basedOn w:val="Standardnpsmoodstavce"/>
    <w:link w:val="Zhlav"/>
    <w:uiPriority w:val="99"/>
    <w:locked/>
    <w:rsid w:val="00A96074"/>
    <w:rPr>
      <w:rFonts w:cs="Times New Roman"/>
      <w:lang w:eastAsia="ar-SA" w:bidi="ar-SA"/>
    </w:rPr>
  </w:style>
  <w:style w:type="paragraph" w:customStyle="1" w:styleId="Odstavecodsazen">
    <w:name w:val="Odstavec odsazený"/>
    <w:basedOn w:val="Normln"/>
    <w:uiPriority w:val="99"/>
    <w:rsid w:val="00664EE6"/>
    <w:pPr>
      <w:widowControl w:val="0"/>
      <w:tabs>
        <w:tab w:val="left" w:pos="4363"/>
      </w:tabs>
      <w:overflowPunct w:val="0"/>
      <w:autoSpaceDE w:val="0"/>
      <w:ind w:left="1332" w:hanging="849"/>
      <w:jc w:val="both"/>
    </w:pPr>
    <w:rPr>
      <w:color w:val="000000"/>
      <w:sz w:val="24"/>
    </w:rPr>
  </w:style>
  <w:style w:type="paragraph" w:customStyle="1" w:styleId="Rozvrendokumentu1">
    <w:name w:val="Rozvržení dokumentu1"/>
    <w:basedOn w:val="Normln"/>
    <w:uiPriority w:val="99"/>
    <w:rsid w:val="00664EE6"/>
    <w:pPr>
      <w:shd w:val="clear" w:color="auto" w:fill="000080"/>
    </w:pPr>
    <w:rPr>
      <w:rFonts w:ascii="Tahoma" w:hAnsi="Tahoma" w:cs="Tahoma"/>
    </w:rPr>
  </w:style>
  <w:style w:type="paragraph" w:customStyle="1" w:styleId="Sanorm">
    <w:name w:val="Sáťa norm."/>
    <w:basedOn w:val="Normln"/>
    <w:uiPriority w:val="99"/>
    <w:rsid w:val="00664EE6"/>
    <w:pPr>
      <w:spacing w:before="120" w:after="120" w:line="360" w:lineRule="auto"/>
      <w:ind w:firstLine="360"/>
      <w:jc w:val="both"/>
    </w:pPr>
    <w:rPr>
      <w:rFonts w:ascii="Arial" w:hAnsi="Arial" w:cs="Arial"/>
    </w:rPr>
  </w:style>
  <w:style w:type="paragraph" w:customStyle="1" w:styleId="CharChar2CharCharCharCharChar">
    <w:name w:val="Char Char2 Char Char Char Char Char"/>
    <w:basedOn w:val="Normln"/>
    <w:uiPriority w:val="99"/>
    <w:rsid w:val="00664EE6"/>
    <w:pPr>
      <w:spacing w:after="160" w:line="240" w:lineRule="exact"/>
    </w:pPr>
    <w:rPr>
      <w:rFonts w:ascii="Times New Roman Bold" w:hAnsi="Times New Roman Bold"/>
      <w:b/>
      <w:sz w:val="26"/>
      <w:szCs w:val="26"/>
      <w:lang w:val="sk-SK"/>
    </w:rPr>
  </w:style>
  <w:style w:type="paragraph" w:styleId="Obsah4">
    <w:name w:val="toc 4"/>
    <w:basedOn w:val="Rejstk"/>
    <w:uiPriority w:val="99"/>
    <w:semiHidden/>
    <w:rsid w:val="00664EE6"/>
    <w:pPr>
      <w:suppressLineNumbers w:val="0"/>
    </w:pPr>
    <w:rPr>
      <w:rFonts w:ascii="Calibri" w:hAnsi="Calibri" w:cs="Times New Roman"/>
      <w:sz w:val="22"/>
      <w:szCs w:val="22"/>
    </w:rPr>
  </w:style>
  <w:style w:type="paragraph" w:styleId="Obsah5">
    <w:name w:val="toc 5"/>
    <w:basedOn w:val="Rejstk"/>
    <w:uiPriority w:val="99"/>
    <w:semiHidden/>
    <w:rsid w:val="00664EE6"/>
    <w:pPr>
      <w:suppressLineNumbers w:val="0"/>
    </w:pPr>
    <w:rPr>
      <w:rFonts w:ascii="Calibri" w:hAnsi="Calibri" w:cs="Times New Roman"/>
      <w:sz w:val="22"/>
      <w:szCs w:val="22"/>
    </w:rPr>
  </w:style>
  <w:style w:type="paragraph" w:styleId="Obsah6">
    <w:name w:val="toc 6"/>
    <w:basedOn w:val="Rejstk"/>
    <w:uiPriority w:val="99"/>
    <w:semiHidden/>
    <w:rsid w:val="00664EE6"/>
    <w:pPr>
      <w:suppressLineNumbers w:val="0"/>
    </w:pPr>
    <w:rPr>
      <w:rFonts w:ascii="Calibri" w:hAnsi="Calibri" w:cs="Times New Roman"/>
      <w:sz w:val="22"/>
      <w:szCs w:val="22"/>
    </w:rPr>
  </w:style>
  <w:style w:type="paragraph" w:styleId="Obsah7">
    <w:name w:val="toc 7"/>
    <w:basedOn w:val="Rejstk"/>
    <w:uiPriority w:val="99"/>
    <w:semiHidden/>
    <w:rsid w:val="00664EE6"/>
    <w:pPr>
      <w:suppressLineNumbers w:val="0"/>
    </w:pPr>
    <w:rPr>
      <w:rFonts w:ascii="Calibri" w:hAnsi="Calibri" w:cs="Times New Roman"/>
      <w:sz w:val="22"/>
      <w:szCs w:val="22"/>
    </w:rPr>
  </w:style>
  <w:style w:type="paragraph" w:styleId="Obsah8">
    <w:name w:val="toc 8"/>
    <w:basedOn w:val="Rejstk"/>
    <w:uiPriority w:val="99"/>
    <w:semiHidden/>
    <w:rsid w:val="00664EE6"/>
    <w:pPr>
      <w:suppressLineNumbers w:val="0"/>
    </w:pPr>
    <w:rPr>
      <w:rFonts w:ascii="Calibri" w:hAnsi="Calibri" w:cs="Times New Roman"/>
      <w:sz w:val="22"/>
      <w:szCs w:val="22"/>
    </w:rPr>
  </w:style>
  <w:style w:type="paragraph" w:styleId="Obsah9">
    <w:name w:val="toc 9"/>
    <w:basedOn w:val="Rejstk"/>
    <w:uiPriority w:val="99"/>
    <w:semiHidden/>
    <w:rsid w:val="00664EE6"/>
    <w:pPr>
      <w:suppressLineNumbers w:val="0"/>
    </w:pPr>
    <w:rPr>
      <w:rFonts w:ascii="Calibri" w:hAnsi="Calibri" w:cs="Times New Roman"/>
      <w:sz w:val="22"/>
      <w:szCs w:val="22"/>
    </w:rPr>
  </w:style>
  <w:style w:type="paragraph" w:customStyle="1" w:styleId="Obsah10">
    <w:name w:val="Obsah 10"/>
    <w:basedOn w:val="Rejstk"/>
    <w:uiPriority w:val="99"/>
    <w:rsid w:val="00664EE6"/>
    <w:pPr>
      <w:tabs>
        <w:tab w:val="right" w:leader="dot" w:pos="12184"/>
      </w:tabs>
      <w:ind w:left="2547"/>
    </w:pPr>
  </w:style>
  <w:style w:type="paragraph" w:customStyle="1" w:styleId="Obsahtabulky">
    <w:name w:val="Obsah tabulky"/>
    <w:basedOn w:val="Normln"/>
    <w:uiPriority w:val="99"/>
    <w:rsid w:val="00664EE6"/>
    <w:pPr>
      <w:suppressLineNumbers/>
    </w:pPr>
  </w:style>
  <w:style w:type="paragraph" w:customStyle="1" w:styleId="Nadpistabulky">
    <w:name w:val="Nadpis tabulky"/>
    <w:basedOn w:val="Obsahtabulky"/>
    <w:uiPriority w:val="99"/>
    <w:rsid w:val="00664EE6"/>
    <w:pPr>
      <w:jc w:val="center"/>
    </w:pPr>
    <w:rPr>
      <w:b/>
      <w:bCs/>
    </w:rPr>
  </w:style>
  <w:style w:type="paragraph" w:customStyle="1" w:styleId="Obsahrmce">
    <w:name w:val="Obsah rámce"/>
    <w:basedOn w:val="Zkladntext"/>
    <w:uiPriority w:val="99"/>
    <w:rsid w:val="00664EE6"/>
  </w:style>
  <w:style w:type="character" w:styleId="Odkaznakoment">
    <w:name w:val="annotation reference"/>
    <w:basedOn w:val="Standardnpsmoodstavce"/>
    <w:uiPriority w:val="99"/>
    <w:semiHidden/>
    <w:rsid w:val="002206E8"/>
    <w:rPr>
      <w:rFonts w:cs="Times New Roman"/>
      <w:sz w:val="16"/>
    </w:rPr>
  </w:style>
  <w:style w:type="paragraph" w:styleId="Odstavecseseznamem">
    <w:name w:val="List Paragraph"/>
    <w:basedOn w:val="Normln"/>
    <w:link w:val="OdstavecseseznamemChar"/>
    <w:uiPriority w:val="34"/>
    <w:qFormat/>
    <w:rsid w:val="00953F35"/>
    <w:pPr>
      <w:suppressAutoHyphens w:val="0"/>
      <w:ind w:left="720"/>
    </w:pPr>
    <w:rPr>
      <w:rFonts w:ascii="Calibri" w:hAnsi="Calibri"/>
      <w:sz w:val="22"/>
      <w:szCs w:val="22"/>
      <w:lang w:eastAsia="cs-CZ"/>
    </w:rPr>
  </w:style>
  <w:style w:type="paragraph" w:styleId="Prosttext">
    <w:name w:val="Plain Text"/>
    <w:basedOn w:val="Normln"/>
    <w:link w:val="ProsttextChar"/>
    <w:uiPriority w:val="99"/>
    <w:rsid w:val="000504B6"/>
    <w:pPr>
      <w:suppressAutoHyphens w:val="0"/>
    </w:pPr>
    <w:rPr>
      <w:rFonts w:ascii="Consolas" w:hAnsi="Consolas"/>
      <w:sz w:val="21"/>
      <w:szCs w:val="21"/>
      <w:lang w:eastAsia="en-US"/>
    </w:rPr>
  </w:style>
  <w:style w:type="character" w:customStyle="1" w:styleId="ProsttextChar">
    <w:name w:val="Prostý text Char"/>
    <w:basedOn w:val="Standardnpsmoodstavce"/>
    <w:link w:val="Prosttext"/>
    <w:uiPriority w:val="99"/>
    <w:locked/>
    <w:rsid w:val="000504B6"/>
    <w:rPr>
      <w:rFonts w:ascii="Consolas" w:hAnsi="Consolas" w:cs="Times New Roman"/>
      <w:sz w:val="21"/>
      <w:lang w:eastAsia="en-US"/>
    </w:rPr>
  </w:style>
  <w:style w:type="paragraph" w:customStyle="1" w:styleId="Styl1">
    <w:name w:val="Styl1"/>
    <w:basedOn w:val="Normln"/>
    <w:uiPriority w:val="99"/>
    <w:rsid w:val="005B2CA6"/>
    <w:rPr>
      <w:rFonts w:ascii="Arial" w:hAnsi="Arial"/>
      <w:sz w:val="22"/>
    </w:rPr>
  </w:style>
  <w:style w:type="paragraph" w:styleId="Nadpisobsahu">
    <w:name w:val="TOC Heading"/>
    <w:basedOn w:val="Nadpis1"/>
    <w:next w:val="Normln"/>
    <w:uiPriority w:val="99"/>
    <w:qFormat/>
    <w:rsid w:val="0077754F"/>
    <w:pPr>
      <w:keepLines/>
      <w:numPr>
        <w:numId w:val="0"/>
      </w:numPr>
      <w:suppressAutoHyphens w:val="0"/>
      <w:spacing w:before="480" w:after="0" w:line="276" w:lineRule="auto"/>
      <w:outlineLvl w:val="9"/>
    </w:pPr>
    <w:rPr>
      <w:rFonts w:ascii="Cambria" w:hAnsi="Cambria" w:cs="Times New Roman"/>
      <w:color w:val="365F91"/>
      <w:kern w:val="0"/>
      <w:sz w:val="28"/>
      <w:szCs w:val="28"/>
      <w:lang w:eastAsia="en-US"/>
    </w:rPr>
  </w:style>
  <w:style w:type="character" w:customStyle="1" w:styleId="Normln1">
    <w:name w:val="Normální1"/>
    <w:basedOn w:val="Standardnpsmoodstavce"/>
    <w:uiPriority w:val="99"/>
    <w:rsid w:val="00D07C3E"/>
    <w:rPr>
      <w:rFonts w:cs="Times New Roman"/>
    </w:rPr>
  </w:style>
  <w:style w:type="paragraph" w:customStyle="1" w:styleId="Default">
    <w:name w:val="Default"/>
    <w:rsid w:val="00E4289F"/>
    <w:pPr>
      <w:autoSpaceDE w:val="0"/>
      <w:autoSpaceDN w:val="0"/>
      <w:adjustRightInd w:val="0"/>
    </w:pPr>
    <w:rPr>
      <w:rFonts w:ascii="Verdana" w:hAnsi="Verdana" w:cs="Verdana"/>
      <w:color w:val="000000"/>
      <w:sz w:val="24"/>
      <w:szCs w:val="24"/>
    </w:rPr>
  </w:style>
  <w:style w:type="character" w:customStyle="1" w:styleId="skypepnhtextspan">
    <w:name w:val="skype_pnh_text_span"/>
    <w:basedOn w:val="Standardnpsmoodstavce"/>
    <w:uiPriority w:val="99"/>
    <w:rsid w:val="00E4289F"/>
    <w:rPr>
      <w:rFonts w:cs="Times New Roman"/>
    </w:rPr>
  </w:style>
  <w:style w:type="paragraph" w:styleId="Zkladntextodsazen2">
    <w:name w:val="Body Text Indent 2"/>
    <w:basedOn w:val="Normln"/>
    <w:link w:val="Zkladntextodsazen2Char"/>
    <w:rsid w:val="006461F3"/>
    <w:pPr>
      <w:spacing w:after="120" w:line="480" w:lineRule="auto"/>
      <w:ind w:left="283"/>
    </w:pPr>
  </w:style>
  <w:style w:type="character" w:customStyle="1" w:styleId="Zkladntextodsazen2Char">
    <w:name w:val="Základní text odsazený 2 Char"/>
    <w:basedOn w:val="Standardnpsmoodstavce"/>
    <w:link w:val="Zkladntextodsazen2"/>
    <w:locked/>
    <w:rsid w:val="006461F3"/>
    <w:rPr>
      <w:rFonts w:cs="Times New Roman"/>
      <w:lang w:eastAsia="ar-SA" w:bidi="ar-SA"/>
    </w:rPr>
  </w:style>
  <w:style w:type="paragraph" w:customStyle="1" w:styleId="cislovani1">
    <w:name w:val="cislovani 1"/>
    <w:basedOn w:val="Normln"/>
    <w:next w:val="Normln"/>
    <w:uiPriority w:val="99"/>
    <w:rsid w:val="0044675F"/>
    <w:pPr>
      <w:keepNext/>
      <w:numPr>
        <w:numId w:val="3"/>
      </w:numPr>
      <w:suppressAutoHyphens w:val="0"/>
      <w:spacing w:before="480" w:line="288" w:lineRule="auto"/>
      <w:ind w:left="567"/>
    </w:pPr>
    <w:rPr>
      <w:rFonts w:ascii="JohnSans Text Pro" w:hAnsi="JohnSans Text Pro"/>
      <w:b/>
      <w:caps/>
      <w:sz w:val="24"/>
      <w:szCs w:val="24"/>
      <w:lang w:eastAsia="cs-CZ"/>
    </w:rPr>
  </w:style>
  <w:style w:type="paragraph" w:customStyle="1" w:styleId="Cislovani2">
    <w:name w:val="Cislovani 2"/>
    <w:basedOn w:val="Normln"/>
    <w:uiPriority w:val="99"/>
    <w:rsid w:val="0044675F"/>
    <w:pPr>
      <w:keepNext/>
      <w:tabs>
        <w:tab w:val="left" w:pos="851"/>
        <w:tab w:val="left" w:pos="1021"/>
      </w:tabs>
      <w:suppressAutoHyphens w:val="0"/>
      <w:spacing w:before="240" w:line="288" w:lineRule="auto"/>
      <w:ind w:left="2214" w:hanging="360"/>
      <w:jc w:val="both"/>
    </w:pPr>
    <w:rPr>
      <w:rFonts w:ascii="JohnSans Text Pro" w:hAnsi="JohnSans Text Pro"/>
      <w:szCs w:val="24"/>
      <w:lang w:eastAsia="cs-CZ"/>
    </w:rPr>
  </w:style>
  <w:style w:type="paragraph" w:customStyle="1" w:styleId="Cislovani3">
    <w:name w:val="Cislovani 3"/>
    <w:basedOn w:val="Normln"/>
    <w:uiPriority w:val="99"/>
    <w:rsid w:val="0044675F"/>
    <w:pPr>
      <w:numPr>
        <w:ilvl w:val="2"/>
        <w:numId w:val="3"/>
      </w:numPr>
      <w:tabs>
        <w:tab w:val="left" w:pos="851"/>
      </w:tabs>
      <w:suppressAutoHyphens w:val="0"/>
      <w:spacing w:before="120" w:line="288" w:lineRule="auto"/>
      <w:jc w:val="both"/>
    </w:pPr>
    <w:rPr>
      <w:rFonts w:ascii="JohnSans Text Pro" w:hAnsi="JohnSans Text Pro"/>
      <w:szCs w:val="24"/>
      <w:lang w:eastAsia="cs-CZ"/>
    </w:rPr>
  </w:style>
  <w:style w:type="paragraph" w:customStyle="1" w:styleId="Cislovani4">
    <w:name w:val="Cislovani 4"/>
    <w:basedOn w:val="Normln"/>
    <w:uiPriority w:val="99"/>
    <w:rsid w:val="0044675F"/>
    <w:pPr>
      <w:numPr>
        <w:ilvl w:val="3"/>
        <w:numId w:val="3"/>
      </w:numPr>
      <w:tabs>
        <w:tab w:val="left" w:pos="851"/>
      </w:tabs>
      <w:suppressAutoHyphens w:val="0"/>
      <w:spacing w:before="120" w:line="288" w:lineRule="auto"/>
      <w:ind w:left="851" w:hanging="851"/>
      <w:jc w:val="both"/>
    </w:pPr>
    <w:rPr>
      <w:rFonts w:ascii="JohnSans Text Pro" w:hAnsi="JohnSans Text Pro"/>
      <w:szCs w:val="24"/>
      <w:lang w:eastAsia="cs-CZ"/>
    </w:rPr>
  </w:style>
  <w:style w:type="paragraph" w:customStyle="1" w:styleId="Cislovani4text">
    <w:name w:val="Cislovani 4 text"/>
    <w:basedOn w:val="Normln"/>
    <w:uiPriority w:val="99"/>
    <w:qFormat/>
    <w:rsid w:val="0044675F"/>
    <w:pPr>
      <w:numPr>
        <w:ilvl w:val="4"/>
        <w:numId w:val="3"/>
      </w:numPr>
      <w:tabs>
        <w:tab w:val="left" w:pos="851"/>
      </w:tabs>
      <w:suppressAutoHyphens w:val="0"/>
      <w:spacing w:before="120" w:line="288" w:lineRule="auto"/>
      <w:ind w:left="851" w:hanging="851"/>
      <w:jc w:val="both"/>
    </w:pPr>
    <w:rPr>
      <w:rFonts w:ascii="JohnSans Text Pro" w:hAnsi="JohnSans Text Pro"/>
      <w:i/>
      <w:szCs w:val="24"/>
      <w:lang w:eastAsia="cs-CZ"/>
    </w:rPr>
  </w:style>
  <w:style w:type="character" w:styleId="Siln">
    <w:name w:val="Strong"/>
    <w:basedOn w:val="Standardnpsmoodstavce"/>
    <w:uiPriority w:val="99"/>
    <w:qFormat/>
    <w:rsid w:val="00633691"/>
    <w:rPr>
      <w:rFonts w:cs="Times New Roman"/>
      <w:b/>
    </w:rPr>
  </w:style>
  <w:style w:type="character" w:styleId="Sledovanodkaz">
    <w:name w:val="FollowedHyperlink"/>
    <w:basedOn w:val="Standardnpsmoodstavce"/>
    <w:uiPriority w:val="99"/>
    <w:rsid w:val="001E34ED"/>
    <w:rPr>
      <w:rFonts w:cs="Times New Roman"/>
      <w:color w:val="800080"/>
      <w:u w:val="single"/>
    </w:rPr>
  </w:style>
  <w:style w:type="paragraph" w:styleId="Revize">
    <w:name w:val="Revision"/>
    <w:hidden/>
    <w:uiPriority w:val="99"/>
    <w:semiHidden/>
    <w:rsid w:val="00847629"/>
    <w:rPr>
      <w:lang w:eastAsia="ar-SA"/>
    </w:rPr>
  </w:style>
  <w:style w:type="character" w:customStyle="1" w:styleId="cpvselected1">
    <w:name w:val="cpvselected1"/>
    <w:basedOn w:val="Standardnpsmoodstavce"/>
    <w:uiPriority w:val="99"/>
    <w:rsid w:val="00F77EA6"/>
    <w:rPr>
      <w:rFonts w:cs="Times New Roman"/>
      <w:color w:val="FF0000"/>
    </w:rPr>
  </w:style>
  <w:style w:type="paragraph" w:styleId="Zkladntext3">
    <w:name w:val="Body Text 3"/>
    <w:basedOn w:val="Normln"/>
    <w:link w:val="Zkladntext3Char"/>
    <w:uiPriority w:val="99"/>
    <w:rsid w:val="00EF16E4"/>
    <w:pPr>
      <w:suppressAutoHyphens w:val="0"/>
      <w:spacing w:after="120"/>
    </w:pPr>
    <w:rPr>
      <w:sz w:val="16"/>
      <w:szCs w:val="16"/>
      <w:lang w:eastAsia="cs-CZ"/>
    </w:rPr>
  </w:style>
  <w:style w:type="character" w:customStyle="1" w:styleId="Zkladntext3Char">
    <w:name w:val="Základní text 3 Char"/>
    <w:basedOn w:val="Standardnpsmoodstavce"/>
    <w:link w:val="Zkladntext3"/>
    <w:uiPriority w:val="99"/>
    <w:locked/>
    <w:rsid w:val="00EF16E4"/>
    <w:rPr>
      <w:rFonts w:cs="Times New Roman"/>
      <w:sz w:val="16"/>
      <w:szCs w:val="16"/>
    </w:rPr>
  </w:style>
  <w:style w:type="paragraph" w:styleId="Pokraovnseznamu">
    <w:name w:val="List Continue"/>
    <w:basedOn w:val="Normln"/>
    <w:uiPriority w:val="99"/>
    <w:rsid w:val="00C460B1"/>
    <w:pPr>
      <w:spacing w:after="120"/>
      <w:ind w:left="283"/>
      <w:contextualSpacing/>
    </w:pPr>
  </w:style>
  <w:style w:type="paragraph" w:customStyle="1" w:styleId="Zkladntext31">
    <w:name w:val="Základní text 31"/>
    <w:basedOn w:val="Normln"/>
    <w:uiPriority w:val="99"/>
    <w:rsid w:val="00C460B1"/>
    <w:pPr>
      <w:suppressAutoHyphens w:val="0"/>
      <w:overflowPunct w:val="0"/>
      <w:autoSpaceDE w:val="0"/>
      <w:autoSpaceDN w:val="0"/>
      <w:adjustRightInd w:val="0"/>
      <w:spacing w:before="120" w:line="240" w:lineRule="atLeast"/>
      <w:textAlignment w:val="baseline"/>
    </w:pPr>
    <w:rPr>
      <w:sz w:val="22"/>
      <w:lang w:eastAsia="cs-CZ"/>
    </w:rPr>
  </w:style>
  <w:style w:type="character" w:customStyle="1" w:styleId="NzevChar">
    <w:name w:val="Název Char"/>
    <w:basedOn w:val="Standardnpsmoodstavce"/>
    <w:link w:val="Nzev"/>
    <w:uiPriority w:val="99"/>
    <w:locked/>
    <w:rsid w:val="00E12F0E"/>
    <w:rPr>
      <w:rFonts w:cs="Times New Roman"/>
      <w:b/>
      <w:sz w:val="40"/>
    </w:rPr>
  </w:style>
  <w:style w:type="paragraph" w:customStyle="1" w:styleId="NormalJustified">
    <w:name w:val="Normal (Justified)"/>
    <w:basedOn w:val="Normln"/>
    <w:uiPriority w:val="99"/>
    <w:rsid w:val="00E12F0E"/>
    <w:pPr>
      <w:widowControl w:val="0"/>
      <w:suppressAutoHyphens w:val="0"/>
      <w:jc w:val="both"/>
    </w:pPr>
    <w:rPr>
      <w:kern w:val="28"/>
      <w:sz w:val="24"/>
      <w:lang w:eastAsia="cs-CZ"/>
    </w:rPr>
  </w:style>
  <w:style w:type="paragraph" w:styleId="Zkladntextodsazen">
    <w:name w:val="Body Text Indent"/>
    <w:basedOn w:val="Normln"/>
    <w:link w:val="ZkladntextodsazenChar"/>
    <w:uiPriority w:val="99"/>
    <w:rsid w:val="0057497A"/>
    <w:pPr>
      <w:spacing w:after="120"/>
      <w:ind w:left="283"/>
    </w:pPr>
  </w:style>
  <w:style w:type="character" w:customStyle="1" w:styleId="ZkladntextodsazenChar">
    <w:name w:val="Základní text odsazený Char"/>
    <w:basedOn w:val="Standardnpsmoodstavce"/>
    <w:link w:val="Zkladntextodsazen"/>
    <w:uiPriority w:val="99"/>
    <w:locked/>
    <w:rsid w:val="0057497A"/>
    <w:rPr>
      <w:rFonts w:cs="Times New Roman"/>
      <w:lang w:eastAsia="ar-SA" w:bidi="ar-SA"/>
    </w:rPr>
  </w:style>
  <w:style w:type="paragraph" w:customStyle="1" w:styleId="Zkladntext32">
    <w:name w:val="Základní text 32"/>
    <w:basedOn w:val="Normln"/>
    <w:uiPriority w:val="99"/>
    <w:rsid w:val="006F5A08"/>
    <w:pPr>
      <w:suppressAutoHyphens w:val="0"/>
      <w:overflowPunct w:val="0"/>
      <w:autoSpaceDE w:val="0"/>
      <w:autoSpaceDN w:val="0"/>
      <w:adjustRightInd w:val="0"/>
      <w:spacing w:before="120" w:line="240" w:lineRule="atLeast"/>
      <w:textAlignment w:val="baseline"/>
    </w:pPr>
    <w:rPr>
      <w:sz w:val="22"/>
      <w:lang w:eastAsia="cs-CZ"/>
    </w:rPr>
  </w:style>
  <w:style w:type="paragraph" w:customStyle="1" w:styleId="paragraph">
    <w:name w:val="paragraph"/>
    <w:basedOn w:val="Normln"/>
    <w:link w:val="paragraphChar"/>
    <w:qFormat/>
    <w:rsid w:val="00C23499"/>
    <w:pPr>
      <w:spacing w:before="240" w:after="240" w:line="276" w:lineRule="auto"/>
      <w:ind w:left="574"/>
      <w:jc w:val="both"/>
    </w:pPr>
    <w:rPr>
      <w:rFonts w:ascii="Arial" w:eastAsia="MS Gothic" w:hAnsi="Arial" w:cs="Arial"/>
    </w:rPr>
  </w:style>
  <w:style w:type="character" w:customStyle="1" w:styleId="paragraphChar">
    <w:name w:val="paragraph Char"/>
    <w:basedOn w:val="Standardnpsmoodstavce"/>
    <w:link w:val="paragraph"/>
    <w:rsid w:val="00C23499"/>
    <w:rPr>
      <w:rFonts w:ascii="Arial" w:eastAsia="MS Gothic" w:hAnsi="Arial" w:cs="Arial"/>
      <w:sz w:val="20"/>
      <w:szCs w:val="20"/>
      <w:lang w:eastAsia="ar-SA"/>
    </w:rPr>
  </w:style>
  <w:style w:type="character" w:customStyle="1" w:styleId="datalabel">
    <w:name w:val="datalabel"/>
    <w:basedOn w:val="Standardnpsmoodstavce"/>
    <w:rsid w:val="00C65177"/>
  </w:style>
  <w:style w:type="paragraph" w:styleId="Textpoznpodarou">
    <w:name w:val="footnote text"/>
    <w:basedOn w:val="Normln"/>
    <w:link w:val="TextpoznpodarouChar"/>
    <w:uiPriority w:val="99"/>
    <w:semiHidden/>
    <w:unhideWhenUsed/>
    <w:locked/>
    <w:rsid w:val="00CB1F8D"/>
  </w:style>
  <w:style w:type="character" w:customStyle="1" w:styleId="TextpoznpodarouChar">
    <w:name w:val="Text pozn. pod čarou Char"/>
    <w:basedOn w:val="Standardnpsmoodstavce"/>
    <w:link w:val="Textpoznpodarou"/>
    <w:uiPriority w:val="99"/>
    <w:semiHidden/>
    <w:rsid w:val="00CB1F8D"/>
    <w:rPr>
      <w:sz w:val="20"/>
      <w:szCs w:val="20"/>
      <w:lang w:eastAsia="ar-SA"/>
    </w:rPr>
  </w:style>
  <w:style w:type="character" w:styleId="Znakapoznpodarou">
    <w:name w:val="footnote reference"/>
    <w:basedOn w:val="Standardnpsmoodstavce"/>
    <w:uiPriority w:val="99"/>
    <w:semiHidden/>
    <w:unhideWhenUsed/>
    <w:locked/>
    <w:rsid w:val="00CB1F8D"/>
    <w:rPr>
      <w:vertAlign w:val="superscript"/>
    </w:rPr>
  </w:style>
  <w:style w:type="character" w:customStyle="1" w:styleId="cpvselected">
    <w:name w:val="cpvselected"/>
    <w:basedOn w:val="Standardnpsmoodstavce"/>
    <w:rsid w:val="0036706C"/>
  </w:style>
  <w:style w:type="table" w:styleId="Mkatabulky">
    <w:name w:val="Table Grid"/>
    <w:basedOn w:val="Normlntabulka"/>
    <w:uiPriority w:val="59"/>
    <w:rsid w:val="008F5B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8F5B5A"/>
    <w:rPr>
      <w:color w:val="605E5C"/>
      <w:shd w:val="clear" w:color="auto" w:fill="E1DFDD"/>
    </w:rPr>
  </w:style>
  <w:style w:type="character" w:customStyle="1" w:styleId="OdstavecseseznamemChar">
    <w:name w:val="Odstavec se seznamem Char"/>
    <w:basedOn w:val="Standardnpsmoodstavce"/>
    <w:link w:val="Odstavecseseznamem"/>
    <w:uiPriority w:val="34"/>
    <w:locked/>
    <w:rsid w:val="00A7042C"/>
    <w:rPr>
      <w:rFonts w:ascii="Calibri" w:hAnsi="Calibri"/>
    </w:rPr>
  </w:style>
  <w:style w:type="character" w:styleId="Nevyeenzmnka">
    <w:name w:val="Unresolved Mention"/>
    <w:basedOn w:val="Standardnpsmoodstavce"/>
    <w:uiPriority w:val="99"/>
    <w:semiHidden/>
    <w:unhideWhenUsed/>
    <w:rsid w:val="00926AEE"/>
    <w:rPr>
      <w:color w:val="605E5C"/>
      <w:shd w:val="clear" w:color="auto" w:fill="E1DFDD"/>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CellMar>
        <w:top w:w="0" w:type="dxa"/>
        <w:left w:w="108" w:type="dxa"/>
        <w:bottom w:w="0" w:type="dxa"/>
        <w:right w:w="108" w:type="dxa"/>
      </w:tblCellMar>
    </w:tblPr>
  </w:style>
  <w:style w:type="table" w:customStyle="1" w:styleId="ad">
    <w:basedOn w:val="TableNormal"/>
    <w:tblPr>
      <w:tblStyleRowBandSize w:val="1"/>
      <w:tblStyleColBandSize w:val="1"/>
      <w:tblCellMar>
        <w:top w:w="0" w:type="dxa"/>
        <w:left w:w="108" w:type="dxa"/>
        <w:bottom w:w="0" w:type="dxa"/>
        <w:right w:w="108" w:type="dxa"/>
      </w:tblCellMar>
    </w:tblPr>
  </w:style>
  <w:style w:type="table" w:customStyle="1" w:styleId="ae">
    <w:basedOn w:val="TableNormal"/>
    <w:tblPr>
      <w:tblStyleRowBandSize w:val="1"/>
      <w:tblStyleColBandSize w:val="1"/>
      <w:tblCellMar>
        <w:top w:w="0" w:type="dxa"/>
        <w:left w:w="108" w:type="dxa"/>
        <w:bottom w:w="0" w:type="dxa"/>
        <w:right w:w="108" w:type="dxa"/>
      </w:tblCellMar>
    </w:tblPr>
  </w:style>
  <w:style w:type="table" w:customStyle="1" w:styleId="af">
    <w:basedOn w:val="TableNormal"/>
    <w:tblPr>
      <w:tblStyleRowBandSize w:val="1"/>
      <w:tblStyleColBandSize w:val="1"/>
      <w:tblCellMar>
        <w:top w:w="0" w:type="dxa"/>
        <w:left w:w="108" w:type="dxa"/>
        <w:bottom w:w="0" w:type="dxa"/>
        <w:right w:w="108" w:type="dxa"/>
      </w:tblCellMar>
    </w:tblPr>
  </w:style>
  <w:style w:type="table" w:customStyle="1" w:styleId="af0">
    <w:basedOn w:val="TableNormal"/>
    <w:tblPr>
      <w:tblStyleRowBandSize w:val="1"/>
      <w:tblStyleColBandSize w:val="1"/>
      <w:tblCellMar>
        <w:top w:w="0" w:type="dxa"/>
        <w:left w:w="108" w:type="dxa"/>
        <w:bottom w:w="0" w:type="dxa"/>
        <w:right w:w="108" w:type="dxa"/>
      </w:tblCellMar>
    </w:tblPr>
  </w:style>
  <w:style w:type="table" w:customStyle="1" w:styleId="af1">
    <w:basedOn w:val="TableNormal"/>
    <w:tblPr>
      <w:tblStyleRowBandSize w:val="1"/>
      <w:tblStyleColBandSize w:val="1"/>
      <w:tblCellMar>
        <w:top w:w="0" w:type="dxa"/>
        <w:left w:w="108" w:type="dxa"/>
        <w:bottom w:w="0" w:type="dxa"/>
        <w:right w:w="108" w:type="dxa"/>
      </w:tblCellMar>
    </w:tblPr>
  </w:style>
  <w:style w:type="table" w:customStyle="1" w:styleId="af2">
    <w:basedOn w:val="TableNormal"/>
    <w:tblPr>
      <w:tblStyleRowBandSize w:val="1"/>
      <w:tblStyleColBandSize w:val="1"/>
      <w:tblCellMar>
        <w:top w:w="0" w:type="dxa"/>
        <w:left w:w="108" w:type="dxa"/>
        <w:bottom w:w="0" w:type="dxa"/>
        <w:right w:w="108" w:type="dxa"/>
      </w:tblCellMar>
    </w:tblPr>
  </w:style>
  <w:style w:type="table" w:customStyle="1" w:styleId="af3">
    <w:basedOn w:val="TableNormal"/>
    <w:tblPr>
      <w:tblStyleRowBandSize w:val="1"/>
      <w:tblStyleColBandSize w:val="1"/>
      <w:tblCellMar>
        <w:top w:w="0" w:type="dxa"/>
        <w:left w:w="108" w:type="dxa"/>
        <w:bottom w:w="0" w:type="dxa"/>
        <w:right w:w="108" w:type="dxa"/>
      </w:tblCellMar>
    </w:tblPr>
  </w:style>
  <w:style w:type="table" w:customStyle="1" w:styleId="af4">
    <w:basedOn w:val="TableNormal"/>
    <w:tblPr>
      <w:tblStyleRowBandSize w:val="1"/>
      <w:tblStyleColBandSize w:val="1"/>
      <w:tblCellMar>
        <w:top w:w="0" w:type="dxa"/>
        <w:left w:w="108" w:type="dxa"/>
        <w:bottom w:w="0" w:type="dxa"/>
        <w:right w:w="108" w:type="dxa"/>
      </w:tblCellMar>
    </w:tblPr>
  </w:style>
  <w:style w:type="table" w:customStyle="1" w:styleId="af5">
    <w:basedOn w:val="TableNormal"/>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0" w:type="dxa"/>
        <w:left w:w="108" w:type="dxa"/>
        <w:bottom w:w="0" w:type="dxa"/>
        <w:right w:w="108" w:type="dxa"/>
      </w:tblCellMar>
    </w:tblPr>
  </w:style>
  <w:style w:type="table" w:customStyle="1" w:styleId="af7">
    <w:basedOn w:val="TableNormal"/>
    <w:tblPr>
      <w:tblStyleRowBandSize w:val="1"/>
      <w:tblStyleColBandSize w:val="1"/>
      <w:tblCellMar>
        <w:top w:w="0" w:type="dxa"/>
        <w:left w:w="108" w:type="dxa"/>
        <w:bottom w:w="0" w:type="dxa"/>
        <w:right w:w="108" w:type="dxa"/>
      </w:tblCellMar>
    </w:tblPr>
  </w:style>
  <w:style w:type="table" w:customStyle="1" w:styleId="af8">
    <w:basedOn w:val="TableNormal"/>
    <w:tblPr>
      <w:tblStyleRowBandSize w:val="1"/>
      <w:tblStyleColBandSize w:val="1"/>
      <w:tblCellMar>
        <w:top w:w="0" w:type="dxa"/>
        <w:left w:w="108" w:type="dxa"/>
        <w:bottom w:w="0" w:type="dxa"/>
        <w:right w:w="108" w:type="dxa"/>
      </w:tblCellMar>
    </w:tblPr>
  </w:style>
  <w:style w:type="table" w:customStyle="1" w:styleId="af9">
    <w:basedOn w:val="TableNormal"/>
    <w:tblPr>
      <w:tblStyleRowBandSize w:val="1"/>
      <w:tblStyleColBandSize w:val="1"/>
      <w:tblCellMar>
        <w:top w:w="0" w:type="dxa"/>
        <w:left w:w="108" w:type="dxa"/>
        <w:bottom w:w="0" w:type="dxa"/>
        <w:right w:w="108" w:type="dxa"/>
      </w:tblCellMar>
    </w:tblPr>
  </w:style>
  <w:style w:type="table" w:customStyle="1" w:styleId="afa">
    <w:basedOn w:val="TableNormal"/>
    <w:tblPr>
      <w:tblStyleRowBandSize w:val="1"/>
      <w:tblStyleColBandSize w:val="1"/>
      <w:tblCellMar>
        <w:top w:w="0" w:type="dxa"/>
        <w:left w:w="108" w:type="dxa"/>
        <w:bottom w:w="0" w:type="dxa"/>
        <w:right w:w="108" w:type="dxa"/>
      </w:tblCellMar>
    </w:tblPr>
  </w:style>
  <w:style w:type="table" w:customStyle="1" w:styleId="afb">
    <w:basedOn w:val="TableNormal"/>
    <w:tblPr>
      <w:tblStyleRowBandSize w:val="1"/>
      <w:tblStyleColBandSize w:val="1"/>
      <w:tblCellMar>
        <w:top w:w="0" w:type="dxa"/>
        <w:left w:w="108" w:type="dxa"/>
        <w:bottom w:w="0" w:type="dxa"/>
        <w:right w:w="108" w:type="dxa"/>
      </w:tblCellMar>
    </w:tblPr>
  </w:style>
  <w:style w:type="table" w:customStyle="1" w:styleId="afc">
    <w:basedOn w:val="TableNormal"/>
    <w:tblPr>
      <w:tblStyleRowBandSize w:val="1"/>
      <w:tblStyleColBandSize w:val="1"/>
      <w:tblCellMar>
        <w:top w:w="0" w:type="dxa"/>
        <w:left w:w="108" w:type="dxa"/>
        <w:bottom w:w="0" w:type="dxa"/>
        <w:right w:w="108" w:type="dxa"/>
      </w:tblCellMar>
    </w:tblPr>
  </w:style>
  <w:style w:type="table" w:customStyle="1" w:styleId="afd">
    <w:basedOn w:val="TableNormal"/>
    <w:tblPr>
      <w:tblStyleRowBandSize w:val="1"/>
      <w:tblStyleColBandSize w:val="1"/>
      <w:tblCellMar>
        <w:top w:w="0" w:type="dxa"/>
        <w:left w:w="108" w:type="dxa"/>
        <w:bottom w:w="0" w:type="dxa"/>
        <w:right w:w="108" w:type="dxa"/>
      </w:tblCellMar>
    </w:tblPr>
  </w:style>
  <w:style w:type="table" w:customStyle="1" w:styleId="afe">
    <w:basedOn w:val="TableNormal"/>
    <w:tblPr>
      <w:tblStyleRowBandSize w:val="1"/>
      <w:tblStyleColBandSize w:val="1"/>
      <w:tblCellMar>
        <w:top w:w="0" w:type="dxa"/>
        <w:left w:w="108" w:type="dxa"/>
        <w:bottom w:w="0" w:type="dxa"/>
        <w:right w:w="108" w:type="dxa"/>
      </w:tblCellMar>
    </w:tblPr>
  </w:style>
  <w:style w:type="table" w:customStyle="1" w:styleId="aff">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zakazky.cz/Profil-Zadavatele/59ec320c-c525-4155-9262-a65c6e32395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ur-lex.europa.eu/legal-content/CS/TXT/?uri=CELEX:02014R0833-20241217" TargetMode="External"/><Relationship Id="rId4" Type="http://schemas.openxmlformats.org/officeDocument/2006/relationships/settings" Target="settings.xml"/><Relationship Id="rId9" Type="http://schemas.openxmlformats.org/officeDocument/2006/relationships/hyperlink" Target="https://www.sfzp.cz/dokumenty/detail/?id=2430"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CS/legal-content/summary/common-procurement-vocabulary.htm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EKfFAY56VvcRGV2H1Ziq6nFvDw==">CgMxLjAyCGguZ2pkZ3hzMgloLjMwajB6bGwyCWguMWZvYjl0ZTIJaC4zem55c2g3MgloLjJldDkycDAyCGgudHlqY3d0MgloLjF0M2g1c2YyCWguM2R5NnZrbTIJaC4xdDNoNXNmMgloLjRkMzRvZzgyCWguMnM4ZXlvMTIJaC4xN2RwOHZ1MgloLjNyZGNyam4yCWguMjZpbjFyZzIIaC5sbnhiejkyCWguMzVua3VuMjIJaC4xa3N2NHV2MgloLjQ0c2luaW8yCWguMmp4c3hxaDgAciExT1JWT2tFQW16ejIxekRVOXduNEFVUHVQNllzMnNiem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3561</Words>
  <Characters>21015</Characters>
  <Application>Microsoft Office Word</Application>
  <DocSecurity>0</DocSecurity>
  <Lines>175</Lines>
  <Paragraphs>49</Paragraphs>
  <ScaleCrop>false</ScaleCrop>
  <Company/>
  <LinksUpToDate>false</LinksUpToDate>
  <CharactersWithSpaces>24527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dc:creator>
  <cp:lastModifiedBy>Tomáš Domin</cp:lastModifiedBy>
  <cp:revision>4</cp:revision>
  <dcterms:created xsi:type="dcterms:W3CDTF">2024-07-16T10:40:00Z</dcterms:created>
  <dcterms:modified xsi:type="dcterms:W3CDTF">2025-02-26T18:39:00Z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0x0101005B3488C67560CB4CA15A3F3B67B54561</vt:lpwstr>
  </property>
</Properties>
</file>