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7B" w:rsidRDefault="00AB117B" w:rsidP="00AB117B">
      <w:pPr>
        <w:jc w:val="center"/>
      </w:pPr>
    </w:p>
    <w:p w:rsidR="00AB117B" w:rsidRDefault="00AB117B" w:rsidP="00AB117B">
      <w:pPr>
        <w:jc w:val="center"/>
      </w:pPr>
      <w:r>
        <w:t>TECHNICKÉ SPECIFIKACE VOZIDLA PRO ZJEDNODUŠENÉ PODLIMITNÍ ŘÍZENÍ NA:</w:t>
      </w:r>
    </w:p>
    <w:p w:rsidR="00AB117B" w:rsidRDefault="00AB117B" w:rsidP="00AB117B">
      <w:pPr>
        <w:jc w:val="center"/>
      </w:pPr>
    </w:p>
    <w:p w:rsidR="00AB117B" w:rsidRPr="00156378" w:rsidRDefault="00AB117B" w:rsidP="00AB117B">
      <w:pPr>
        <w:rPr>
          <w:rFonts w:ascii="Arial" w:hAnsi="Arial" w:cs="Arial"/>
        </w:rPr>
      </w:pPr>
    </w:p>
    <w:p w:rsidR="00AB117B" w:rsidRPr="00766B19" w:rsidRDefault="00AB117B" w:rsidP="00AB117B">
      <w:pPr>
        <w:ind w:left="3540" w:hanging="3540"/>
        <w:jc w:val="center"/>
        <w:rPr>
          <w:rFonts w:ascii="Arial" w:hAnsi="Arial" w:cs="Arial"/>
          <w:b/>
          <w:smallCaps/>
          <w:sz w:val="24"/>
          <w:szCs w:val="24"/>
        </w:rPr>
      </w:pPr>
      <w:r w:rsidRPr="00766B19">
        <w:rPr>
          <w:rFonts w:ascii="Arial" w:hAnsi="Arial" w:cs="Arial"/>
          <w:b/>
          <w:smallCaps/>
          <w:sz w:val="24"/>
          <w:szCs w:val="24"/>
        </w:rPr>
        <w:t>„</w:t>
      </w:r>
      <w:r w:rsidRPr="00766B19">
        <w:rPr>
          <w:rFonts w:ascii="Arial" w:hAnsi="Arial" w:cs="Arial"/>
          <w:b/>
          <w:smallCaps/>
          <w:sz w:val="24"/>
          <w:szCs w:val="24"/>
        </w:rPr>
        <w:t>DODÁVK</w:t>
      </w:r>
      <w:r w:rsidRPr="00766B19">
        <w:rPr>
          <w:rFonts w:ascii="Arial" w:hAnsi="Arial" w:cs="Arial"/>
          <w:b/>
          <w:smallCaps/>
          <w:sz w:val="24"/>
          <w:szCs w:val="24"/>
        </w:rPr>
        <w:t>U</w:t>
      </w:r>
      <w:r w:rsidRPr="00766B19">
        <w:rPr>
          <w:rFonts w:ascii="Arial" w:hAnsi="Arial" w:cs="Arial"/>
          <w:b/>
          <w:smallCaps/>
          <w:sz w:val="24"/>
          <w:szCs w:val="24"/>
        </w:rPr>
        <w:t xml:space="preserve"> VOZIDLA S HÁKOVÝM NOSIČEM KONTEJNERŮ, KONTEJNEREM A</w:t>
      </w:r>
    </w:p>
    <w:p w:rsidR="00AB117B" w:rsidRPr="00766B19" w:rsidRDefault="00AB117B" w:rsidP="00AB117B">
      <w:pPr>
        <w:ind w:left="3540" w:hanging="3540"/>
        <w:jc w:val="center"/>
        <w:rPr>
          <w:rFonts w:ascii="Arial" w:hAnsi="Arial" w:cs="Arial"/>
          <w:b/>
          <w:smallCaps/>
          <w:sz w:val="24"/>
          <w:szCs w:val="24"/>
        </w:rPr>
      </w:pPr>
      <w:r w:rsidRPr="00766B19">
        <w:rPr>
          <w:rFonts w:ascii="Arial" w:hAnsi="Arial" w:cs="Arial"/>
          <w:b/>
          <w:smallCaps/>
          <w:sz w:val="24"/>
          <w:szCs w:val="24"/>
        </w:rPr>
        <w:t>HYDRAULICKÝM JEŘÁBEM PRO TS PŘÍBRAM</w:t>
      </w:r>
      <w:r w:rsidRPr="00766B19">
        <w:rPr>
          <w:rFonts w:ascii="Arial" w:hAnsi="Arial" w:cs="Arial"/>
          <w:b/>
          <w:smallCaps/>
          <w:sz w:val="24"/>
          <w:szCs w:val="24"/>
        </w:rPr>
        <w:t>“</w:t>
      </w:r>
    </w:p>
    <w:p w:rsidR="004E735B" w:rsidRDefault="004E735B" w:rsidP="00AB117B">
      <w:pPr>
        <w:ind w:left="3540" w:hanging="3540"/>
        <w:jc w:val="center"/>
        <w:rPr>
          <w:rFonts w:ascii="Arial" w:hAnsi="Arial" w:cs="Arial"/>
          <w:b/>
          <w:smallCaps/>
        </w:rPr>
      </w:pPr>
    </w:p>
    <w:p w:rsidR="004E735B" w:rsidRDefault="004E735B" w:rsidP="00AB117B">
      <w:pPr>
        <w:ind w:left="3540" w:hanging="3540"/>
        <w:jc w:val="center"/>
        <w:rPr>
          <w:rFonts w:ascii="Arial" w:hAnsi="Arial" w:cs="Arial"/>
          <w:b/>
          <w:smallCaps/>
        </w:rPr>
      </w:pPr>
    </w:p>
    <w:p w:rsidR="004E735B" w:rsidRDefault="00AB117B" w:rsidP="004E735B">
      <w:pPr>
        <w:spacing w:line="240" w:lineRule="auto"/>
        <w:ind w:left="3540" w:hanging="3540"/>
        <w:jc w:val="left"/>
        <w:rPr>
          <w:rFonts w:ascii="Times New Roman" w:hAnsi="Times New Roman" w:cs="Times New Roman"/>
          <w:smallCaps/>
        </w:rPr>
      </w:pPr>
      <w:r w:rsidRPr="004E735B">
        <w:rPr>
          <w:rFonts w:ascii="Times New Roman" w:hAnsi="Times New Roman" w:cs="Times New Roman"/>
          <w:smallCaps/>
        </w:rPr>
        <w:t>Následující tabulku doplňte v příslušném políčku ano/ne a přiložte k nabídce. Jakékoli</w:t>
      </w:r>
      <w:r w:rsidR="00766B19">
        <w:rPr>
          <w:rFonts w:ascii="Times New Roman" w:hAnsi="Times New Roman" w:cs="Times New Roman"/>
          <w:smallCaps/>
        </w:rPr>
        <w:t>v</w:t>
      </w:r>
      <w:r w:rsidRPr="004E735B">
        <w:rPr>
          <w:rFonts w:ascii="Times New Roman" w:hAnsi="Times New Roman" w:cs="Times New Roman"/>
          <w:smallCaps/>
        </w:rPr>
        <w:t xml:space="preserve"> změny, či </w:t>
      </w:r>
    </w:p>
    <w:p w:rsidR="00AB117B" w:rsidRDefault="00AB117B" w:rsidP="004E735B">
      <w:pPr>
        <w:spacing w:line="240" w:lineRule="auto"/>
        <w:ind w:left="3540" w:hanging="3540"/>
        <w:jc w:val="left"/>
        <w:rPr>
          <w:rFonts w:ascii="Times New Roman" w:hAnsi="Times New Roman" w:cs="Times New Roman"/>
          <w:smallCaps/>
        </w:rPr>
      </w:pPr>
      <w:r w:rsidRPr="004E735B">
        <w:rPr>
          <w:rFonts w:ascii="Times New Roman" w:hAnsi="Times New Roman" w:cs="Times New Roman"/>
          <w:smallCaps/>
        </w:rPr>
        <w:t xml:space="preserve">zásahy do tabulky nejsou povoleny. </w:t>
      </w:r>
    </w:p>
    <w:p w:rsidR="00766B19" w:rsidRDefault="00766B19" w:rsidP="004E735B">
      <w:pPr>
        <w:spacing w:line="240" w:lineRule="auto"/>
        <w:ind w:left="3540" w:hanging="3540"/>
        <w:jc w:val="left"/>
        <w:rPr>
          <w:rFonts w:ascii="Times New Roman" w:hAnsi="Times New Roman" w:cs="Times New Roman"/>
          <w:smallCaps/>
        </w:rPr>
      </w:pPr>
    </w:p>
    <w:p w:rsidR="00766B19" w:rsidRPr="004E735B" w:rsidRDefault="00766B19" w:rsidP="004E735B">
      <w:pPr>
        <w:spacing w:line="240" w:lineRule="auto"/>
        <w:ind w:left="3540" w:hanging="3540"/>
        <w:jc w:val="left"/>
        <w:rPr>
          <w:rFonts w:ascii="Times New Roman" w:hAnsi="Times New Roman" w:cs="Times New Roman"/>
          <w:smallCaps/>
        </w:rPr>
      </w:pPr>
    </w:p>
    <w:p w:rsidR="00AB117B" w:rsidRDefault="00AB117B" w:rsidP="004E735B">
      <w:pPr>
        <w:spacing w:line="240" w:lineRule="auto"/>
        <w:ind w:left="3540" w:hanging="3540"/>
        <w:jc w:val="center"/>
        <w:rPr>
          <w:rFonts w:ascii="Arial" w:hAnsi="Arial" w:cs="Arial"/>
          <w:b/>
          <w:smallCaps/>
        </w:rPr>
      </w:pPr>
    </w:p>
    <w:p w:rsidR="00AB117B" w:rsidRPr="004E735B" w:rsidRDefault="00AB117B" w:rsidP="004E735B">
      <w:pPr>
        <w:spacing w:line="240" w:lineRule="auto"/>
        <w:ind w:left="3540" w:hanging="3540"/>
        <w:rPr>
          <w:rFonts w:ascii="Times New Roman" w:hAnsi="Times New Roman" w:cs="Times New Roman"/>
          <w:smallCaps/>
        </w:rPr>
      </w:pPr>
      <w:r w:rsidRPr="004E735B">
        <w:rPr>
          <w:rFonts w:ascii="Times New Roman" w:hAnsi="Times New Roman" w:cs="Times New Roman"/>
          <w:smallCaps/>
        </w:rPr>
        <w:t>Požadovaný minimální technický a uživatelský standard veřejné zakázky je definován takto:</w:t>
      </w:r>
    </w:p>
    <w:p w:rsidR="007A6EC3" w:rsidRDefault="007A6EC3"/>
    <w:p w:rsidR="004E735B" w:rsidRDefault="004E735B">
      <w:pPr>
        <w:rPr>
          <w:rFonts w:ascii="Times New Roman" w:hAnsi="Times New Roman" w:cs="Times New Roman"/>
          <w:b/>
          <w:u w:val="single"/>
        </w:rPr>
      </w:pPr>
      <w:r w:rsidRPr="004E735B">
        <w:rPr>
          <w:rFonts w:ascii="Times New Roman" w:hAnsi="Times New Roman" w:cs="Times New Roman"/>
          <w:b/>
          <w:u w:val="single"/>
        </w:rPr>
        <w:t>a/ OBECNÉ TECHNICKÉ PODMÍNKY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0"/>
        <w:gridCol w:w="960"/>
      </w:tblGrid>
      <w:tr w:rsidR="004E735B" w:rsidRPr="004E735B" w:rsidTr="004E735B">
        <w:trPr>
          <w:trHeight w:val="315"/>
        </w:trPr>
        <w:tc>
          <w:tcPr>
            <w:tcW w:w="8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požadavek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ano/ne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dvounápravový podvozek s celkovou hmotností do 12 000 Kg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hnaná náprava 4x2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uzávěrka diferenciálu zadní nápravy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výkon motoru min. 132 kW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kabina denní, provedení sedadel 2+1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nejméně jedno okno v zadní stěně kabiny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sedadlo řidiče vzduchem odpružené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převodovka manuální, min. 6 ti stupňová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vedlejší náhon pro pohon nástavby PTO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rozvor podvozku odpovídající pro parametry nástavby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ABS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 xml:space="preserve">odpružení přední nápravy </w:t>
            </w:r>
            <w:proofErr w:type="spellStart"/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prabol</w:t>
            </w:r>
            <w:proofErr w:type="spellEnd"/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. Pery, min. 4 200 Kg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odpružení zadní nápravy parabol. Pery, min. 8 000 Kg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stabilizátor přední a zadní nápravy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velikost kol min. 17,5´´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závěs pro přívěs 40mm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zásuvka 24V 7 pólová na konci rámu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lastRenderedPageBreak/>
              <w:t>hlavní odpojovač akumulátorů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motor min. EURO 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motorová brzda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výhřev palivového filtru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pomocné startovací zařízení pro zimní starty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tempomat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omezovač rychlosti elektronický 89km/hod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sání vyvedené nahoru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volant výškově i sklonově nastavitelný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centrální zamykání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elektrické ovládání oken řidiče a spolujezdce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zpětné zrcátko vyhřívané a el. Ovládané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 xml:space="preserve">širokoúhlé zrcátko vpravo a vlevo vyhřívané a el. </w:t>
            </w:r>
            <w:proofErr w:type="gramStart"/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ovládané</w:t>
            </w:r>
            <w:proofErr w:type="gram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zrcátko na obrubník vpravo</w:t>
            </w:r>
            <w:r w:rsidRPr="004E735B">
              <w:rPr>
                <w:rFonts w:ascii="Calibri" w:eastAsia="Times New Roman" w:hAnsi="Calibri" w:cs="Times New Roman"/>
                <w:color w:val="00B05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čelní rozjezdové zrcátko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denní svícení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2 pracovní světla na zadní stěně kabiny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digitální tachograf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rádio, sada nářadí, sada žárovek, lékárnička, výstražná svítilna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h</w:t>
            </w: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asicí přístroj 5 kg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hydraulický zvedák, min. 10 000 kg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1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rezervní kolo a podkládací klín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4E735B" w:rsidRDefault="004E735B">
      <w:pPr>
        <w:rPr>
          <w:rFonts w:ascii="Times New Roman" w:hAnsi="Times New Roman" w:cs="Times New Roman"/>
        </w:rPr>
      </w:pPr>
    </w:p>
    <w:p w:rsidR="00766B19" w:rsidRDefault="00766B19">
      <w:pPr>
        <w:rPr>
          <w:rFonts w:ascii="Times New Roman" w:hAnsi="Times New Roman" w:cs="Times New Roman"/>
        </w:rPr>
      </w:pPr>
    </w:p>
    <w:p w:rsidR="00766B19" w:rsidRDefault="00766B19">
      <w:pPr>
        <w:rPr>
          <w:rFonts w:ascii="Times New Roman" w:hAnsi="Times New Roman" w:cs="Times New Roman"/>
        </w:rPr>
      </w:pPr>
    </w:p>
    <w:p w:rsidR="004E735B" w:rsidRDefault="004E735B">
      <w:pPr>
        <w:rPr>
          <w:rFonts w:ascii="Times New Roman" w:hAnsi="Times New Roman" w:cs="Times New Roman"/>
          <w:b/>
          <w:u w:val="single"/>
        </w:rPr>
      </w:pPr>
      <w:r w:rsidRPr="004E735B">
        <w:rPr>
          <w:rFonts w:ascii="Times New Roman" w:hAnsi="Times New Roman" w:cs="Times New Roman"/>
          <w:b/>
          <w:u w:val="single"/>
        </w:rPr>
        <w:t xml:space="preserve">b/ </w:t>
      </w:r>
      <w:r>
        <w:rPr>
          <w:rFonts w:ascii="Times New Roman" w:hAnsi="Times New Roman" w:cs="Times New Roman"/>
          <w:b/>
          <w:u w:val="single"/>
        </w:rPr>
        <w:t xml:space="preserve"> HÁKOVÝ NOSIČ KONTEJNERŮ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0"/>
        <w:gridCol w:w="960"/>
      </w:tblGrid>
      <w:tr w:rsidR="004E735B" w:rsidRPr="004E735B" w:rsidTr="004E735B">
        <w:trPr>
          <w:trHeight w:val="315"/>
        </w:trPr>
        <w:tc>
          <w:tcPr>
            <w:tcW w:w="8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požadavek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ano/ne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nosič uzpůsoben na převoz kontejnerů s výškou oka 1000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provedení nosiče teleskopické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kapacita zdvihu min. 6 000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maximální nakládací výkon nosiče zajištěn i v krajních polohách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pro převoz kontejnerů s výškou oka 1000 mm, automatická pojistka háku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nosič pro převoz kontejnerů v rozmezí 3 800 - 4 200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venkovní ovládání nosiče rozvaděčem na levé straně vozidla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pneumatické ovládání nosiče z kabiny řidiče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elektronické jištění mylné operace obsluhy v kabině řidiče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hydraulické jištění kontejneru vnitřní včetně signalizace v kabině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Hmotnost max. 900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pístové čerpadlo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lastRenderedPageBreak/>
              <w:t>uzamykatelná schránka na nářadí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CE provedení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9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uložení kontejneru na rámu nosiče šesti bodové, 2x konzola s otěruvzdorným skluzem, 2x odlehčovací kladka bránící rozkmitání kontejneru při posunu a 2x zadní naváděcí kladka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okruhy všech hydraulických válců osazeny řídícími ventily a zámky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olejová nádrž s vestavěným filtrem na zpětné větvi a uzavíracím ventilem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základní a vrchní nástřik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proofErr w:type="spellStart"/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oceloplechový</w:t>
            </w:r>
            <w:proofErr w:type="spellEnd"/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 xml:space="preserve"> kontejner o </w:t>
            </w:r>
            <w:r w:rsidR="00ED07BA"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vnitřním</w:t>
            </w: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 xml:space="preserve"> rozměru 4 200 x 1 820 x 2 000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58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 xml:space="preserve">dno kontejneru o síle 3 mm, stěny o síle 2mm, sklopné bočnice vyjímatelné ze </w:t>
            </w:r>
            <w:r w:rsidR="00ED07BA"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závěsů na</w:t>
            </w: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 xml:space="preserve"> obou stranách a v provedení s dvoukřídlými vraty pro hákové natahování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4E735B" w:rsidRPr="004E735B" w:rsidTr="004E735B">
        <w:trPr>
          <w:trHeight w:val="31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barva kontejneru ve stejném provedení jako barva kabiny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35B" w:rsidRPr="004E735B" w:rsidRDefault="004E735B" w:rsidP="004E735B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4E735B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4E735B" w:rsidRDefault="004E735B">
      <w:pPr>
        <w:rPr>
          <w:rFonts w:ascii="Times New Roman" w:hAnsi="Times New Roman" w:cs="Times New Roman"/>
          <w:b/>
          <w:u w:val="single"/>
        </w:rPr>
      </w:pPr>
    </w:p>
    <w:p w:rsidR="00766B19" w:rsidRDefault="00766B19">
      <w:pPr>
        <w:rPr>
          <w:rFonts w:ascii="Times New Roman" w:hAnsi="Times New Roman" w:cs="Times New Roman"/>
          <w:b/>
          <w:u w:val="single"/>
        </w:rPr>
      </w:pPr>
    </w:p>
    <w:p w:rsidR="00766B19" w:rsidRDefault="00766B19">
      <w:pPr>
        <w:rPr>
          <w:rFonts w:ascii="Times New Roman" w:hAnsi="Times New Roman" w:cs="Times New Roman"/>
          <w:b/>
          <w:u w:val="single"/>
        </w:rPr>
      </w:pPr>
    </w:p>
    <w:p w:rsidR="004E735B" w:rsidRDefault="00ED07B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c/ HYDRAULICKÝ NAKLÁDACÍ JEŘÁB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0"/>
        <w:gridCol w:w="960"/>
      </w:tblGrid>
      <w:tr w:rsidR="00ED07BA" w:rsidRPr="00ED07BA" w:rsidTr="00ED07BA">
        <w:trPr>
          <w:trHeight w:val="315"/>
        </w:trPr>
        <w:tc>
          <w:tcPr>
            <w:tcW w:w="8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požadavek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ano/ne</w:t>
            </w:r>
          </w:p>
        </w:tc>
      </w:tr>
      <w:tr w:rsidR="00ED07BA" w:rsidRPr="00ED07BA" w:rsidTr="00ED07BA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Provedení dle normy EN 12999/2011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3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 xml:space="preserve">zdvihový moment min. 7,5 </w:t>
            </w:r>
            <w:proofErr w:type="spellStart"/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tm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6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verze jeřábu se zkráceným sklopným ramenem umožňující větší zdvihací výšku pod hákem a manipulaci s objemnými břemeny blízko sloupu jeřábu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2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hydraulické podpěry s manuálním stranovým výsuvem trámců min. 4 800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6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Systém zámků zamezující posunu trámců podpěr během přepravy, dvojité s pojistkou a signalizací v kabině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3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ručně naklopitelné podpěry o 180 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0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 xml:space="preserve">výkonný </w:t>
            </w:r>
            <w:proofErr w:type="spellStart"/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otočový</w:t>
            </w:r>
            <w:proofErr w:type="spellEnd"/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 xml:space="preserve"> systém s hřebenovou tyčí a pastorkem, rozsah otáčení min. 390°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66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proporcionální hydraulický sendvičový rozvaděč s citlivým, snadno přístupným a chráněným oboustranným ovládáním ze země (jeden na opěry a dvě na ovládání jeřábu)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2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sklopné rameno se dvěma teleskopickými výsuvy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systém výsuvů s rychlým chodem využívající tlaku vratného oleje a vnitřní vedení oleje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6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minimální horizontální dosah 7,00 m, hexagonální profil výložníku (nesekvenční systém vysouvání)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9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hák s bezpečnostní západkou a minimální nosností 5 400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hmotnost jeřábu včetně hydraulických podpěr bez náplní max. 1 150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6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trubky pro rozvod hydraulického oleje a veškeré spojovací součástky galvanizovány v ochranných obalech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sz w:val="22"/>
                <w:szCs w:val="22"/>
                <w:lang w:eastAsia="cs-CZ"/>
              </w:rPr>
              <w:t>Výbava HNJ je v souladu se zařazením HC1 HD4/B3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0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lastRenderedPageBreak/>
              <w:t>dvě přídavné funkce k rozvaděči aktivované na konci výložníku - 4ks rychlospojek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345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adaptér na otevírání dvoukomorových nádob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ED07BA" w:rsidRPr="00ED07BA" w:rsidTr="00ED07BA">
        <w:trPr>
          <w:trHeight w:val="420"/>
        </w:trPr>
        <w:tc>
          <w:tcPr>
            <w:tcW w:w="8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zdvihové síly: v 3,5 m - min. 2 200 Kg, 5,3 m - 1 440 Kg, 7,1 m - 1 060 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07BA" w:rsidRPr="00ED07BA" w:rsidRDefault="00ED07BA" w:rsidP="00ED07B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ED07B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:rsidR="00ED07BA" w:rsidRDefault="00ED07BA">
      <w:pPr>
        <w:rPr>
          <w:rFonts w:ascii="Times New Roman" w:hAnsi="Times New Roman" w:cs="Times New Roman"/>
          <w:b/>
          <w:u w:val="single"/>
        </w:rPr>
      </w:pPr>
    </w:p>
    <w:p w:rsidR="00ED07BA" w:rsidRDefault="00ED07B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d/Ostatní technické specifikace</w:t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Veškeré odkazy na</w:t>
      </w:r>
    </w:p>
    <w:bookmarkEnd w:id="0"/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A/ české technické normy, které přejímají evropské normy</w:t>
      </w:r>
      <w:r>
        <w:rPr>
          <w:rFonts w:ascii="Times New Roman" w:hAnsi="Times New Roman" w:cs="Times New Roman"/>
        </w:rPr>
        <w:tab/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B/ evropské normy</w:t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C/ evropská technická schválení</w:t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D/ technické specifikace zveřejněné v úředním věstníku EU</w:t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E/ české technické normy</w:t>
      </w: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Obsažené kdekoliv v zadávací dokumentaci nebo předaných podkladech jsou součástí technických specifikací této veřejné zakázky, i když nejsou výše výslovně uvedena.</w:t>
      </w:r>
    </w:p>
    <w:p w:rsidR="00766B19" w:rsidRDefault="00766B19" w:rsidP="00ED07BA">
      <w:pPr>
        <w:spacing w:line="240" w:lineRule="auto"/>
        <w:rPr>
          <w:rFonts w:ascii="Times New Roman" w:hAnsi="Times New Roman" w:cs="Times New Roman"/>
        </w:rPr>
      </w:pPr>
    </w:p>
    <w:p w:rsidR="00766B19" w:rsidRDefault="00766B19" w:rsidP="00ED07BA">
      <w:pPr>
        <w:spacing w:line="240" w:lineRule="auto"/>
        <w:rPr>
          <w:rFonts w:ascii="Times New Roman" w:hAnsi="Times New Roman" w:cs="Times New Roman"/>
        </w:rPr>
      </w:pPr>
    </w:p>
    <w:p w:rsidR="00ED07BA" w:rsidRDefault="00ED07BA" w:rsidP="00ED07B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  <w:t>Zpracoval:</w:t>
      </w:r>
      <w:r w:rsidR="00766B19"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</w:r>
      <w:r w:rsidR="00766B19">
        <w:rPr>
          <w:rFonts w:ascii="Times New Roman" w:hAnsi="Times New Roman" w:cs="Times New Roman"/>
        </w:rPr>
        <w:tab/>
        <w:t>Podpis:</w:t>
      </w:r>
    </w:p>
    <w:p w:rsidR="00ED07BA" w:rsidRPr="00ED07BA" w:rsidRDefault="00ED07BA">
      <w:pPr>
        <w:rPr>
          <w:rFonts w:ascii="Times New Roman" w:hAnsi="Times New Roman" w:cs="Times New Roman"/>
        </w:rPr>
      </w:pPr>
    </w:p>
    <w:sectPr w:rsidR="00ED07BA" w:rsidRPr="00ED07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70D" w:rsidRDefault="007D070D" w:rsidP="00AB117B">
      <w:pPr>
        <w:spacing w:after="0" w:line="240" w:lineRule="auto"/>
      </w:pPr>
      <w:r>
        <w:separator/>
      </w:r>
    </w:p>
  </w:endnote>
  <w:endnote w:type="continuationSeparator" w:id="0">
    <w:p w:rsidR="007D070D" w:rsidRDefault="007D070D" w:rsidP="00AB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70D" w:rsidRDefault="007D070D" w:rsidP="00AB117B">
      <w:pPr>
        <w:spacing w:after="0" w:line="240" w:lineRule="auto"/>
      </w:pPr>
      <w:r>
        <w:separator/>
      </w:r>
    </w:p>
  </w:footnote>
  <w:footnote w:type="continuationSeparator" w:id="0">
    <w:p w:rsidR="007D070D" w:rsidRDefault="007D070D" w:rsidP="00AB1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17B" w:rsidRDefault="00AB117B" w:rsidP="00AB117B">
    <w:pPr>
      <w:pStyle w:val="Zhlav"/>
      <w:rPr>
        <w:sz w:val="18"/>
        <w:szCs w:val="18"/>
      </w:rPr>
    </w:pPr>
    <w:r w:rsidRPr="00BA5447">
      <w:rPr>
        <w:sz w:val="18"/>
        <w:szCs w:val="18"/>
      </w:rPr>
      <w:t xml:space="preserve">Zadávací dokumentace: </w:t>
    </w:r>
    <w:r w:rsidRPr="00BA5447">
      <w:rPr>
        <w:sz w:val="18"/>
        <w:szCs w:val="18"/>
      </w:rPr>
      <w:tab/>
      <w:t xml:space="preserve"> Dodávka vozidla s hákovým nosičem kontejnerů, kontejnerem a hyd</w:t>
    </w:r>
    <w:r>
      <w:rPr>
        <w:sz w:val="18"/>
        <w:szCs w:val="18"/>
      </w:rPr>
      <w:t xml:space="preserve">raulickým jeřábem pro TS Příbram        </w:t>
    </w:r>
  </w:p>
  <w:p w:rsidR="00AB117B" w:rsidRPr="00BA5447" w:rsidRDefault="00AB117B" w:rsidP="00AB117B">
    <w:pPr>
      <w:pStyle w:val="Zhlav"/>
      <w:rPr>
        <w:b/>
        <w:bCs/>
        <w:sz w:val="18"/>
        <w:szCs w:val="18"/>
      </w:rPr>
    </w:pPr>
    <w:r w:rsidRPr="00BA5447">
      <w:rPr>
        <w:b/>
        <w:bCs/>
        <w:sz w:val="18"/>
        <w:szCs w:val="18"/>
      </w:rPr>
      <w:t xml:space="preserve">Příloha č. </w:t>
    </w:r>
    <w:r>
      <w:rPr>
        <w:b/>
        <w:bCs/>
        <w:sz w:val="18"/>
        <w:szCs w:val="18"/>
      </w:rPr>
      <w:t>2</w:t>
    </w:r>
  </w:p>
  <w:p w:rsidR="00AB117B" w:rsidRDefault="00AB11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7B"/>
    <w:rsid w:val="004E735B"/>
    <w:rsid w:val="00766B19"/>
    <w:rsid w:val="007A6EC3"/>
    <w:rsid w:val="007D070D"/>
    <w:rsid w:val="00AB117B"/>
    <w:rsid w:val="00E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8AB37-580C-4AFA-9E70-83C9C47E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17B"/>
  </w:style>
  <w:style w:type="paragraph" w:styleId="Nadpis1">
    <w:name w:val="heading 1"/>
    <w:basedOn w:val="Normln"/>
    <w:next w:val="Normln"/>
    <w:link w:val="Nadpis1Char"/>
    <w:uiPriority w:val="9"/>
    <w:qFormat/>
    <w:rsid w:val="00AB11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17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1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17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17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17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17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17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17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11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117B"/>
    <w:rPr>
      <w:rFonts w:ascii="Times" w:eastAsia="Times New Roman" w:hAnsi="Times" w:cs="Times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11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117B"/>
    <w:rPr>
      <w:rFonts w:ascii="Times" w:eastAsia="Times New Roman" w:hAnsi="Times" w:cs="Times"/>
      <w:noProof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B117B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17B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17B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17B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17B"/>
    <w:rPr>
      <w:smallCaps/>
      <w:color w:val="538135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17B"/>
    <w:rPr>
      <w:smallCaps/>
      <w:color w:val="70AD47" w:themeColor="accent6"/>
      <w:spacing w:val="5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17B"/>
    <w:rPr>
      <w:b/>
      <w:bCs/>
      <w:smallCaps/>
      <w:color w:val="70AD47" w:themeColor="accent6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17B"/>
    <w:rPr>
      <w:b/>
      <w:bCs/>
      <w:i/>
      <w:iCs/>
      <w:smallCaps/>
      <w:color w:val="538135" w:themeColor="accent6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17B"/>
    <w:rPr>
      <w:b/>
      <w:bCs/>
      <w:i/>
      <w:iCs/>
      <w:smallCaps/>
      <w:color w:val="385623" w:themeColor="accent6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B117B"/>
    <w:rPr>
      <w:b/>
      <w:bCs/>
      <w:caps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B117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B117B"/>
    <w:rPr>
      <w:smallCaps/>
      <w:color w:val="262626" w:themeColor="text1" w:themeTint="D9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AB117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AB117B"/>
    <w:rPr>
      <w:rFonts w:asciiTheme="majorHAnsi" w:eastAsiaTheme="majorEastAsia" w:hAnsiTheme="majorHAnsi" w:cstheme="majorBidi"/>
    </w:rPr>
  </w:style>
  <w:style w:type="character" w:styleId="Siln">
    <w:name w:val="Strong"/>
    <w:uiPriority w:val="22"/>
    <w:qFormat/>
    <w:rsid w:val="00AB117B"/>
    <w:rPr>
      <w:b/>
      <w:bCs/>
      <w:color w:val="70AD47" w:themeColor="accent6"/>
    </w:rPr>
  </w:style>
  <w:style w:type="character" w:styleId="Zdraznn">
    <w:name w:val="Emphasis"/>
    <w:uiPriority w:val="20"/>
    <w:qFormat/>
    <w:rsid w:val="00AB117B"/>
    <w:rPr>
      <w:b/>
      <w:bCs/>
      <w:i/>
      <w:iCs/>
      <w:spacing w:val="10"/>
    </w:rPr>
  </w:style>
  <w:style w:type="paragraph" w:styleId="Bezmezer">
    <w:name w:val="No Spacing"/>
    <w:uiPriority w:val="1"/>
    <w:qFormat/>
    <w:rsid w:val="00AB117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B117B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B117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17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17B"/>
    <w:rPr>
      <w:b/>
      <w:bCs/>
      <w:i/>
      <w:iCs/>
    </w:rPr>
  </w:style>
  <w:style w:type="character" w:styleId="Zdraznnjemn">
    <w:name w:val="Subtle Emphasis"/>
    <w:uiPriority w:val="19"/>
    <w:qFormat/>
    <w:rsid w:val="00AB117B"/>
    <w:rPr>
      <w:i/>
      <w:iCs/>
    </w:rPr>
  </w:style>
  <w:style w:type="character" w:styleId="Zdraznnintenzivn">
    <w:name w:val="Intense Emphasis"/>
    <w:uiPriority w:val="21"/>
    <w:qFormat/>
    <w:rsid w:val="00AB117B"/>
    <w:rPr>
      <w:b/>
      <w:bCs/>
      <w:i/>
      <w:iCs/>
      <w:color w:val="70AD47" w:themeColor="accent6"/>
      <w:spacing w:val="10"/>
    </w:rPr>
  </w:style>
  <w:style w:type="character" w:styleId="Odkazjemn">
    <w:name w:val="Subtle Reference"/>
    <w:uiPriority w:val="31"/>
    <w:qFormat/>
    <w:rsid w:val="00AB117B"/>
    <w:rPr>
      <w:b/>
      <w:bCs/>
    </w:rPr>
  </w:style>
  <w:style w:type="character" w:styleId="Odkazintenzivn">
    <w:name w:val="Intense Reference"/>
    <w:uiPriority w:val="32"/>
    <w:qFormat/>
    <w:rsid w:val="00AB117B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uiPriority w:val="33"/>
    <w:qFormat/>
    <w:rsid w:val="00AB11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B117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740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MICHVOCIK Libor</dc:creator>
  <cp:keywords/>
  <dc:description/>
  <cp:lastModifiedBy>MICHVOCIK Libor</cp:lastModifiedBy>
  <cp:revision>1</cp:revision>
  <dcterms:created xsi:type="dcterms:W3CDTF">2014-12-08T13:34:00Z</dcterms:created>
  <dcterms:modified xsi:type="dcterms:W3CDTF">2014-12-08T14:08:00Z</dcterms:modified>
</cp:coreProperties>
</file>