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1CDD" w14:textId="6C4B1695" w:rsidR="00787168" w:rsidRPr="00F11D25" w:rsidRDefault="00787168" w:rsidP="007F660E">
      <w:pPr>
        <w:pStyle w:val="Standard"/>
        <w:jc w:val="center"/>
        <w:rPr>
          <w:rFonts w:ascii="Arial Narrow" w:hAnsi="Arial Narrow"/>
        </w:rPr>
      </w:pPr>
      <w:r w:rsidRPr="00F11D25">
        <w:rPr>
          <w:rFonts w:ascii="Arial Narrow" w:hAnsi="Arial Narrow"/>
          <w:b/>
          <w:sz w:val="48"/>
          <w:szCs w:val="48"/>
          <w:lang w:val="cs-CZ"/>
        </w:rPr>
        <w:t xml:space="preserve">Příloha číslo </w:t>
      </w:r>
      <w:r w:rsidR="00C013E1">
        <w:rPr>
          <w:rFonts w:ascii="Arial Narrow" w:hAnsi="Arial Narrow"/>
          <w:b/>
          <w:sz w:val="48"/>
          <w:szCs w:val="48"/>
          <w:lang w:val="cs-CZ"/>
        </w:rPr>
        <w:t>7</w:t>
      </w:r>
    </w:p>
    <w:p w14:paraId="09893C8E" w14:textId="617B8455" w:rsidR="00787168" w:rsidRPr="006239DD" w:rsidRDefault="00DC54AF" w:rsidP="00787168">
      <w:pPr>
        <w:pStyle w:val="Standard"/>
        <w:jc w:val="center"/>
        <w:rPr>
          <w:rFonts w:ascii="Arial Narrow" w:hAnsi="Arial Narrow"/>
          <w:b/>
          <w:sz w:val="48"/>
          <w:szCs w:val="48"/>
          <w:lang w:val="cs-CZ"/>
        </w:rPr>
      </w:pPr>
      <w:r w:rsidRPr="00DC54AF">
        <w:rPr>
          <w:rFonts w:ascii="Arial Narrow" w:hAnsi="Arial Narrow"/>
          <w:b/>
          <w:sz w:val="48"/>
          <w:szCs w:val="48"/>
          <w:lang w:val="cs-CZ"/>
        </w:rPr>
        <w:t>T</w:t>
      </w:r>
      <w:r w:rsidR="00787168" w:rsidRPr="00DC54AF">
        <w:rPr>
          <w:rFonts w:ascii="Arial Narrow" w:hAnsi="Arial Narrow"/>
          <w:b/>
          <w:sz w:val="48"/>
          <w:szCs w:val="48"/>
          <w:lang w:val="cs-CZ"/>
        </w:rPr>
        <w:t xml:space="preserve">echnická specifikace </w:t>
      </w:r>
      <w:r w:rsidR="00097E02" w:rsidRPr="00DC54AF">
        <w:rPr>
          <w:rFonts w:ascii="Arial Narrow" w:hAnsi="Arial Narrow"/>
          <w:b/>
          <w:sz w:val="48"/>
          <w:szCs w:val="48"/>
          <w:lang w:val="cs-CZ"/>
        </w:rPr>
        <w:t>zařízení</w:t>
      </w:r>
    </w:p>
    <w:p w14:paraId="70E4C735" w14:textId="77777777" w:rsidR="00787168" w:rsidRPr="00F11D25" w:rsidRDefault="00787168" w:rsidP="00787168">
      <w:pPr>
        <w:pStyle w:val="Standard"/>
        <w:spacing w:after="0"/>
        <w:jc w:val="center"/>
        <w:rPr>
          <w:rFonts w:ascii="Arial Narrow" w:hAnsi="Arial Narrow"/>
          <w:b/>
          <w:sz w:val="8"/>
          <w:szCs w:val="48"/>
          <w:lang w:val="cs-CZ"/>
        </w:rPr>
      </w:pPr>
    </w:p>
    <w:tbl>
      <w:tblPr>
        <w:tblW w:w="910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73"/>
        <w:gridCol w:w="5528"/>
      </w:tblGrid>
      <w:tr w:rsidR="00787168" w:rsidRPr="00F11D25" w14:paraId="556CA070" w14:textId="77777777" w:rsidTr="008C16C2">
        <w:trPr>
          <w:trHeight w:val="1032"/>
        </w:trPr>
        <w:tc>
          <w:tcPr>
            <w:tcW w:w="3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B423B" w14:textId="77777777" w:rsidR="00787168" w:rsidRPr="00C013E1" w:rsidRDefault="00787168" w:rsidP="008C16C2">
            <w:pPr>
              <w:pStyle w:val="Standard"/>
              <w:spacing w:before="11" w:after="0" w:line="240" w:lineRule="exact"/>
              <w:rPr>
                <w:rFonts w:ascii="Arial Narrow" w:hAnsi="Arial Narrow"/>
                <w:lang w:val="cs-CZ"/>
              </w:rPr>
            </w:pPr>
            <w:r w:rsidRPr="00C013E1">
              <w:rPr>
                <w:rFonts w:ascii="Arial Narrow" w:hAnsi="Arial Narrow"/>
                <w:sz w:val="24"/>
                <w:szCs w:val="20"/>
                <w:lang w:val="cs-CZ"/>
              </w:rPr>
              <w:t>Zadavatel:</w:t>
            </w:r>
          </w:p>
          <w:p w14:paraId="11E87C39" w14:textId="77777777" w:rsidR="00787168" w:rsidRPr="00C013E1" w:rsidRDefault="00787168" w:rsidP="008C16C2">
            <w:pPr>
              <w:pStyle w:val="Standard"/>
              <w:spacing w:before="11" w:line="240" w:lineRule="exact"/>
              <w:rPr>
                <w:rFonts w:ascii="Arial Narrow" w:hAnsi="Arial Narrow"/>
                <w:sz w:val="24"/>
                <w:lang w:val="cs-CZ"/>
              </w:rPr>
            </w:pPr>
          </w:p>
          <w:p w14:paraId="1EF23F52" w14:textId="750E3258" w:rsidR="00787168" w:rsidRPr="00C013E1" w:rsidRDefault="00C013E1" w:rsidP="008C16C2">
            <w:pPr>
              <w:pStyle w:val="Standard"/>
              <w:spacing w:before="11" w:line="240" w:lineRule="exact"/>
              <w:jc w:val="center"/>
              <w:rPr>
                <w:rFonts w:ascii="Arial Narrow" w:hAnsi="Arial Narrow"/>
                <w:b/>
                <w:sz w:val="24"/>
                <w:szCs w:val="24"/>
                <w:lang w:val="cs-CZ"/>
              </w:rPr>
            </w:pPr>
            <w:r w:rsidRPr="00C013E1">
              <w:rPr>
                <w:rFonts w:ascii="Arial Narrow" w:hAnsi="Arial Narrow" w:cs="Arial-BoldMT"/>
                <w:b/>
                <w:bCs/>
                <w:sz w:val="24"/>
                <w:szCs w:val="24"/>
                <w:lang w:val="cs-CZ"/>
              </w:rPr>
              <w:t>Městys Drnholec</w:t>
            </w:r>
          </w:p>
        </w:tc>
        <w:tc>
          <w:tcPr>
            <w:tcW w:w="5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F17F" w14:textId="77777777" w:rsidR="00787168" w:rsidRPr="00C013E1" w:rsidRDefault="00787168" w:rsidP="008C16C2">
            <w:pPr>
              <w:pStyle w:val="Standard"/>
              <w:spacing w:before="11" w:after="0" w:line="240" w:lineRule="exact"/>
              <w:rPr>
                <w:rFonts w:ascii="Arial Narrow" w:hAnsi="Arial Narrow"/>
                <w:sz w:val="24"/>
                <w:szCs w:val="24"/>
                <w:lang w:val="cs-CZ"/>
              </w:rPr>
            </w:pPr>
            <w:r w:rsidRPr="00C013E1">
              <w:rPr>
                <w:rFonts w:ascii="Arial Narrow" w:hAnsi="Arial Narrow"/>
                <w:sz w:val="24"/>
                <w:szCs w:val="24"/>
                <w:lang w:val="cs-CZ"/>
              </w:rPr>
              <w:t>Název zakázky:</w:t>
            </w:r>
          </w:p>
          <w:p w14:paraId="510484A1" w14:textId="77777777" w:rsidR="00787168" w:rsidRPr="00C013E1" w:rsidRDefault="00787168" w:rsidP="008C16C2">
            <w:pPr>
              <w:pStyle w:val="Standard"/>
              <w:spacing w:before="11" w:after="120" w:line="240" w:lineRule="exact"/>
              <w:rPr>
                <w:rFonts w:ascii="Arial Narrow" w:hAnsi="Arial Narrow"/>
                <w:b/>
                <w:bCs/>
                <w:sz w:val="24"/>
                <w:szCs w:val="24"/>
                <w:lang w:val="cs-CZ"/>
              </w:rPr>
            </w:pPr>
          </w:p>
          <w:p w14:paraId="3560F91E" w14:textId="07576B53" w:rsidR="00787168" w:rsidRPr="00C013E1" w:rsidRDefault="00787168" w:rsidP="008C16C2">
            <w:pPr>
              <w:pStyle w:val="Standard"/>
              <w:spacing w:before="11" w:after="120" w:line="240" w:lineRule="exact"/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</w:pPr>
            <w:r w:rsidRPr="00C013E1"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  <w:t>„</w:t>
            </w:r>
            <w:r w:rsidR="00C013E1" w:rsidRPr="00C013E1"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  <w:t>FVE Městys Drnholec</w:t>
            </w:r>
            <w:r w:rsidRPr="00C013E1"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  <w:t>“</w:t>
            </w:r>
          </w:p>
          <w:p w14:paraId="4B2B4115" w14:textId="77777777" w:rsidR="00787168" w:rsidRPr="00C013E1" w:rsidRDefault="00787168" w:rsidP="00787168">
            <w:pPr>
              <w:pStyle w:val="Standard"/>
              <w:spacing w:before="11" w:after="120" w:line="240" w:lineRule="exact"/>
              <w:rPr>
                <w:rFonts w:ascii="Arial Narrow" w:hAnsi="Arial Narrow"/>
                <w:b/>
                <w:kern w:val="0"/>
                <w:sz w:val="24"/>
                <w:szCs w:val="24"/>
                <w:lang w:val="cs-CZ"/>
              </w:rPr>
            </w:pPr>
          </w:p>
        </w:tc>
      </w:tr>
    </w:tbl>
    <w:p w14:paraId="4353D269" w14:textId="77777777" w:rsidR="00787168" w:rsidRDefault="00787168" w:rsidP="00787168">
      <w:pPr>
        <w:widowControl/>
        <w:suppressAutoHyphens w:val="0"/>
        <w:autoSpaceDN/>
        <w:spacing w:before="120"/>
        <w:ind w:left="360"/>
        <w:textAlignment w:val="auto"/>
        <w:rPr>
          <w:rFonts w:ascii="Arial Narrow" w:hAnsi="Arial Narrow" w:cs="Tahoma"/>
          <w:kern w:val="0"/>
          <w:sz w:val="24"/>
          <w:szCs w:val="24"/>
        </w:rPr>
      </w:pPr>
    </w:p>
    <w:tbl>
      <w:tblPr>
        <w:tblpPr w:leftFromText="141" w:rightFromText="141" w:bottomFromText="160" w:vertAnchor="text" w:tblpY="1"/>
        <w:tblOverlap w:val="never"/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1"/>
        <w:gridCol w:w="2084"/>
        <w:gridCol w:w="1763"/>
        <w:gridCol w:w="1986"/>
      </w:tblGrid>
      <w:tr w:rsidR="00787168" w14:paraId="2BA61099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BBEB4D" w14:textId="77777777" w:rsidR="00787168" w:rsidRDefault="00787168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Název / Parametr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3EA4B1" w14:textId="2D481145" w:rsidR="00787168" w:rsidRDefault="00787168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Požadavek</w:t>
            </w:r>
            <w:r w:rsidR="00751BAA"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/Soubor Norem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40EB39" w14:textId="77777777" w:rsidR="00787168" w:rsidRDefault="00787168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ANO / NE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CE126" w14:textId="59858179" w:rsidR="00787168" w:rsidRDefault="00751BAA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Certifikační autorita</w:t>
            </w:r>
          </w:p>
        </w:tc>
      </w:tr>
      <w:tr w:rsidR="00787168" w14:paraId="15630136" w14:textId="77777777" w:rsidTr="008C16C2">
        <w:trPr>
          <w:trHeight w:val="480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CD7945A" w14:textId="348DA90B" w:rsidR="00787168" w:rsidRDefault="00BE1E73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b/>
                <w:kern w:val="0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>Požadavky</w:t>
            </w:r>
            <w:r w:rsidR="00587BAD"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 xml:space="preserve"> na Certifikaci</w:t>
            </w:r>
            <w:r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 xml:space="preserve"> komponent</w:t>
            </w:r>
          </w:p>
        </w:tc>
      </w:tr>
      <w:tr w:rsidR="00787168" w14:paraId="2CB1CB76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3728" w14:textId="33E358DF" w:rsidR="00787168" w:rsidRPr="00DD5E37" w:rsidRDefault="00E62460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C013E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Fotovoltaické moduly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B866" w14:textId="03BAA824" w:rsidR="00787168" w:rsidRPr="00DD5E37" w:rsidRDefault="00E62460" w:rsidP="008C16C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IEC 61215, IEC 61730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E3BE" w14:textId="77777777" w:rsidR="00787168" w:rsidRDefault="00787168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BCD4" w14:textId="08FED833" w:rsidR="00787168" w:rsidRDefault="00097E02" w:rsidP="008C16C2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(dodavatel d</w:t>
            </w:r>
            <w:r w:rsidR="00022B40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oplní certifikační autoritu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</w:p>
        </w:tc>
      </w:tr>
      <w:tr w:rsidR="00787168" w14:paraId="2305B3F4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3B6B" w14:textId="74ACEAFA" w:rsidR="00787168" w:rsidRPr="00DD5E37" w:rsidRDefault="00DA38D0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Měniče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51A3" w14:textId="74CDCB8C" w:rsidR="00787168" w:rsidRPr="00097E02" w:rsidRDefault="00751BAA" w:rsidP="008C16C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IEC 62116, normy řady IEC 61000 dle typu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A4EC" w14:textId="77777777" w:rsidR="00787168" w:rsidRDefault="00787168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A8E2" w14:textId="1D8815F0" w:rsidR="00787168" w:rsidRDefault="00097E02" w:rsidP="008C16C2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(dodavatel d</w:t>
            </w:r>
            <w:r w:rsidR="00022B40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oplní certifikační autoritu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</w:p>
        </w:tc>
      </w:tr>
      <w:tr w:rsidR="00787168" w14:paraId="6987D229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66EB" w14:textId="4C6DCE9D" w:rsidR="00787168" w:rsidRPr="00CF6C2C" w:rsidRDefault="00DA38D0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Elekt</w:t>
            </w:r>
            <w:r w:rsidR="00751BAA"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rické akumulátory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FF98" w14:textId="586623F5" w:rsidR="00787168" w:rsidRPr="00097E02" w:rsidRDefault="00022B40" w:rsidP="008C16C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dle typu akumulátoru (pro nejčastější lithiové akumulátory IEC 63056:2020 nebo IEC 62619:2017 nebo IEC 62620:2014)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22DD" w14:textId="77777777" w:rsidR="00787168" w:rsidRDefault="00787168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5E69" w14:textId="2DD72CCD" w:rsidR="00787168" w:rsidRPr="00EB0778" w:rsidRDefault="00097E02" w:rsidP="008C16C2">
            <w:pPr>
              <w:spacing w:line="25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(dodavatel d</w:t>
            </w:r>
            <w:r w:rsidR="00022B40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oplní certifikační autoritu</w:t>
            </w:r>
            <w:r w:rsidRPr="00097E0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</w:p>
        </w:tc>
      </w:tr>
    </w:tbl>
    <w:p w14:paraId="16527FDE" w14:textId="125B3AB7" w:rsidR="00587BAD" w:rsidRPr="00097E02" w:rsidRDefault="00830610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kern w:val="0"/>
          <w:sz w:val="24"/>
          <w:szCs w:val="24"/>
          <w:lang w:eastAsia="en-US"/>
        </w:rPr>
      </w:pPr>
      <w:r w:rsidRPr="00097E02">
        <w:rPr>
          <w:rFonts w:ascii="Arial Narrow" w:hAnsi="Arial Narrow" w:cs="Tahoma"/>
          <w:kern w:val="0"/>
          <w:sz w:val="24"/>
          <w:szCs w:val="24"/>
          <w:lang w:eastAsia="en-US"/>
        </w:rPr>
        <w:t>Akceptovány budou pouze nabídky, ve kterých budou instalovány výhradně fotovoltaické moduly, měniče a akumulátory s nezávisle ověřenými parametry prokázanými certifikáty vydanými akreditovanými certifikačními orgány</w:t>
      </w:r>
      <w:r w:rsidR="005B685B" w:rsidRPr="00097E02">
        <w:rPr>
          <w:rFonts w:ascii="Arial Narrow" w:hAnsi="Arial Narrow" w:cs="Tahoma"/>
          <w:kern w:val="0"/>
          <w:sz w:val="24"/>
          <w:szCs w:val="24"/>
          <w:lang w:eastAsia="en-US"/>
        </w:rPr>
        <w:t>. Akreditovaným certifikačním orgánem je míněn: Akreditovaný subjekt podle IEC 17065 (resp. národních mutací, např. ČSN EN ISO/IEC 17065:2013). Za akreditovaný subjekt dle IEC 17065 lze považovat také subjekt uznaný prostřednictvím IECEE, viz seznam na https://www.iecee.org/dyn/www/f?p=106:41:0.</w:t>
      </w:r>
    </w:p>
    <w:p w14:paraId="463CD43D" w14:textId="77777777" w:rsidR="00830610" w:rsidRDefault="00830610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p w14:paraId="35A261A0" w14:textId="77777777" w:rsidR="00097E02" w:rsidRDefault="00097E02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p w14:paraId="4CD45BD5" w14:textId="77777777" w:rsidR="00097E02" w:rsidRDefault="00097E02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p w14:paraId="1EBAB76E" w14:textId="77777777" w:rsidR="00097E02" w:rsidRDefault="00097E02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p w14:paraId="7834960D" w14:textId="77777777" w:rsidR="00F70574" w:rsidRDefault="00F70574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p w14:paraId="457B06E1" w14:textId="77777777" w:rsidR="00F70574" w:rsidRDefault="00F70574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p w14:paraId="706467D9" w14:textId="77777777" w:rsidR="001B67F9" w:rsidRDefault="001B67F9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p w14:paraId="01478840" w14:textId="77777777" w:rsidR="00713B36" w:rsidRDefault="00713B36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p w14:paraId="6FF62C51" w14:textId="77777777" w:rsidR="00830610" w:rsidRDefault="00830610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tbl>
      <w:tblPr>
        <w:tblpPr w:leftFromText="141" w:rightFromText="141" w:bottomFromText="160" w:vertAnchor="text" w:tblpY="1"/>
        <w:tblOverlap w:val="never"/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1"/>
        <w:gridCol w:w="2084"/>
        <w:gridCol w:w="1763"/>
        <w:gridCol w:w="1986"/>
      </w:tblGrid>
      <w:tr w:rsidR="00587BAD" w14:paraId="67D1604B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EB80349" w14:textId="77777777" w:rsidR="00587BAD" w:rsidRDefault="00587BAD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lastRenderedPageBreak/>
              <w:t>Název / Parametr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62C8EE" w14:textId="77777777" w:rsidR="00587BAD" w:rsidRDefault="00587BAD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Požadavek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C34241" w14:textId="77777777" w:rsidR="00587BAD" w:rsidRDefault="00587BAD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ANO / NE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91C1" w14:textId="77777777" w:rsidR="00587BAD" w:rsidRDefault="00587BAD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Hodnota</w:t>
            </w:r>
          </w:p>
        </w:tc>
      </w:tr>
      <w:tr w:rsidR="00587BAD" w14:paraId="40B4F3AD" w14:textId="77777777" w:rsidTr="008C16C2">
        <w:trPr>
          <w:trHeight w:val="480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66680C83" w14:textId="67B351F5" w:rsidR="00587BAD" w:rsidRDefault="00BE1E73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b/>
                <w:kern w:val="0"/>
                <w:sz w:val="24"/>
                <w:szCs w:val="24"/>
                <w:vertAlign w:val="superscript"/>
                <w:lang w:eastAsia="en-US"/>
              </w:rPr>
            </w:pPr>
            <w:r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 xml:space="preserve">Požadavky na minimální </w:t>
            </w:r>
            <w:r w:rsidR="00E20F49"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>parametry</w:t>
            </w:r>
            <w:r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 xml:space="preserve"> </w:t>
            </w:r>
            <w:r w:rsidR="007379E6"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 xml:space="preserve">a záruky </w:t>
            </w:r>
            <w:r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>komponent</w:t>
            </w:r>
          </w:p>
        </w:tc>
      </w:tr>
      <w:tr w:rsidR="00587BAD" w14:paraId="68E8694B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517E0" w14:textId="4837EBCC" w:rsidR="00587BAD" w:rsidRPr="00DD5E37" w:rsidRDefault="00553987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C013E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Fotovoltaické </w:t>
            </w:r>
            <w:r w:rsidR="00097E02" w:rsidRPr="00C013E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moduly – při</w:t>
            </w:r>
            <w:r w:rsidRPr="00C013E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standardních testovacích podmínkách </w:t>
            </w:r>
            <w:r w:rsidR="00BB06F3" w:rsidRPr="00C013E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(STC).  Standardní testovací podmínky (Standard Test Conditions) = intenzita záření 1000 W/m</w:t>
            </w:r>
            <w:r w:rsidR="00BB06F3" w:rsidRPr="0013327D">
              <w:rPr>
                <w:rFonts w:ascii="Arial Narrow" w:hAnsi="Arial Narrow" w:cs="Tahoma"/>
                <w:kern w:val="0"/>
                <w:sz w:val="24"/>
                <w:szCs w:val="24"/>
                <w:vertAlign w:val="superscript"/>
                <w:lang w:eastAsia="en-US"/>
              </w:rPr>
              <w:t>2</w:t>
            </w:r>
            <w:r w:rsidR="00BB06F3" w:rsidRPr="00C013E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, spektrum AM1,5 Global a teplota modulu 25 °C.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1D905" w14:textId="3CE19ED1" w:rsidR="00587BAD" w:rsidRPr="00DD5E37" w:rsidRDefault="00EE72E4" w:rsidP="008C16C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Účinnost: </w:t>
            </w:r>
            <w:r w:rsidR="00F97313"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min 19,0 % pro monofaciální moduly z monokrystalického křemíku, min 18,0 % pro monofaciální moduly z multikrystalického křemíku, min 19,0 % pro bifaciální moduly při 0 % bifaciálním zisku</w:t>
            </w:r>
            <w:r w:rsidR="009C715C"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, min. 12,0 % pro tenkovrstvé moduly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7D57" w14:textId="4068A91D" w:rsidR="00587BAD" w:rsidRDefault="00587BAD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 w:rsidRPr="00C42AA2"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</w:t>
            </w:r>
            <w:r w:rsidR="00BB06F3"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 a</w:t>
            </w:r>
            <w:r w:rsidR="00E94E3A"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 který z uvedených typů modulů v nabídce </w:t>
            </w:r>
            <w:r w:rsidR="00E94E3A" w:rsidRPr="00C013E1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používá</w:t>
            </w:r>
            <w:r w:rsidR="00C013E1" w:rsidRPr="00C013E1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5B6D" w14:textId="626A04DA" w:rsidR="00587BAD" w:rsidRDefault="00587BAD" w:rsidP="008C16C2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 w:rsidR="00C42AA2"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Pr="00C013E1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E94E3A" w:rsidRPr="00C013E1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>% účinnosti</w:t>
            </w:r>
          </w:p>
        </w:tc>
      </w:tr>
      <w:tr w:rsidR="00587BAD" w14:paraId="3576588C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C5676" w14:textId="285D23F6" w:rsidR="00587BAD" w:rsidRPr="00DD5E37" w:rsidRDefault="007379E6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C013E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Fotovoltaické moduly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BC24" w14:textId="0DC96A9B" w:rsidR="00587BAD" w:rsidRPr="00097E02" w:rsidRDefault="00531019" w:rsidP="008C16C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min. 20letá lineární záruka na výkon s max. poklesem na 80 % původního výkonu garantovanou výrobcem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91A9" w14:textId="77777777" w:rsidR="00587BAD" w:rsidRDefault="00587BAD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DF68" w14:textId="1BB9560C" w:rsidR="00587BAD" w:rsidRDefault="00587BAD" w:rsidP="008C16C2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="00B845E8"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 xml:space="preserve"> </w:t>
            </w:r>
            <w:r w:rsidR="007379E6" w:rsidRPr="00C013E1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>let záruky</w:t>
            </w:r>
            <w:r w:rsidR="00B845E8" w:rsidRPr="00C013E1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7379E6" w:rsidRPr="00C013E1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>výrobce</w:t>
            </w:r>
            <w:r w:rsidR="004401A5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a poklesu na </w:t>
            </w:r>
            <w:r w:rsidR="004401A5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 w:rsidR="004401A5"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 xml:space="preserve">) </w:t>
            </w:r>
            <w:r w:rsidR="004401A5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>% původního výkonu</w:t>
            </w:r>
          </w:p>
        </w:tc>
      </w:tr>
      <w:tr w:rsidR="00531019" w14:paraId="27B5168B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FB91" w14:textId="69681D1C" w:rsidR="00531019" w:rsidRPr="00C013E1" w:rsidRDefault="00531019" w:rsidP="00531019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C013E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Fotovoltaické moduly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D2CC" w14:textId="6C9B5CDE" w:rsidR="00531019" w:rsidRPr="00097E02" w:rsidRDefault="00C55803" w:rsidP="00531019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min. 10letá produktová záruka garantovaná výrobcem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D63E" w14:textId="40026E27" w:rsidR="00531019" w:rsidRDefault="00531019" w:rsidP="00531019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E535" w14:textId="3848A037" w:rsidR="00531019" w:rsidRDefault="00531019" w:rsidP="00531019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Pr="00C013E1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let záruky výrobce</w:t>
            </w:r>
          </w:p>
        </w:tc>
      </w:tr>
      <w:tr w:rsidR="00531019" w:rsidRPr="00EB0778" w14:paraId="343FE2C3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FBC71" w14:textId="651BFE83" w:rsidR="00531019" w:rsidRPr="00CF6C2C" w:rsidRDefault="00531019" w:rsidP="00531019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C013E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Měniče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FCC2" w14:textId="5A52CC1C" w:rsidR="00531019" w:rsidRPr="00097E02" w:rsidRDefault="00531019" w:rsidP="00531019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Účinnost min. </w:t>
            </w: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97,0 % (Euro účinnost)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9AA24" w14:textId="3B53A258" w:rsidR="00531019" w:rsidRDefault="00531019" w:rsidP="00531019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11718" w14:textId="00D11E2C" w:rsidR="00531019" w:rsidRPr="00EB0778" w:rsidRDefault="00531019" w:rsidP="00531019">
            <w:pPr>
              <w:spacing w:line="25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 xml:space="preserve">) </w:t>
            </w:r>
            <w:r w:rsidRPr="00C013E1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>% účinnost</w:t>
            </w:r>
          </w:p>
        </w:tc>
      </w:tr>
      <w:tr w:rsidR="00531019" w14:paraId="33E1EBA7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342D" w14:textId="379212D7" w:rsidR="00531019" w:rsidRPr="00DD5E37" w:rsidRDefault="00531019" w:rsidP="00531019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Měniče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53F4" w14:textId="7C218A6C" w:rsidR="00531019" w:rsidRPr="00DD5E37" w:rsidRDefault="002F47EE" w:rsidP="00531019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záruka výrobce </w:t>
            </w:r>
            <w:r w:rsidR="00BF04E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či dodavatele </w:t>
            </w: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trvající min. 10 let na jeho bezodkladnou výměnu či adekvátní náhradu v případě poruchy či poškození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748E" w14:textId="77777777" w:rsidR="00531019" w:rsidRDefault="00531019" w:rsidP="00531019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5F47" w14:textId="63E73507" w:rsidR="00531019" w:rsidRDefault="00531019" w:rsidP="00531019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Pr="00DD5E37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2F47EE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>let záruky výrobce nebo dodavatele</w:t>
            </w:r>
          </w:p>
        </w:tc>
      </w:tr>
      <w:tr w:rsidR="00415D7F" w14:paraId="1A6ECAAB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C1F" w14:textId="5BB624AC" w:rsidR="00415D7F" w:rsidRDefault="00415D7F" w:rsidP="00415D7F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Měniče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B8FA1" w14:textId="2EBDC800" w:rsidR="00415D7F" w:rsidRPr="00097E02" w:rsidRDefault="00415D7F" w:rsidP="00415D7F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Instalované měniče musí být vybaveny plynulou, nebo diskrétní řiditelností dodávaného výkonu do elektrizační soustavy umožňující změnu dodávaného výkonu výrobny.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02AF" w14:textId="2DBA962B" w:rsidR="00415D7F" w:rsidRDefault="00415D7F" w:rsidP="00415D7F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BC54" w14:textId="52E7A526" w:rsidR="00415D7F" w:rsidRDefault="00415D7F" w:rsidP="00415D7F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 – plynulá nebo diskrétní řiditelnost)</w:t>
            </w:r>
          </w:p>
        </w:tc>
      </w:tr>
      <w:tr w:rsidR="00415D7F" w14:paraId="2C999F04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3CBB" w14:textId="54FB2309" w:rsidR="00415D7F" w:rsidRPr="0038373C" w:rsidRDefault="00415D7F" w:rsidP="00415D7F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lastRenderedPageBreak/>
              <w:t>Elektrické akumulátory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8D4AE" w14:textId="40AD9E9D" w:rsidR="00415D7F" w:rsidRPr="00097E02" w:rsidRDefault="00415D7F" w:rsidP="00415D7F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097E0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záruka s max. poklesem na 60% nominální kapacity po 10 letech provozu, nebo dosažení min. 2 400násobku nominální energie (Energy Throughput)11 = Např. baterie s nominální kapacitou 1 kWh musí být schopna dodat za dobu své životnosti min. 2 400 kWh energie.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1610" w14:textId="77777777" w:rsidR="00415D7F" w:rsidRDefault="00415D7F" w:rsidP="00415D7F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5195" w14:textId="3FC4807F" w:rsidR="00415D7F" w:rsidRDefault="00415D7F" w:rsidP="00415D7F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</w:p>
        </w:tc>
      </w:tr>
    </w:tbl>
    <w:p w14:paraId="007EA560" w14:textId="77777777" w:rsidR="00587BAD" w:rsidRDefault="00587BAD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p w14:paraId="234E6024" w14:textId="77777777" w:rsidR="00415D7F" w:rsidRDefault="00415D7F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tbl>
      <w:tblPr>
        <w:tblpPr w:leftFromText="141" w:rightFromText="141" w:bottomFromText="160" w:vertAnchor="text" w:tblpY="1"/>
        <w:tblOverlap w:val="never"/>
        <w:tblW w:w="48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1"/>
        <w:gridCol w:w="2084"/>
        <w:gridCol w:w="1763"/>
        <w:gridCol w:w="1986"/>
      </w:tblGrid>
      <w:tr w:rsidR="00415D7F" w14:paraId="3B47646F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BB5AC0" w14:textId="77777777" w:rsidR="00415D7F" w:rsidRDefault="00415D7F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Název / Parametr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6955AE1" w14:textId="77777777" w:rsidR="00415D7F" w:rsidRDefault="00415D7F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MT"/>
                <w:kern w:val="0"/>
                <w:sz w:val="24"/>
                <w:szCs w:val="24"/>
                <w:lang w:eastAsia="en-US"/>
              </w:rPr>
              <w:t>Požadavek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CC4F7D" w14:textId="77777777" w:rsidR="00415D7F" w:rsidRDefault="00415D7F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ANO / NE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6206" w14:textId="77777777" w:rsidR="00415D7F" w:rsidRDefault="00415D7F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Hodnota</w:t>
            </w:r>
          </w:p>
        </w:tc>
      </w:tr>
      <w:tr w:rsidR="00415D7F" w14:paraId="314C2A58" w14:textId="77777777" w:rsidTr="008C16C2">
        <w:trPr>
          <w:trHeight w:val="480"/>
        </w:trPr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E4D1AA" w14:textId="53FC43F4" w:rsidR="00415D7F" w:rsidRDefault="00415D7F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b/>
                <w:kern w:val="0"/>
                <w:sz w:val="24"/>
                <w:szCs w:val="24"/>
                <w:vertAlign w:val="superscript"/>
                <w:lang w:eastAsia="en-US"/>
              </w:rPr>
            </w:pPr>
            <w:r w:rsidRPr="00097E02"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>Minimální požadavky na FVE</w:t>
            </w:r>
            <w:r w:rsidR="00AC0CE4" w:rsidRPr="00097E02">
              <w:rPr>
                <w:rFonts w:ascii="Arial Narrow" w:hAnsi="Arial Narrow" w:cs="ArialMT"/>
                <w:b/>
                <w:kern w:val="0"/>
                <w:sz w:val="24"/>
                <w:szCs w:val="24"/>
                <w:lang w:eastAsia="en-US"/>
              </w:rPr>
              <w:t xml:space="preserve"> a akumulaci</w:t>
            </w:r>
          </w:p>
        </w:tc>
      </w:tr>
      <w:tr w:rsidR="00415D7F" w14:paraId="42BE7F96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45AA" w14:textId="6245FFB1" w:rsidR="00415D7F" w:rsidRPr="00347A51" w:rsidRDefault="00415D7F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Celkový instalovaný výkon FVE</w:t>
            </w:r>
            <w:r w:rsidR="00AC0CE4"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„</w:t>
            </w:r>
            <w:r w:rsidR="00347A51"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ZŠ</w:t>
            </w:r>
            <w:r w:rsidR="00AC0CE4"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607B" w14:textId="0209BB2E" w:rsidR="00415D7F" w:rsidRPr="002C7566" w:rsidRDefault="00AC0CE4" w:rsidP="008C16C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B874A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Min. </w:t>
            </w:r>
            <w:r w:rsidR="00F14F5A" w:rsidRPr="00B874A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49,</w:t>
            </w:r>
            <w:r w:rsidR="003D2AB3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40</w:t>
            </w:r>
            <w:r w:rsidRPr="00B874A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kWp</w:t>
            </w:r>
            <w:r w:rsidR="00253528" w:rsidRPr="00B874A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, max 49,</w:t>
            </w:r>
            <w:r w:rsidR="00B874A1" w:rsidRPr="00B874A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88</w:t>
            </w:r>
            <w:r w:rsidR="00253528" w:rsidRPr="00B874A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kWp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3FA5D" w14:textId="7FD480A4" w:rsidR="00415D7F" w:rsidRDefault="00415D7F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 w:rsidRPr="00C42AA2"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</w:t>
            </w:r>
            <w:r w:rsidR="00AC0CE4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 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BE05" w14:textId="58C0CDCB" w:rsidR="00415D7F" w:rsidRDefault="00415D7F" w:rsidP="008C16C2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Pr="002C7566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AC0CE4" w:rsidRPr="002C7566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>kWp</w:t>
            </w:r>
          </w:p>
        </w:tc>
      </w:tr>
      <w:tr w:rsidR="00415D7F" w14:paraId="464D5E93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1790F" w14:textId="314962D5" w:rsidR="00415D7F" w:rsidRPr="00347A51" w:rsidRDefault="00AC0CE4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Celkový instalovaný výkon FVE „O</w:t>
            </w:r>
            <w:r w:rsidR="00347A51"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Ú</w:t>
            </w:r>
            <w:r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E695" w14:textId="20344BD2" w:rsidR="00415D7F" w:rsidRPr="002C7566" w:rsidRDefault="009E5140" w:rsidP="008C16C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Min. </w:t>
            </w:r>
            <w:r w:rsidR="00F14F5A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24,84</w:t>
            </w: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kWp</w:t>
            </w:r>
            <w:r w:rsidR="00057C42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,  max 25</w:t>
            </w:r>
            <w:r w:rsidR="00FB0F40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,04</w:t>
            </w:r>
            <w:r w:rsidR="00057C42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kWp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831A" w14:textId="77777777" w:rsidR="00415D7F" w:rsidRDefault="00415D7F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92CED" w14:textId="7C518F4E" w:rsidR="00415D7F" w:rsidRDefault="00AC0CE4" w:rsidP="008C16C2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Pr="002C7566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kWp</w:t>
            </w:r>
          </w:p>
        </w:tc>
      </w:tr>
      <w:tr w:rsidR="007A5152" w14:paraId="3B247DF4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DB2E" w14:textId="489B0DA7" w:rsidR="007A5152" w:rsidRPr="00347A51" w:rsidRDefault="007A5152" w:rsidP="007A515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Celkový instalovaný výkon FVE „</w:t>
            </w:r>
            <w:r w:rsidR="00347A51"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hasičská zbrojnice</w:t>
            </w:r>
            <w:r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326D" w14:textId="631C785E" w:rsidR="007A5152" w:rsidRPr="002C7566" w:rsidRDefault="007A5152" w:rsidP="007A515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AE0A4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Min. </w:t>
            </w:r>
            <w:r w:rsidR="00253528" w:rsidRPr="00AE0A4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9,9</w:t>
            </w:r>
            <w:r w:rsidRPr="00AE0A4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kWp</w:t>
            </w:r>
            <w:r w:rsidR="00253528" w:rsidRPr="00AE0A4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, max</w:t>
            </w:r>
            <w:r w:rsidR="00DC113D" w:rsidRPr="00AE0A4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.</w:t>
            </w:r>
            <w:r w:rsidR="00253528" w:rsidRPr="00AE0A4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</w:t>
            </w:r>
            <w:r w:rsidR="00AE0A42" w:rsidRPr="00AE0A4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9,99</w:t>
            </w:r>
            <w:r w:rsidR="00253528" w:rsidRPr="00AE0A42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kWp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5AB6" w14:textId="138FE8F5" w:rsidR="007A5152" w:rsidRDefault="007A5152" w:rsidP="007A515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CD2A" w14:textId="12E8C0A5" w:rsidR="007A5152" w:rsidRDefault="007A5152" w:rsidP="007A5152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 w:rsidRPr="00C42AA2"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Pr="002C7566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kWp</w:t>
            </w:r>
          </w:p>
        </w:tc>
      </w:tr>
      <w:tr w:rsidR="00415D7F" w14:paraId="0F5F9345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F9D5" w14:textId="53D63D42" w:rsidR="00415D7F" w:rsidRPr="00FB0F40" w:rsidRDefault="00AC0CE4" w:rsidP="008C16C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Elektrické akumulátory „</w:t>
            </w:r>
            <w:r w:rsidR="00347A51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ZŠ</w:t>
            </w: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FA14E" w14:textId="5E4F31FF" w:rsidR="002C0E4F" w:rsidRPr="00FB0F40" w:rsidRDefault="002C0E4F" w:rsidP="008C16C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Min. </w:t>
            </w:r>
            <w:r w:rsidR="00F14F5A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12,78</w:t>
            </w: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kWh</w:t>
            </w:r>
          </w:p>
          <w:p w14:paraId="154A1E59" w14:textId="1019CD04" w:rsidR="00415D7F" w:rsidRPr="00FB0F40" w:rsidRDefault="009E5140" w:rsidP="008C16C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Jedná se o s</w:t>
            </w:r>
            <w:r w:rsidR="00AC0CE4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kutečně využiteln</w:t>
            </w: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ou</w:t>
            </w:r>
            <w:r w:rsidR="00AC0CE4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</w:t>
            </w:r>
            <w:r w:rsidR="00EA13F9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kapacit</w:t>
            </w: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u</w:t>
            </w:r>
            <w:r w:rsidR="00EA13F9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úložiště – tato kapacita se vypočítá jako nominální velikost úložiště x DOD (depth of discharge </w:t>
            </w:r>
            <w:r w:rsidR="0093743C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=</w:t>
            </w:r>
            <w:r w:rsidR="00EA13F9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</w:t>
            </w:r>
            <w:r w:rsidR="0093743C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maximální hloubka</w:t>
            </w:r>
            <w:r w:rsidR="00EA13F9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vybití</w:t>
            </w:r>
            <w:r w:rsidR="002C0E4F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) dle technického listu výrobce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F820" w14:textId="77777777" w:rsidR="00415D7F" w:rsidRDefault="00415D7F" w:rsidP="008C16C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BB85" w14:textId="7934D0C8" w:rsidR="00415D7F" w:rsidRDefault="00415D7F" w:rsidP="008C16C2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Pr="002C7566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2C0E4F" w:rsidRPr="002C7566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>kWh</w:t>
            </w:r>
          </w:p>
        </w:tc>
      </w:tr>
      <w:tr w:rsidR="007A5152" w14:paraId="6D7B47FA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5135" w14:textId="2D695FDD" w:rsidR="007A5152" w:rsidRPr="002C7566" w:rsidRDefault="007A5152" w:rsidP="007A515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Elektrické akumulátory „O</w:t>
            </w:r>
            <w:r w:rsidR="00347A51"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Ú</w:t>
            </w:r>
            <w:r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24D4" w14:textId="27F29199" w:rsidR="007A5152" w:rsidRPr="00FB0F40" w:rsidRDefault="007A5152" w:rsidP="007A515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Min. </w:t>
            </w:r>
            <w:r w:rsidR="00F14F5A"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27,6</w:t>
            </w: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kWh</w:t>
            </w:r>
          </w:p>
          <w:p w14:paraId="1C51339A" w14:textId="7A7AA55D" w:rsidR="007A5152" w:rsidRPr="00FB0F40" w:rsidRDefault="007A5152" w:rsidP="007A515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FB0F40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Jedná se o skutečně využitelnou kapacitu úložiště – tato kapacita se vypočítá jako nominální velikost úložiště x DOD (depth of discharge = maximální hloubka vybití) dle technického listu výrobce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4A26" w14:textId="4E26E482" w:rsidR="007A5152" w:rsidRDefault="007A5152" w:rsidP="007A515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7E48" w14:textId="451935A7" w:rsidR="007A5152" w:rsidRDefault="007A5152" w:rsidP="007A5152">
            <w:pPr>
              <w:spacing w:line="256" w:lineRule="auto"/>
              <w:jc w:val="center"/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)</w:t>
            </w:r>
            <w:r w:rsidRPr="002C7566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 xml:space="preserve"> kWh</w:t>
            </w:r>
          </w:p>
        </w:tc>
      </w:tr>
      <w:tr w:rsidR="007A5152" w:rsidRPr="00EB0778" w14:paraId="1152B4DB" w14:textId="77777777" w:rsidTr="008C16C2">
        <w:trPr>
          <w:trHeight w:val="480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6926" w14:textId="21027482" w:rsidR="007A5152" w:rsidRPr="002C7566" w:rsidRDefault="007A5152" w:rsidP="007A5152">
            <w:pPr>
              <w:widowControl/>
              <w:suppressAutoHyphens w:val="0"/>
              <w:spacing w:line="256" w:lineRule="auto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Elektrické akumulátory „</w:t>
            </w:r>
            <w:r w:rsidR="00347A51"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hasičská zbrojnice</w:t>
            </w:r>
            <w:r w:rsidRPr="00347A51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“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A289F" w14:textId="2DBFEF2E" w:rsidR="007A5152" w:rsidRPr="003113B3" w:rsidRDefault="007A5152" w:rsidP="007A515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 w:rsidRPr="003113B3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Min. </w:t>
            </w:r>
            <w:r w:rsidR="006510C3" w:rsidRPr="003113B3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8,28</w:t>
            </w:r>
            <w:r w:rsidRPr="003113B3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 xml:space="preserve"> kWh</w:t>
            </w:r>
          </w:p>
          <w:p w14:paraId="2B4BC1A7" w14:textId="5184B69A" w:rsidR="007A5152" w:rsidRPr="002C7566" w:rsidRDefault="007A5152" w:rsidP="007A5152">
            <w:pPr>
              <w:autoSpaceDE w:val="0"/>
              <w:adjustRightInd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highlight w:val="cyan"/>
                <w:lang w:eastAsia="en-US"/>
              </w:rPr>
            </w:pPr>
            <w:r w:rsidRPr="003113B3"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  <w:t>Jedná se o skutečně využitelnou kapacitu úložiště – tato kapacita se vypočítá jako nominální velikost úložiště x DOD (depth of discharge = maximální hloubka vybití) dle technického listu výrobce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0FE42" w14:textId="77777777" w:rsidR="007A5152" w:rsidRDefault="007A5152" w:rsidP="007A5152">
            <w:pPr>
              <w:widowControl/>
              <w:suppressAutoHyphens w:val="0"/>
              <w:spacing w:line="256" w:lineRule="auto"/>
              <w:jc w:val="center"/>
              <w:rPr>
                <w:rFonts w:ascii="Arial Narrow" w:hAnsi="Arial Narrow" w:cs="Tahoma"/>
                <w:kern w:val="0"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 xml:space="preserve">(dodavatel doplní ANO </w:t>
            </w:r>
            <w:r>
              <w:rPr>
                <w:rFonts w:ascii="Arial Narrow" w:eastAsia="Calibri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>č</w:t>
            </w: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i NE)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F49C" w14:textId="2F85D6D5" w:rsidR="007A5152" w:rsidRPr="00EB0778" w:rsidRDefault="007A5152" w:rsidP="007A5152">
            <w:pPr>
              <w:spacing w:line="25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 Narrow" w:hAnsi="Arial Narrow" w:cs="Arial"/>
                <w:i/>
                <w:iCs/>
                <w:sz w:val="24"/>
                <w:szCs w:val="24"/>
                <w:highlight w:val="yellow"/>
                <w:lang w:eastAsia="en-US"/>
              </w:rPr>
              <w:t>(hodnotu doplní dodavatel</w:t>
            </w:r>
            <w:r>
              <w:rPr>
                <w:rFonts w:ascii="Arial Narrow" w:hAnsi="Arial Narrow" w:cs="Calibri"/>
                <w:i/>
                <w:iCs/>
                <w:sz w:val="24"/>
                <w:szCs w:val="24"/>
                <w:highlight w:val="yellow"/>
                <w:lang w:eastAsia="en-US"/>
              </w:rPr>
              <w:t xml:space="preserve">) </w:t>
            </w:r>
            <w:r w:rsidR="00347A51" w:rsidRPr="00347A51">
              <w:rPr>
                <w:rFonts w:ascii="Arial Narrow" w:hAnsi="Arial Narrow" w:cs="Calibri"/>
                <w:i/>
                <w:iCs/>
                <w:sz w:val="24"/>
                <w:szCs w:val="24"/>
                <w:lang w:eastAsia="en-US"/>
              </w:rPr>
              <w:t>kWh</w:t>
            </w:r>
          </w:p>
        </w:tc>
      </w:tr>
    </w:tbl>
    <w:p w14:paraId="25867A31" w14:textId="77777777" w:rsidR="007A5152" w:rsidRDefault="007A5152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</w:p>
    <w:p w14:paraId="505E68CB" w14:textId="272DDD10" w:rsidR="00787168" w:rsidRPr="009212E9" w:rsidRDefault="00787168" w:rsidP="00787168">
      <w:pPr>
        <w:widowControl/>
        <w:suppressAutoHyphens w:val="0"/>
        <w:autoSpaceDN/>
        <w:spacing w:before="120"/>
        <w:jc w:val="both"/>
        <w:textAlignment w:val="auto"/>
        <w:rPr>
          <w:rFonts w:ascii="Arial Narrow" w:hAnsi="Arial Narrow" w:cs="Tahoma"/>
          <w:b/>
          <w:kern w:val="0"/>
          <w:sz w:val="24"/>
          <w:szCs w:val="24"/>
        </w:rPr>
      </w:pPr>
      <w:r w:rsidRPr="00F11D25">
        <w:rPr>
          <w:rFonts w:ascii="Arial Narrow" w:hAnsi="Arial Narrow" w:cs="Tahoma"/>
          <w:b/>
          <w:kern w:val="0"/>
          <w:sz w:val="24"/>
          <w:szCs w:val="24"/>
        </w:rPr>
        <w:t>Poznámka pro uchazeče: odpověď ANO/NE je údajem vyjadřujícím splnění požadavků na technickou specifikaci (zda je daný komponent součástí nabídky), při vyplněném sloupci „Hodnota“ je pro hodnocení nutné doplnit i požadovanou číselnou hodnotu, kterou dané zařízení má. Tato číselná hodnota musí být v rozmezí definovaném ve sloupci požadavek. Při nesplnění požadovaných parametrů bude nabídka vyloučena, stejně jako při nedodání některého z požadovaných komponentů.</w:t>
      </w:r>
    </w:p>
    <w:p w14:paraId="5D1C4C95" w14:textId="77777777" w:rsidR="00645C7D" w:rsidRDefault="00645C7D"/>
    <w:sectPr w:rsidR="00645C7D" w:rsidSect="007B2BA1">
      <w:headerReference w:type="default" r:id="rId6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22C89B" w14:textId="77777777" w:rsidR="00713B36" w:rsidRDefault="00713B36" w:rsidP="00713B36">
      <w:r>
        <w:separator/>
      </w:r>
    </w:p>
  </w:endnote>
  <w:endnote w:type="continuationSeparator" w:id="0">
    <w:p w14:paraId="551BE2D0" w14:textId="77777777" w:rsidR="00713B36" w:rsidRDefault="00713B36" w:rsidP="00713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A74F0" w14:textId="77777777" w:rsidR="00713B36" w:rsidRDefault="00713B36" w:rsidP="00713B36">
      <w:r>
        <w:separator/>
      </w:r>
    </w:p>
  </w:footnote>
  <w:footnote w:type="continuationSeparator" w:id="0">
    <w:p w14:paraId="3527BA61" w14:textId="77777777" w:rsidR="00713B36" w:rsidRDefault="00713B36" w:rsidP="00713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4E4F6" w14:textId="5ED9DC08" w:rsidR="007F660E" w:rsidRDefault="00280017">
    <w:pPr>
      <w:pStyle w:val="Zhlav"/>
    </w:pPr>
    <w:r w:rsidRPr="00280017">
      <w:rPr>
        <w:noProof/>
      </w:rPr>
      <w:drawing>
        <wp:inline distT="0" distB="0" distL="0" distR="0" wp14:anchorId="66DB0508" wp14:editId="7B5CF3D9">
          <wp:extent cx="5719445" cy="462915"/>
          <wp:effectExtent l="0" t="0" r="0" b="0"/>
          <wp:docPr id="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6CF29C2" w14:textId="77777777" w:rsidR="00713B36" w:rsidRDefault="00713B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2B2"/>
    <w:rsid w:val="00022B40"/>
    <w:rsid w:val="00057C42"/>
    <w:rsid w:val="00063474"/>
    <w:rsid w:val="000643C1"/>
    <w:rsid w:val="00085A56"/>
    <w:rsid w:val="00097E02"/>
    <w:rsid w:val="000B26FB"/>
    <w:rsid w:val="0013327D"/>
    <w:rsid w:val="001B67F9"/>
    <w:rsid w:val="00253528"/>
    <w:rsid w:val="00280017"/>
    <w:rsid w:val="002C0E4F"/>
    <w:rsid w:val="002C7566"/>
    <w:rsid w:val="002F47EE"/>
    <w:rsid w:val="003113B3"/>
    <w:rsid w:val="00347A51"/>
    <w:rsid w:val="0036518B"/>
    <w:rsid w:val="003D2AB3"/>
    <w:rsid w:val="00415D7F"/>
    <w:rsid w:val="004401A5"/>
    <w:rsid w:val="005201C5"/>
    <w:rsid w:val="00531019"/>
    <w:rsid w:val="00552B0F"/>
    <w:rsid w:val="00553987"/>
    <w:rsid w:val="00587BAD"/>
    <w:rsid w:val="005B685B"/>
    <w:rsid w:val="00605E90"/>
    <w:rsid w:val="00645C7D"/>
    <w:rsid w:val="006510C3"/>
    <w:rsid w:val="00713B36"/>
    <w:rsid w:val="007379E6"/>
    <w:rsid w:val="00751BAA"/>
    <w:rsid w:val="00787168"/>
    <w:rsid w:val="007A5152"/>
    <w:rsid w:val="007B2BA1"/>
    <w:rsid w:val="007F660E"/>
    <w:rsid w:val="00830610"/>
    <w:rsid w:val="008C16C2"/>
    <w:rsid w:val="0093743C"/>
    <w:rsid w:val="009514FD"/>
    <w:rsid w:val="009C715C"/>
    <w:rsid w:val="009E5140"/>
    <w:rsid w:val="00A67604"/>
    <w:rsid w:val="00AC0CE4"/>
    <w:rsid w:val="00AD5E05"/>
    <w:rsid w:val="00AE0A42"/>
    <w:rsid w:val="00B262B2"/>
    <w:rsid w:val="00B637E4"/>
    <w:rsid w:val="00B845E8"/>
    <w:rsid w:val="00B874A1"/>
    <w:rsid w:val="00BB06F3"/>
    <w:rsid w:val="00BE1E73"/>
    <w:rsid w:val="00BF04E2"/>
    <w:rsid w:val="00C013E1"/>
    <w:rsid w:val="00C37CA4"/>
    <w:rsid w:val="00C42AA2"/>
    <w:rsid w:val="00C55803"/>
    <w:rsid w:val="00C72CA2"/>
    <w:rsid w:val="00CE6DBA"/>
    <w:rsid w:val="00DA38D0"/>
    <w:rsid w:val="00DB1D7D"/>
    <w:rsid w:val="00DC113D"/>
    <w:rsid w:val="00DC54AF"/>
    <w:rsid w:val="00E20F49"/>
    <w:rsid w:val="00E62460"/>
    <w:rsid w:val="00E94E3A"/>
    <w:rsid w:val="00EA13F9"/>
    <w:rsid w:val="00EE72E4"/>
    <w:rsid w:val="00F05479"/>
    <w:rsid w:val="00F14F5A"/>
    <w:rsid w:val="00F70574"/>
    <w:rsid w:val="00F97313"/>
    <w:rsid w:val="00FB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F1F1"/>
  <w15:docId w15:val="{D85A0E07-3B8F-431B-BD23-F269DB4B8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DB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87168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kern w:val="3"/>
      <w:lang w:val="en-US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13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B36"/>
    <w:rPr>
      <w:rFonts w:ascii="Times New Roman" w:eastAsia="Times New Roman" w:hAnsi="Times New Roman" w:cs="Times New Roman"/>
      <w:kern w:val="3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13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B36"/>
    <w:rPr>
      <w:rFonts w:ascii="Times New Roman" w:eastAsia="Times New Roman" w:hAnsi="Times New Roman" w:cs="Times New Roman"/>
      <w:kern w:val="3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731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Maňas</dc:creator>
  <cp:keywords/>
  <dc:description/>
  <cp:lastModifiedBy>Denisa Hořejšová</cp:lastModifiedBy>
  <cp:revision>13</cp:revision>
  <dcterms:created xsi:type="dcterms:W3CDTF">2024-03-12T17:13:00Z</dcterms:created>
  <dcterms:modified xsi:type="dcterms:W3CDTF">2024-06-19T14:35:00Z</dcterms:modified>
</cp:coreProperties>
</file>