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DEB6" w14:textId="77777777" w:rsidR="00943459" w:rsidRDefault="00943459" w:rsidP="00012ECB">
      <w:pPr>
        <w:pStyle w:val="Bezmezer"/>
      </w:pPr>
    </w:p>
    <w:p w14:paraId="3050C4F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8FBC9" wp14:editId="2E802DDB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421FD108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59A2E776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307">
        <w:t>Příloha č. 1 Kvalifikační dokumentace</w:t>
      </w:r>
    </w:p>
    <w:p w14:paraId="25A1C6D3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448CB805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4A5546DF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73F8767E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C7DF1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14B4893E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1DE6A7DA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4C2153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08B38A7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01D415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20B2F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3F718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0D26FCD8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7809058D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2BBEAAD5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134/2016 Sb. o zadávání veřejných zakázek nebo obdobný trestný čin podle právního řádu země sídla dodavatele; k zahlazeným odsouzením se nepřihlíží,</w:t>
      </w:r>
    </w:p>
    <w:p w14:paraId="4CAC8857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11F75F1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5A07443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63D052BC" w14:textId="77777777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>, proti němuž nebylo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>, vůči němuž nebyla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4A02D9F4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6A702F71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6CD8FF07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5BBCAED8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708C85AF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59F17605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1F4989F1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633D9A25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4D4F751A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7C4C435A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14C0DCE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45E6E0C8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454A3D36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C1B115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5741BF4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12613D14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3770EF26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02935834" w14:textId="77777777" w:rsidR="00D6609F" w:rsidRDefault="00D6609F" w:rsidP="00D6609F">
      <w:pPr>
        <w:rPr>
          <w:lang w:eastAsia="sk-SK"/>
        </w:rPr>
      </w:pPr>
    </w:p>
    <w:p w14:paraId="69AB7CBC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5AA86137" w14:textId="77777777" w:rsidTr="00514B7A">
        <w:tc>
          <w:tcPr>
            <w:tcW w:w="0" w:type="auto"/>
            <w:vAlign w:val="center"/>
          </w:tcPr>
          <w:p w14:paraId="72DD1AD4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275B2264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6E43150A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E8B221C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08A65B0B" w14:textId="77777777" w:rsidR="00D15CD2" w:rsidRDefault="00D15CD2" w:rsidP="00BC78F5">
      <w:pPr>
        <w:rPr>
          <w:lang w:eastAsia="sk-SK"/>
        </w:rPr>
      </w:pPr>
    </w:p>
    <w:p w14:paraId="70FF6339" w14:textId="77777777" w:rsidR="00D15CD2" w:rsidRDefault="00D15CD2" w:rsidP="00883D9B">
      <w:pPr>
        <w:pStyle w:val="Bezmezer"/>
        <w:rPr>
          <w:lang w:eastAsia="sk-SK"/>
        </w:rPr>
      </w:pPr>
    </w:p>
    <w:p w14:paraId="108E84AF" w14:textId="77777777" w:rsidR="00883D9B" w:rsidRDefault="00883D9B" w:rsidP="00883D9B">
      <w:pPr>
        <w:pStyle w:val="Bezmezer"/>
        <w:rPr>
          <w:lang w:eastAsia="sk-SK"/>
        </w:rPr>
      </w:pPr>
    </w:p>
    <w:p w14:paraId="4684F488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44D9E132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5A5DFC4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78664A6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9D03DA5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46B1138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5A1178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401154A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3E8D7F0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5DCFCD47" w14:textId="77777777" w:rsidTr="00061410">
        <w:trPr>
          <w:jc w:val="right"/>
        </w:trPr>
        <w:tc>
          <w:tcPr>
            <w:tcW w:w="2835" w:type="dxa"/>
            <w:vAlign w:val="center"/>
          </w:tcPr>
          <w:p w14:paraId="12467637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3431C57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4723E60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4F408634" w14:textId="77777777" w:rsidTr="00061410">
        <w:trPr>
          <w:jc w:val="right"/>
        </w:trPr>
        <w:tc>
          <w:tcPr>
            <w:tcW w:w="2835" w:type="dxa"/>
            <w:vAlign w:val="center"/>
          </w:tcPr>
          <w:p w14:paraId="080305EC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706DC23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5D382DC3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79695619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432" w14:textId="77777777" w:rsidR="009F5349" w:rsidRDefault="009F5349" w:rsidP="007E6E26">
      <w:r>
        <w:separator/>
      </w:r>
    </w:p>
  </w:endnote>
  <w:endnote w:type="continuationSeparator" w:id="0">
    <w:p w14:paraId="55A6604D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5346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46CFAB" wp14:editId="3399B0C8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FA9A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C1C7635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1FC472" wp14:editId="1FC0107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43C6BF" wp14:editId="112C655B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522B1" w14:textId="77777777" w:rsidR="00C43504" w:rsidRDefault="00C43504" w:rsidP="00C43504">
                          <w:pPr>
                            <w:pStyle w:val="Zhlav1"/>
                            <w:rPr>
                              <w:lang w:eastAsia="sk-SK"/>
                            </w:rPr>
                          </w:pPr>
                          <w:proofErr w:type="spellStart"/>
                          <w:r w:rsidRPr="005F4946">
                            <w:rPr>
                              <w:lang w:eastAsia="sk-SK"/>
                            </w:rPr>
                            <w:t>Leube</w:t>
                          </w:r>
                          <w:proofErr w:type="spellEnd"/>
                          <w:r w:rsidRPr="005F4946">
                            <w:rPr>
                              <w:lang w:eastAsia="sk-SK"/>
                            </w:rPr>
                            <w:t xml:space="preserve"> Beton s.r.o.</w:t>
                          </w:r>
                        </w:p>
                        <w:p w14:paraId="1AF1CB04" w14:textId="42A6927F" w:rsidR="00AA2110" w:rsidRPr="00953204" w:rsidRDefault="00C43504" w:rsidP="00C072B3">
                          <w:pPr>
                            <w:pStyle w:val="Zhlav1"/>
                          </w:pPr>
                          <w:r w:rsidRPr="00C43504">
                            <w:t xml:space="preserve">Přístavba haly </w:t>
                          </w:r>
                          <w:proofErr w:type="spellStart"/>
                          <w:r w:rsidRPr="00C43504">
                            <w:t>prefa</w:t>
                          </w:r>
                          <w:proofErr w:type="spellEnd"/>
                          <w:r w:rsidRPr="00C43504">
                            <w:t xml:space="preserve"> 2 pro TOPSTEPS v areálu firmy </w:t>
                          </w:r>
                          <w:proofErr w:type="spellStart"/>
                          <w:r w:rsidRPr="00C43504">
                            <w:t>Leube</w:t>
                          </w:r>
                          <w:proofErr w:type="spellEnd"/>
                          <w:r w:rsidRPr="00C43504">
                            <w:t xml:space="preserve"> Beton s.r.o.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3C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531522B1" w14:textId="77777777" w:rsidR="00C43504" w:rsidRDefault="00C43504" w:rsidP="00C43504">
                    <w:pPr>
                      <w:pStyle w:val="Zhlav1"/>
                      <w:rPr>
                        <w:lang w:eastAsia="sk-SK"/>
                      </w:rPr>
                    </w:pPr>
                    <w:proofErr w:type="spellStart"/>
                    <w:r w:rsidRPr="005F4946">
                      <w:rPr>
                        <w:lang w:eastAsia="sk-SK"/>
                      </w:rPr>
                      <w:t>Leube</w:t>
                    </w:r>
                    <w:proofErr w:type="spellEnd"/>
                    <w:r w:rsidRPr="005F4946">
                      <w:rPr>
                        <w:lang w:eastAsia="sk-SK"/>
                      </w:rPr>
                      <w:t xml:space="preserve"> Beton s.r.o.</w:t>
                    </w:r>
                  </w:p>
                  <w:p w14:paraId="1AF1CB04" w14:textId="42A6927F" w:rsidR="00AA2110" w:rsidRPr="00953204" w:rsidRDefault="00C43504" w:rsidP="00C072B3">
                    <w:pPr>
                      <w:pStyle w:val="Zhlav1"/>
                    </w:pPr>
                    <w:r w:rsidRPr="00C43504">
                      <w:t xml:space="preserve">Přístavba haly </w:t>
                    </w:r>
                    <w:proofErr w:type="spellStart"/>
                    <w:r w:rsidRPr="00C43504">
                      <w:t>prefa</w:t>
                    </w:r>
                    <w:proofErr w:type="spellEnd"/>
                    <w:r w:rsidRPr="00C43504">
                      <w:t xml:space="preserve"> 2 pro TOPSTEPS v areálu firmy </w:t>
                    </w:r>
                    <w:proofErr w:type="spellStart"/>
                    <w:r w:rsidRPr="00C43504">
                      <w:t>Leube</w:t>
                    </w:r>
                    <w:proofErr w:type="spellEnd"/>
                    <w:r w:rsidRPr="00C43504">
                      <w:t xml:space="preserve"> Beton s.r.o.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970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0ABAAA" wp14:editId="51A7E2E6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0B874E9" wp14:editId="2F69E2F1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C1170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95A68A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9D9BB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33F84B" wp14:editId="40C90653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44245" w14:textId="7D1D5FB7" w:rsidR="00471D89" w:rsidRDefault="00C43504" w:rsidP="00C072B3">
                          <w:pPr>
                            <w:pStyle w:val="Zhlav1"/>
                            <w:rPr>
                              <w:lang w:eastAsia="sk-SK"/>
                            </w:rPr>
                          </w:pPr>
                          <w:proofErr w:type="spellStart"/>
                          <w:r w:rsidRPr="005F4946">
                            <w:rPr>
                              <w:lang w:eastAsia="sk-SK"/>
                            </w:rPr>
                            <w:t>Leube</w:t>
                          </w:r>
                          <w:proofErr w:type="spellEnd"/>
                          <w:r w:rsidRPr="005F4946">
                            <w:rPr>
                              <w:lang w:eastAsia="sk-SK"/>
                            </w:rPr>
                            <w:t xml:space="preserve"> Beton s.r.o.</w:t>
                          </w:r>
                        </w:p>
                        <w:p w14:paraId="6AEDE138" w14:textId="23D83B75" w:rsidR="00C43504" w:rsidRPr="00953204" w:rsidRDefault="00C43504" w:rsidP="00C072B3">
                          <w:pPr>
                            <w:pStyle w:val="Zhlav1"/>
                          </w:pPr>
                          <w:r w:rsidRPr="00C43504">
                            <w:t xml:space="preserve">Přístavba haly </w:t>
                          </w:r>
                          <w:proofErr w:type="spellStart"/>
                          <w:r w:rsidRPr="00C43504">
                            <w:t>prefa</w:t>
                          </w:r>
                          <w:proofErr w:type="spellEnd"/>
                          <w:r w:rsidRPr="00C43504">
                            <w:t xml:space="preserve"> 2 pro TOPSTEPS v areálu firmy </w:t>
                          </w:r>
                          <w:proofErr w:type="spellStart"/>
                          <w:r w:rsidRPr="00C43504">
                            <w:t>Leube</w:t>
                          </w:r>
                          <w:proofErr w:type="spellEnd"/>
                          <w:r w:rsidRPr="00C43504">
                            <w:t xml:space="preserve"> Beton s.r.o.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3F8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28744245" w14:textId="7D1D5FB7" w:rsidR="00471D89" w:rsidRDefault="00C43504" w:rsidP="00C072B3">
                    <w:pPr>
                      <w:pStyle w:val="Zhlav1"/>
                      <w:rPr>
                        <w:lang w:eastAsia="sk-SK"/>
                      </w:rPr>
                    </w:pPr>
                    <w:proofErr w:type="spellStart"/>
                    <w:r w:rsidRPr="005F4946">
                      <w:rPr>
                        <w:lang w:eastAsia="sk-SK"/>
                      </w:rPr>
                      <w:t>Leube</w:t>
                    </w:r>
                    <w:proofErr w:type="spellEnd"/>
                    <w:r w:rsidRPr="005F4946">
                      <w:rPr>
                        <w:lang w:eastAsia="sk-SK"/>
                      </w:rPr>
                      <w:t xml:space="preserve"> Beton s.r.o.</w:t>
                    </w:r>
                  </w:p>
                  <w:p w14:paraId="6AEDE138" w14:textId="23D83B75" w:rsidR="00C43504" w:rsidRPr="00953204" w:rsidRDefault="00C43504" w:rsidP="00C072B3">
                    <w:pPr>
                      <w:pStyle w:val="Zhlav1"/>
                    </w:pPr>
                    <w:r w:rsidRPr="00C43504">
                      <w:t xml:space="preserve">Přístavba haly </w:t>
                    </w:r>
                    <w:proofErr w:type="spellStart"/>
                    <w:r w:rsidRPr="00C43504">
                      <w:t>prefa</w:t>
                    </w:r>
                    <w:proofErr w:type="spellEnd"/>
                    <w:r w:rsidRPr="00C43504">
                      <w:t xml:space="preserve"> 2 pro TOPSTEPS v areálu firmy </w:t>
                    </w:r>
                    <w:proofErr w:type="spellStart"/>
                    <w:r w:rsidRPr="00C43504">
                      <w:t>Leube</w:t>
                    </w:r>
                    <w:proofErr w:type="spellEnd"/>
                    <w:r w:rsidRPr="00C43504">
                      <w:t xml:space="preserve"> Beton s.r.o.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EA40" w14:textId="77777777" w:rsidR="009F5349" w:rsidRDefault="009F5349" w:rsidP="007E6E26">
      <w:r>
        <w:separator/>
      </w:r>
    </w:p>
  </w:footnote>
  <w:footnote w:type="continuationSeparator" w:id="0">
    <w:p w14:paraId="0FFEF31F" w14:textId="77777777" w:rsidR="009F5349" w:rsidRDefault="009F5349" w:rsidP="007E6E26">
      <w:r>
        <w:continuationSeparator/>
      </w:r>
    </w:p>
  </w:footnote>
  <w:footnote w:id="1">
    <w:p w14:paraId="7B047704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7556BEA0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1BDBE8CD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512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98AEE5" wp14:editId="4D7A48F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E2DC" w14:textId="66D1D0C1" w:rsidR="00AA2110" w:rsidRPr="00D60B09" w:rsidRDefault="00FE59AF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 – základní způsobilost</w:t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8AEE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1129E2DC" w14:textId="66D1D0C1" w:rsidR="00AA2110" w:rsidRPr="00D60B09" w:rsidRDefault="00FE59AF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 – základní způsobilost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E8B17" wp14:editId="4B3ADD40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62BA" w14:textId="77777777" w:rsidR="00EC07B5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F3910F9" wp14:editId="7B4D1425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7055">
    <w:abstractNumId w:val="39"/>
  </w:num>
  <w:num w:numId="2" w16cid:durableId="20238948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6166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812128">
    <w:abstractNumId w:val="31"/>
  </w:num>
  <w:num w:numId="5" w16cid:durableId="761488568">
    <w:abstractNumId w:val="17"/>
  </w:num>
  <w:num w:numId="6" w16cid:durableId="743456048">
    <w:abstractNumId w:val="13"/>
  </w:num>
  <w:num w:numId="7" w16cid:durableId="1561402370">
    <w:abstractNumId w:val="18"/>
  </w:num>
  <w:num w:numId="8" w16cid:durableId="135878962">
    <w:abstractNumId w:val="35"/>
  </w:num>
  <w:num w:numId="9" w16cid:durableId="599458965">
    <w:abstractNumId w:val="25"/>
  </w:num>
  <w:num w:numId="10" w16cid:durableId="1873766494">
    <w:abstractNumId w:val="36"/>
  </w:num>
  <w:num w:numId="11" w16cid:durableId="545797068">
    <w:abstractNumId w:val="38"/>
  </w:num>
  <w:num w:numId="12" w16cid:durableId="697197973">
    <w:abstractNumId w:val="24"/>
  </w:num>
  <w:num w:numId="13" w16cid:durableId="2061974767">
    <w:abstractNumId w:val="41"/>
  </w:num>
  <w:num w:numId="14" w16cid:durableId="988823537">
    <w:abstractNumId w:val="30"/>
  </w:num>
  <w:num w:numId="15" w16cid:durableId="1312059190">
    <w:abstractNumId w:val="15"/>
  </w:num>
  <w:num w:numId="16" w16cid:durableId="2091658798">
    <w:abstractNumId w:val="10"/>
  </w:num>
  <w:num w:numId="17" w16cid:durableId="1599173980">
    <w:abstractNumId w:val="40"/>
  </w:num>
  <w:num w:numId="18" w16cid:durableId="2000965220">
    <w:abstractNumId w:val="42"/>
  </w:num>
  <w:num w:numId="19" w16cid:durableId="1279213444">
    <w:abstractNumId w:val="3"/>
  </w:num>
  <w:num w:numId="20" w16cid:durableId="1907302958">
    <w:abstractNumId w:val="22"/>
  </w:num>
  <w:num w:numId="21" w16cid:durableId="94715419">
    <w:abstractNumId w:val="11"/>
  </w:num>
  <w:num w:numId="22" w16cid:durableId="497234999">
    <w:abstractNumId w:val="27"/>
  </w:num>
  <w:num w:numId="23" w16cid:durableId="421414787">
    <w:abstractNumId w:val="26"/>
  </w:num>
  <w:num w:numId="24" w16cid:durableId="1989816977">
    <w:abstractNumId w:val="12"/>
  </w:num>
  <w:num w:numId="25" w16cid:durableId="984816490">
    <w:abstractNumId w:val="19"/>
  </w:num>
  <w:num w:numId="26" w16cid:durableId="1927690164">
    <w:abstractNumId w:val="8"/>
  </w:num>
  <w:num w:numId="27" w16cid:durableId="2003464387">
    <w:abstractNumId w:val="2"/>
  </w:num>
  <w:num w:numId="28" w16cid:durableId="2245959">
    <w:abstractNumId w:val="5"/>
  </w:num>
  <w:num w:numId="29" w16cid:durableId="1221213961">
    <w:abstractNumId w:val="23"/>
  </w:num>
  <w:num w:numId="30" w16cid:durableId="955987033">
    <w:abstractNumId w:val="6"/>
  </w:num>
  <w:num w:numId="31" w16cid:durableId="1833787992">
    <w:abstractNumId w:val="33"/>
  </w:num>
  <w:num w:numId="32" w16cid:durableId="162748123">
    <w:abstractNumId w:val="0"/>
  </w:num>
  <w:num w:numId="33" w16cid:durableId="794297347">
    <w:abstractNumId w:val="9"/>
  </w:num>
  <w:num w:numId="34" w16cid:durableId="1340354431">
    <w:abstractNumId w:val="37"/>
  </w:num>
  <w:num w:numId="35" w16cid:durableId="1344161449">
    <w:abstractNumId w:val="20"/>
  </w:num>
  <w:num w:numId="36" w16cid:durableId="1558861267">
    <w:abstractNumId w:val="16"/>
  </w:num>
  <w:num w:numId="37" w16cid:durableId="1727147397">
    <w:abstractNumId w:val="21"/>
  </w:num>
  <w:num w:numId="38" w16cid:durableId="296841498">
    <w:abstractNumId w:val="7"/>
  </w:num>
  <w:num w:numId="39" w16cid:durableId="1283996768">
    <w:abstractNumId w:val="34"/>
  </w:num>
  <w:num w:numId="40" w16cid:durableId="2112358975">
    <w:abstractNumId w:val="14"/>
  </w:num>
  <w:num w:numId="41" w16cid:durableId="1892956667">
    <w:abstractNumId w:val="29"/>
  </w:num>
  <w:num w:numId="42" w16cid:durableId="1972244192">
    <w:abstractNumId w:val="28"/>
  </w:num>
  <w:num w:numId="43" w16cid:durableId="1878857604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B3307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2B3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3504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049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324D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E59AF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4D7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BD95-3A2D-44D2-BADF-BE504FA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2017-07-19T10:59:00Z</dcterms:created>
  <dcterms:modified xsi:type="dcterms:W3CDTF">2022-07-12T08:24:00Z</dcterms:modified>
</cp:coreProperties>
</file>