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72" w:rsidRDefault="00111072" w:rsidP="00744B5D">
      <w:pPr>
        <w:jc w:val="center"/>
        <w:rPr>
          <w:rFonts w:ascii="Arial" w:hAnsi="Arial" w:cs="Arial"/>
          <w:b/>
          <w:sz w:val="32"/>
          <w:szCs w:val="32"/>
        </w:rPr>
      </w:pPr>
    </w:p>
    <w:p w:rsidR="004D0C1E" w:rsidRDefault="00744B5D" w:rsidP="0030424C">
      <w:pPr>
        <w:jc w:val="center"/>
        <w:rPr>
          <w:rFonts w:ascii="Arial" w:hAnsi="Arial" w:cs="Arial"/>
          <w:b/>
          <w:sz w:val="28"/>
          <w:szCs w:val="28"/>
        </w:rPr>
      </w:pPr>
      <w:r w:rsidRPr="004D0C1E">
        <w:rPr>
          <w:rFonts w:ascii="Arial" w:hAnsi="Arial" w:cs="Arial"/>
          <w:b/>
          <w:sz w:val="28"/>
          <w:szCs w:val="28"/>
        </w:rPr>
        <w:t>Základní technická specifikace</w:t>
      </w:r>
    </w:p>
    <w:p w:rsidR="0030424C" w:rsidRPr="004D0C1E" w:rsidRDefault="0030424C" w:rsidP="0030424C">
      <w:pPr>
        <w:jc w:val="center"/>
        <w:rPr>
          <w:rFonts w:ascii="Arial" w:hAnsi="Arial" w:cs="Arial"/>
          <w:b/>
          <w:sz w:val="28"/>
          <w:szCs w:val="28"/>
        </w:rPr>
      </w:pPr>
    </w:p>
    <w:p w:rsidR="00111072" w:rsidRPr="004D0C1E" w:rsidRDefault="003E6CD2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 xml:space="preserve">dodavatel nátěru posoudí, zda může být nový </w:t>
      </w:r>
      <w:r w:rsidR="00111072" w:rsidRPr="004D0C1E">
        <w:rPr>
          <w:rFonts w:ascii="Arial" w:hAnsi="Arial" w:cs="Arial"/>
          <w:szCs w:val="22"/>
        </w:rPr>
        <w:t>o</w:t>
      </w:r>
      <w:r w:rsidRPr="004D0C1E">
        <w:rPr>
          <w:rFonts w:ascii="Arial" w:hAnsi="Arial" w:cs="Arial"/>
          <w:szCs w:val="22"/>
        </w:rPr>
        <w:t>chranný nátěr provádě</w:t>
      </w:r>
      <w:r w:rsidR="00111072" w:rsidRPr="004D0C1E">
        <w:rPr>
          <w:rFonts w:ascii="Arial" w:hAnsi="Arial" w:cs="Arial"/>
          <w:szCs w:val="22"/>
        </w:rPr>
        <w:t>n na stávající nátěr bez jeho předchozího odstranění</w:t>
      </w:r>
      <w:r w:rsidR="000563C6">
        <w:rPr>
          <w:rFonts w:ascii="Arial" w:hAnsi="Arial" w:cs="Arial"/>
          <w:szCs w:val="22"/>
        </w:rPr>
        <w:t xml:space="preserve"> </w:t>
      </w:r>
      <w:r w:rsidRPr="004D0C1E">
        <w:rPr>
          <w:rFonts w:ascii="Arial" w:hAnsi="Arial" w:cs="Arial"/>
          <w:szCs w:val="22"/>
        </w:rPr>
        <w:t xml:space="preserve">nebo v některých místech musí dojít k odstranění stávajícího nátěru tak, aby byl dosažen co nejlepší antikorozní efekt </w:t>
      </w:r>
    </w:p>
    <w:p w:rsidR="00111072" w:rsidRPr="004D0C1E" w:rsidRDefault="00111072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b/>
          <w:szCs w:val="22"/>
        </w:rPr>
      </w:pPr>
      <w:r w:rsidRPr="004D0C1E">
        <w:rPr>
          <w:rFonts w:ascii="Arial" w:hAnsi="Arial" w:cs="Arial"/>
          <w:b/>
          <w:szCs w:val="22"/>
        </w:rPr>
        <w:t>ochranný nátěr musí odpovídat ČSN EN ISO 12944</w:t>
      </w:r>
    </w:p>
    <w:p w:rsidR="00111072" w:rsidRPr="004D0C1E" w:rsidRDefault="00111072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b/>
          <w:szCs w:val="22"/>
        </w:rPr>
      </w:pPr>
      <w:r w:rsidRPr="004D0C1E">
        <w:rPr>
          <w:rFonts w:ascii="Arial" w:hAnsi="Arial" w:cs="Arial"/>
          <w:b/>
          <w:szCs w:val="22"/>
        </w:rPr>
        <w:t>životnost</w:t>
      </w:r>
      <w:r w:rsidR="003E6CD2" w:rsidRPr="004D0C1E">
        <w:rPr>
          <w:rFonts w:ascii="Arial" w:hAnsi="Arial" w:cs="Arial"/>
          <w:b/>
          <w:szCs w:val="22"/>
        </w:rPr>
        <w:t xml:space="preserve"> nového nátěru</w:t>
      </w:r>
      <w:r w:rsidRPr="004D0C1E">
        <w:rPr>
          <w:rFonts w:ascii="Arial" w:hAnsi="Arial" w:cs="Arial"/>
          <w:b/>
          <w:szCs w:val="22"/>
        </w:rPr>
        <w:t xml:space="preserve"> musí</w:t>
      </w:r>
      <w:r w:rsidR="003E6CD2" w:rsidRPr="004D0C1E">
        <w:rPr>
          <w:rFonts w:ascii="Arial" w:hAnsi="Arial" w:cs="Arial"/>
          <w:b/>
          <w:szCs w:val="22"/>
        </w:rPr>
        <w:t xml:space="preserve"> být minimálně 10 až 15</w:t>
      </w:r>
      <w:r w:rsidRPr="004D0C1E">
        <w:rPr>
          <w:rFonts w:ascii="Arial" w:hAnsi="Arial" w:cs="Arial"/>
          <w:b/>
          <w:szCs w:val="22"/>
        </w:rPr>
        <w:t xml:space="preserve"> let</w:t>
      </w:r>
      <w:r w:rsidR="0026681E">
        <w:rPr>
          <w:rFonts w:ascii="Arial" w:hAnsi="Arial" w:cs="Arial"/>
          <w:b/>
          <w:szCs w:val="22"/>
        </w:rPr>
        <w:t>, tomu musí odpovídat tloušťka vrchního nátěru</w:t>
      </w:r>
      <w:r w:rsidR="007F67BF">
        <w:rPr>
          <w:rFonts w:ascii="Arial" w:hAnsi="Arial" w:cs="Arial"/>
          <w:b/>
          <w:szCs w:val="22"/>
        </w:rPr>
        <w:t xml:space="preserve">, která musí být silná minimálně 100 </w:t>
      </w:r>
      <w:proofErr w:type="spellStart"/>
      <w:r w:rsidR="007F67BF">
        <w:rPr>
          <w:rFonts w:ascii="Arial" w:hAnsi="Arial" w:cs="Arial"/>
          <w:b/>
          <w:szCs w:val="22"/>
        </w:rPr>
        <w:t>mikrónů</w:t>
      </w:r>
      <w:proofErr w:type="spellEnd"/>
    </w:p>
    <w:p w:rsidR="00F136B7" w:rsidRPr="004D0C1E" w:rsidRDefault="00F136B7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b/>
          <w:szCs w:val="22"/>
        </w:rPr>
      </w:pPr>
      <w:r w:rsidRPr="004D0C1E">
        <w:rPr>
          <w:rFonts w:ascii="Arial" w:hAnsi="Arial" w:cs="Arial"/>
          <w:b/>
          <w:szCs w:val="22"/>
        </w:rPr>
        <w:t>dodavatel nátěru je</w:t>
      </w:r>
      <w:r w:rsidR="00F3242E">
        <w:rPr>
          <w:rFonts w:ascii="Arial" w:hAnsi="Arial" w:cs="Arial"/>
          <w:b/>
          <w:szCs w:val="22"/>
        </w:rPr>
        <w:t xml:space="preserve"> na kovové konstrukce</w:t>
      </w:r>
      <w:r w:rsidRPr="004D0C1E">
        <w:rPr>
          <w:rFonts w:ascii="Arial" w:hAnsi="Arial" w:cs="Arial"/>
          <w:b/>
          <w:szCs w:val="22"/>
        </w:rPr>
        <w:t xml:space="preserve"> </w:t>
      </w:r>
      <w:r w:rsidR="00841B4D" w:rsidRPr="004D0C1E">
        <w:rPr>
          <w:rFonts w:ascii="Arial" w:hAnsi="Arial" w:cs="Arial"/>
          <w:b/>
          <w:szCs w:val="22"/>
        </w:rPr>
        <w:t>povinen použít výhradně</w:t>
      </w:r>
      <w:r w:rsidRPr="004D0C1E">
        <w:rPr>
          <w:rFonts w:ascii="Arial" w:hAnsi="Arial" w:cs="Arial"/>
          <w:b/>
          <w:szCs w:val="22"/>
        </w:rPr>
        <w:t xml:space="preserve"> barvy typu </w:t>
      </w:r>
      <w:proofErr w:type="spellStart"/>
      <w:r w:rsidRPr="004D0C1E">
        <w:rPr>
          <w:rFonts w:ascii="Arial" w:hAnsi="Arial" w:cs="Arial"/>
          <w:b/>
          <w:szCs w:val="22"/>
        </w:rPr>
        <w:t>Hempadur</w:t>
      </w:r>
      <w:proofErr w:type="spellEnd"/>
      <w:r w:rsidR="00207174" w:rsidRPr="004D0C1E">
        <w:rPr>
          <w:rFonts w:ascii="Arial" w:hAnsi="Arial" w:cs="Arial"/>
          <w:b/>
          <w:szCs w:val="22"/>
        </w:rPr>
        <w:t xml:space="preserve"> 15570</w:t>
      </w:r>
      <w:r w:rsidR="00790C38">
        <w:rPr>
          <w:rFonts w:ascii="Arial" w:hAnsi="Arial" w:cs="Arial"/>
          <w:b/>
          <w:szCs w:val="22"/>
        </w:rPr>
        <w:t xml:space="preserve"> šedého odstínu č.</w:t>
      </w:r>
      <w:r w:rsidR="00993522">
        <w:rPr>
          <w:rFonts w:ascii="Arial" w:hAnsi="Arial" w:cs="Arial"/>
          <w:b/>
          <w:szCs w:val="22"/>
        </w:rPr>
        <w:t xml:space="preserve"> </w:t>
      </w:r>
      <w:proofErr w:type="gramStart"/>
      <w:r w:rsidR="00993522">
        <w:rPr>
          <w:rFonts w:ascii="Arial" w:hAnsi="Arial" w:cs="Arial"/>
          <w:b/>
          <w:szCs w:val="22"/>
        </w:rPr>
        <w:t>11320</w:t>
      </w:r>
      <w:r w:rsidR="00790C38">
        <w:rPr>
          <w:rFonts w:ascii="Arial" w:hAnsi="Arial" w:cs="Arial"/>
          <w:b/>
          <w:szCs w:val="22"/>
        </w:rPr>
        <w:t xml:space="preserve"> </w:t>
      </w:r>
      <w:r w:rsidR="00841B4D" w:rsidRPr="004D0C1E">
        <w:rPr>
          <w:rFonts w:ascii="Arial" w:hAnsi="Arial" w:cs="Arial"/>
          <w:b/>
          <w:szCs w:val="22"/>
        </w:rPr>
        <w:t>, tam</w:t>
      </w:r>
      <w:proofErr w:type="gramEnd"/>
      <w:r w:rsidR="00841B4D" w:rsidRPr="004D0C1E">
        <w:rPr>
          <w:rFonts w:ascii="Arial" w:hAnsi="Arial" w:cs="Arial"/>
          <w:b/>
          <w:szCs w:val="22"/>
        </w:rPr>
        <w:t xml:space="preserve"> kde bude třeba opravit i základní nátěr</w:t>
      </w:r>
      <w:r w:rsidRPr="004D0C1E">
        <w:rPr>
          <w:rFonts w:ascii="Arial" w:hAnsi="Arial" w:cs="Arial"/>
          <w:b/>
          <w:szCs w:val="22"/>
        </w:rPr>
        <w:t xml:space="preserve"> a </w:t>
      </w:r>
      <w:proofErr w:type="spellStart"/>
      <w:r w:rsidRPr="004D0C1E">
        <w:rPr>
          <w:rFonts w:ascii="Arial" w:hAnsi="Arial" w:cs="Arial"/>
          <w:b/>
          <w:szCs w:val="22"/>
        </w:rPr>
        <w:t>Hempathame</w:t>
      </w:r>
      <w:proofErr w:type="spellEnd"/>
      <w:r w:rsidR="00493685" w:rsidRPr="004D0C1E">
        <w:rPr>
          <w:rFonts w:ascii="Arial" w:hAnsi="Arial" w:cs="Arial"/>
          <w:b/>
          <w:szCs w:val="22"/>
        </w:rPr>
        <w:t xml:space="preserve"> Fast Dry 5575</w:t>
      </w:r>
      <w:r w:rsidR="000E5C80" w:rsidRPr="004D0C1E">
        <w:rPr>
          <w:rFonts w:ascii="Arial" w:hAnsi="Arial" w:cs="Arial"/>
          <w:b/>
          <w:szCs w:val="22"/>
        </w:rPr>
        <w:t>0</w:t>
      </w:r>
      <w:r w:rsidR="00993522">
        <w:rPr>
          <w:rFonts w:ascii="Arial" w:hAnsi="Arial" w:cs="Arial"/>
          <w:b/>
          <w:szCs w:val="22"/>
        </w:rPr>
        <w:t xml:space="preserve"> odstínu RAL</w:t>
      </w:r>
      <w:r w:rsidR="0030424C">
        <w:rPr>
          <w:rFonts w:ascii="Arial" w:hAnsi="Arial" w:cs="Arial"/>
          <w:b/>
          <w:szCs w:val="22"/>
        </w:rPr>
        <w:t xml:space="preserve"> 9007</w:t>
      </w:r>
      <w:r w:rsidR="00993522">
        <w:rPr>
          <w:rFonts w:ascii="Arial" w:hAnsi="Arial" w:cs="Arial"/>
          <w:b/>
          <w:szCs w:val="22"/>
        </w:rPr>
        <w:t xml:space="preserve"> </w:t>
      </w:r>
      <w:r w:rsidR="00841B4D" w:rsidRPr="004D0C1E">
        <w:rPr>
          <w:rFonts w:ascii="Arial" w:hAnsi="Arial" w:cs="Arial"/>
          <w:b/>
          <w:szCs w:val="22"/>
        </w:rPr>
        <w:t xml:space="preserve"> jako vrchní nátěr</w:t>
      </w:r>
      <w:r w:rsidR="008E20FE" w:rsidRPr="004D0C1E">
        <w:rPr>
          <w:rFonts w:ascii="Arial" w:hAnsi="Arial" w:cs="Arial"/>
          <w:b/>
          <w:szCs w:val="22"/>
        </w:rPr>
        <w:t>, použití jiného typu barev</w:t>
      </w:r>
      <w:r w:rsidR="0026681E">
        <w:rPr>
          <w:rFonts w:ascii="Arial" w:hAnsi="Arial" w:cs="Arial"/>
          <w:b/>
          <w:szCs w:val="22"/>
        </w:rPr>
        <w:t xml:space="preserve"> ani jiných odstínů</w:t>
      </w:r>
      <w:r w:rsidR="008E20FE" w:rsidRPr="004D0C1E">
        <w:rPr>
          <w:rFonts w:ascii="Arial" w:hAnsi="Arial" w:cs="Arial"/>
          <w:b/>
          <w:szCs w:val="22"/>
        </w:rPr>
        <w:t xml:space="preserve"> není přípustné</w:t>
      </w:r>
      <w:r w:rsidRPr="004D0C1E">
        <w:rPr>
          <w:rFonts w:ascii="Arial" w:hAnsi="Arial" w:cs="Arial"/>
          <w:b/>
          <w:szCs w:val="22"/>
        </w:rPr>
        <w:t xml:space="preserve"> </w:t>
      </w:r>
    </w:p>
    <w:p w:rsidR="0089387D" w:rsidRPr="004D0C1E" w:rsidRDefault="0089387D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b/>
          <w:szCs w:val="22"/>
        </w:rPr>
      </w:pPr>
      <w:r w:rsidRPr="004D0C1E">
        <w:rPr>
          <w:rFonts w:ascii="Arial" w:hAnsi="Arial" w:cs="Arial"/>
          <w:b/>
          <w:szCs w:val="22"/>
        </w:rPr>
        <w:t>splnění minimální tloušťky nátěru</w:t>
      </w:r>
      <w:r w:rsidR="007F67BF">
        <w:rPr>
          <w:rFonts w:ascii="Arial" w:hAnsi="Arial" w:cs="Arial"/>
          <w:b/>
          <w:szCs w:val="22"/>
        </w:rPr>
        <w:t>, tj. 100 mikrónů</w:t>
      </w:r>
      <w:r w:rsidRPr="004D0C1E">
        <w:rPr>
          <w:rFonts w:ascii="Arial" w:hAnsi="Arial" w:cs="Arial"/>
          <w:b/>
          <w:szCs w:val="22"/>
        </w:rPr>
        <w:t xml:space="preserve"> bude při převzetí díla překontrolováno specializovanou firmou</w:t>
      </w:r>
      <w:r w:rsidR="000563C6">
        <w:rPr>
          <w:rFonts w:ascii="Arial" w:hAnsi="Arial" w:cs="Arial"/>
          <w:b/>
          <w:szCs w:val="22"/>
        </w:rPr>
        <w:t xml:space="preserve"> n</w:t>
      </w:r>
      <w:r w:rsidR="0030424C">
        <w:rPr>
          <w:rFonts w:ascii="Arial" w:hAnsi="Arial" w:cs="Arial"/>
          <w:b/>
          <w:szCs w:val="22"/>
        </w:rPr>
        <w:t>a předem určených místech, která</w:t>
      </w:r>
      <w:r w:rsidR="000563C6">
        <w:rPr>
          <w:rFonts w:ascii="Arial" w:hAnsi="Arial" w:cs="Arial"/>
          <w:b/>
          <w:szCs w:val="22"/>
        </w:rPr>
        <w:t xml:space="preserve"> nebudou známa dodavateli</w:t>
      </w:r>
      <w:r w:rsidRPr="004D0C1E">
        <w:rPr>
          <w:rFonts w:ascii="Arial" w:hAnsi="Arial" w:cs="Arial"/>
          <w:b/>
          <w:szCs w:val="22"/>
        </w:rPr>
        <w:t>, dílo nebude převzato a zaplaceno, pokud nebude minimální tloušťka nátěru docílena</w:t>
      </w:r>
      <w:r w:rsidR="00880F5D">
        <w:rPr>
          <w:rFonts w:ascii="Arial" w:hAnsi="Arial" w:cs="Arial"/>
          <w:b/>
          <w:szCs w:val="22"/>
        </w:rPr>
        <w:t>, vše bude uvedeno na předávacím protokolu</w:t>
      </w:r>
    </w:p>
    <w:p w:rsidR="000563C6" w:rsidRDefault="00A91496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>nátěr bude prováděn po nástupištích</w:t>
      </w:r>
      <w:r w:rsidR="000563C6">
        <w:rPr>
          <w:rFonts w:ascii="Arial" w:hAnsi="Arial" w:cs="Arial"/>
          <w:szCs w:val="22"/>
        </w:rPr>
        <w:t>, tak jak jsou uvedena v krycím listu, přičemž než bude započat nátěr na dalším z</w:t>
      </w:r>
      <w:r w:rsidR="0030424C">
        <w:rPr>
          <w:rFonts w:ascii="Arial" w:hAnsi="Arial" w:cs="Arial"/>
          <w:szCs w:val="22"/>
        </w:rPr>
        <w:t> </w:t>
      </w:r>
      <w:r w:rsidR="000563C6">
        <w:rPr>
          <w:rFonts w:ascii="Arial" w:hAnsi="Arial" w:cs="Arial"/>
          <w:szCs w:val="22"/>
        </w:rPr>
        <w:t>nástupišť</w:t>
      </w:r>
      <w:r w:rsidR="0030424C">
        <w:rPr>
          <w:rFonts w:ascii="Arial" w:hAnsi="Arial" w:cs="Arial"/>
          <w:szCs w:val="22"/>
        </w:rPr>
        <w:t>,</w:t>
      </w:r>
      <w:r w:rsidR="000563C6">
        <w:rPr>
          <w:rFonts w:ascii="Arial" w:hAnsi="Arial" w:cs="Arial"/>
          <w:szCs w:val="22"/>
        </w:rPr>
        <w:t xml:space="preserve"> musí být předchozí nástupiště kompletně dokončeno</w:t>
      </w:r>
    </w:p>
    <w:p w:rsidR="00111072" w:rsidRPr="004D0C1E" w:rsidRDefault="000563C6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nátěr bude prováděn </w:t>
      </w:r>
      <w:r w:rsidR="00841B4D" w:rsidRPr="004D0C1E">
        <w:rPr>
          <w:rFonts w:ascii="Arial" w:hAnsi="Arial" w:cs="Arial"/>
          <w:szCs w:val="22"/>
        </w:rPr>
        <w:t>za plného</w:t>
      </w:r>
      <w:r w:rsidR="009D289A" w:rsidRPr="004D0C1E">
        <w:rPr>
          <w:rFonts w:ascii="Arial" w:hAnsi="Arial" w:cs="Arial"/>
          <w:szCs w:val="22"/>
        </w:rPr>
        <w:t xml:space="preserve"> provoz</w:t>
      </w:r>
      <w:r w:rsidR="00841B4D" w:rsidRPr="004D0C1E">
        <w:rPr>
          <w:rFonts w:ascii="Arial" w:hAnsi="Arial" w:cs="Arial"/>
          <w:szCs w:val="22"/>
        </w:rPr>
        <w:t>u</w:t>
      </w:r>
      <w:r w:rsidR="009D289A" w:rsidRPr="004D0C1E">
        <w:rPr>
          <w:rFonts w:ascii="Arial" w:hAnsi="Arial" w:cs="Arial"/>
          <w:szCs w:val="22"/>
        </w:rPr>
        <w:t>, dodav</w:t>
      </w:r>
      <w:r w:rsidR="007039D7" w:rsidRPr="004D0C1E">
        <w:rPr>
          <w:rFonts w:ascii="Arial" w:hAnsi="Arial" w:cs="Arial"/>
          <w:szCs w:val="22"/>
        </w:rPr>
        <w:t>atel umožní</w:t>
      </w:r>
      <w:r w:rsidR="00841B4D" w:rsidRPr="004D0C1E">
        <w:rPr>
          <w:rFonts w:ascii="Arial" w:hAnsi="Arial" w:cs="Arial"/>
          <w:szCs w:val="22"/>
        </w:rPr>
        <w:t xml:space="preserve"> přístup cestujících na nástupní hranu</w:t>
      </w:r>
      <w:r w:rsidR="007039D7" w:rsidRPr="004D0C1E">
        <w:rPr>
          <w:rFonts w:ascii="Arial" w:hAnsi="Arial" w:cs="Arial"/>
          <w:szCs w:val="22"/>
        </w:rPr>
        <w:t xml:space="preserve"> ale viditelně a bezpečně jej oddělí od prostoru, kde se zrovna natírá  </w:t>
      </w:r>
      <w:r w:rsidR="0089387D" w:rsidRPr="004D0C1E">
        <w:rPr>
          <w:rFonts w:ascii="Arial" w:hAnsi="Arial" w:cs="Arial"/>
          <w:szCs w:val="22"/>
        </w:rPr>
        <w:t xml:space="preserve">  </w:t>
      </w:r>
    </w:p>
    <w:p w:rsidR="009D289A" w:rsidRPr="004D0C1E" w:rsidRDefault="009D289A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>dodavatel může provádět nátěry jen v takovém počasí, aby kvalita a trvanlivost nátěru mohla být zaručena</w:t>
      </w:r>
      <w:r w:rsidR="0030424C">
        <w:rPr>
          <w:rFonts w:ascii="Arial" w:hAnsi="Arial" w:cs="Arial"/>
          <w:szCs w:val="22"/>
        </w:rPr>
        <w:t xml:space="preserve"> a musí přitom dodržet postup uvedený na údajovém (technickém) listu jednotlivých typů nátěrových systémů</w:t>
      </w:r>
      <w:r w:rsidR="0026681E">
        <w:rPr>
          <w:rFonts w:ascii="Arial" w:hAnsi="Arial" w:cs="Arial"/>
          <w:szCs w:val="22"/>
        </w:rPr>
        <w:t>, který je součástí zadávací dokumentace</w:t>
      </w:r>
    </w:p>
    <w:p w:rsidR="009D289A" w:rsidRPr="004D0C1E" w:rsidRDefault="009D289A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>veškeré dodavatelské práce musí být uk</w:t>
      </w:r>
      <w:r w:rsidR="00841B4D" w:rsidRPr="004D0C1E">
        <w:rPr>
          <w:rFonts w:ascii="Arial" w:hAnsi="Arial" w:cs="Arial"/>
          <w:szCs w:val="22"/>
        </w:rPr>
        <w:t>ončeny nejpozději do 30. 9. 2024</w:t>
      </w:r>
    </w:p>
    <w:p w:rsidR="00ED4F35" w:rsidRPr="004D0C1E" w:rsidRDefault="009D289A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>dodavatel zajistí, zabezpečí a odpovídá, aby na natíraný úsek DT neměli přístup nepovol</w:t>
      </w:r>
      <w:r w:rsidR="00EB3693" w:rsidRPr="004D0C1E">
        <w:rPr>
          <w:rFonts w:ascii="Arial" w:hAnsi="Arial" w:cs="Arial"/>
          <w:szCs w:val="22"/>
        </w:rPr>
        <w:t xml:space="preserve">ané osoby a nemohlo tak dojít k jejich zranění, </w:t>
      </w:r>
      <w:r w:rsidRPr="004D0C1E">
        <w:rPr>
          <w:rFonts w:ascii="Arial" w:hAnsi="Arial" w:cs="Arial"/>
          <w:szCs w:val="22"/>
        </w:rPr>
        <w:t>ke znečištěn</w:t>
      </w:r>
      <w:r w:rsidR="00EB3693" w:rsidRPr="004D0C1E">
        <w:rPr>
          <w:rFonts w:ascii="Arial" w:hAnsi="Arial" w:cs="Arial"/>
          <w:szCs w:val="22"/>
        </w:rPr>
        <w:t xml:space="preserve">í </w:t>
      </w:r>
      <w:r w:rsidRPr="004D0C1E">
        <w:rPr>
          <w:rFonts w:ascii="Arial" w:hAnsi="Arial" w:cs="Arial"/>
          <w:szCs w:val="22"/>
        </w:rPr>
        <w:t>oděvu a</w:t>
      </w:r>
      <w:r w:rsidR="003E6CD2" w:rsidRPr="004D0C1E">
        <w:rPr>
          <w:rFonts w:ascii="Arial" w:hAnsi="Arial" w:cs="Arial"/>
          <w:szCs w:val="22"/>
        </w:rPr>
        <w:t xml:space="preserve"> </w:t>
      </w:r>
      <w:r w:rsidRPr="004D0C1E">
        <w:rPr>
          <w:rFonts w:ascii="Arial" w:hAnsi="Arial" w:cs="Arial"/>
          <w:szCs w:val="22"/>
        </w:rPr>
        <w:t>pod</w:t>
      </w:r>
      <w:r w:rsidR="00ED4F35" w:rsidRPr="004D0C1E">
        <w:rPr>
          <w:rFonts w:ascii="Arial" w:hAnsi="Arial" w:cs="Arial"/>
          <w:szCs w:val="22"/>
        </w:rPr>
        <w:t>, pokud k tomu dojde, veškerou odpovědnost nese dodavatel nátěru</w:t>
      </w:r>
    </w:p>
    <w:p w:rsidR="00ED4F35" w:rsidRPr="004D0C1E" w:rsidRDefault="00ED4F35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>pokud dojde k potřísnění barvou ploch, které nemají být natírány (</w:t>
      </w:r>
      <w:r w:rsidR="00A91496" w:rsidRPr="004D0C1E">
        <w:rPr>
          <w:rFonts w:ascii="Arial" w:hAnsi="Arial" w:cs="Arial"/>
          <w:szCs w:val="22"/>
        </w:rPr>
        <w:t>např.</w:t>
      </w:r>
      <w:r w:rsidR="002C0802">
        <w:rPr>
          <w:rFonts w:ascii="Arial" w:hAnsi="Arial" w:cs="Arial"/>
          <w:szCs w:val="22"/>
        </w:rPr>
        <w:t xml:space="preserve"> </w:t>
      </w:r>
      <w:r w:rsidR="00DC1ECE" w:rsidRPr="004D0C1E">
        <w:rPr>
          <w:rFonts w:ascii="Arial" w:hAnsi="Arial" w:cs="Arial"/>
          <w:szCs w:val="22"/>
        </w:rPr>
        <w:t>skleněné a polykarbonátové</w:t>
      </w:r>
      <w:r w:rsidRPr="004D0C1E">
        <w:rPr>
          <w:rFonts w:ascii="Arial" w:hAnsi="Arial" w:cs="Arial"/>
          <w:szCs w:val="22"/>
        </w:rPr>
        <w:t xml:space="preserve"> výplně,</w:t>
      </w:r>
      <w:bookmarkStart w:id="0" w:name="_GoBack"/>
      <w:bookmarkEnd w:id="0"/>
      <w:r w:rsidRPr="004D0C1E">
        <w:rPr>
          <w:rFonts w:ascii="Arial" w:hAnsi="Arial" w:cs="Arial"/>
          <w:szCs w:val="22"/>
        </w:rPr>
        <w:t xml:space="preserve"> dřevěné obložení</w:t>
      </w:r>
      <w:r w:rsidR="003E6CD2" w:rsidRPr="004D0C1E">
        <w:rPr>
          <w:rFonts w:ascii="Arial" w:hAnsi="Arial" w:cs="Arial"/>
          <w:szCs w:val="22"/>
        </w:rPr>
        <w:t>, elektrické osvětlení</w:t>
      </w:r>
      <w:r w:rsidRPr="004D0C1E">
        <w:rPr>
          <w:rFonts w:ascii="Arial" w:hAnsi="Arial" w:cs="Arial"/>
          <w:szCs w:val="22"/>
        </w:rPr>
        <w:t>) musí dodavatel na své náklady zajistit odstranění barvy z potřísněných ploch</w:t>
      </w:r>
    </w:p>
    <w:p w:rsidR="009D289A" w:rsidRPr="004D0C1E" w:rsidRDefault="00ED4F35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>pokud bude nutno demontovat kvůli nátěru elektrické osvětlení DT a po provedení nátěru jeho zpětnou montáž, provede toto dodavatel nátěru buď</w:t>
      </w:r>
      <w:r w:rsidR="000563C6">
        <w:rPr>
          <w:rFonts w:ascii="Arial" w:hAnsi="Arial" w:cs="Arial"/>
          <w:szCs w:val="22"/>
        </w:rPr>
        <w:t xml:space="preserve"> sám, nebo si k tomu zajistí pod</w:t>
      </w:r>
      <w:r w:rsidRPr="004D0C1E">
        <w:rPr>
          <w:rFonts w:ascii="Arial" w:hAnsi="Arial" w:cs="Arial"/>
          <w:szCs w:val="22"/>
        </w:rPr>
        <w:t>dodavatele, náklady potom zahrne do celkové ceny</w:t>
      </w:r>
      <w:r w:rsidR="009D289A" w:rsidRPr="004D0C1E">
        <w:rPr>
          <w:rFonts w:ascii="Arial" w:hAnsi="Arial" w:cs="Arial"/>
          <w:szCs w:val="22"/>
        </w:rPr>
        <w:t xml:space="preserve">   </w:t>
      </w:r>
    </w:p>
    <w:p w:rsidR="00DC1ECE" w:rsidRPr="004D0C1E" w:rsidRDefault="00DC1ECE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>pokud bude nutno kvůli nátěru demontovat kalené sklo, polykarbonát nebo cokoli, co bude provádění nátěru překážet, je dodavatel po provedení a zaschnutí nátěru namontovat předepsaným způsobem zpět na své místo</w:t>
      </w:r>
      <w:r w:rsidR="00EB3693" w:rsidRPr="004D0C1E">
        <w:rPr>
          <w:rFonts w:ascii="Arial" w:hAnsi="Arial" w:cs="Arial"/>
          <w:szCs w:val="22"/>
        </w:rPr>
        <w:t>, pokud při tom dojde ke zničení poškozené součásti, tuto nahradí na své náklady</w:t>
      </w:r>
    </w:p>
    <w:p w:rsidR="00A91496" w:rsidRPr="004D0C1E" w:rsidRDefault="00A91496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>ná</w:t>
      </w:r>
      <w:r w:rsidR="007039D7" w:rsidRPr="004D0C1E">
        <w:rPr>
          <w:rFonts w:ascii="Arial" w:hAnsi="Arial" w:cs="Arial"/>
          <w:szCs w:val="22"/>
        </w:rPr>
        <w:t>těry budou prováděny místy několik</w:t>
      </w:r>
      <w:r w:rsidRPr="004D0C1E">
        <w:rPr>
          <w:rFonts w:ascii="Arial" w:hAnsi="Arial" w:cs="Arial"/>
          <w:szCs w:val="22"/>
        </w:rPr>
        <w:t xml:space="preserve"> metrů nad zemí</w:t>
      </w:r>
      <w:r w:rsidR="008E20FE" w:rsidRPr="004D0C1E">
        <w:rPr>
          <w:rFonts w:ascii="Arial" w:hAnsi="Arial" w:cs="Arial"/>
          <w:szCs w:val="22"/>
        </w:rPr>
        <w:t>,</w:t>
      </w:r>
      <w:r w:rsidRPr="004D0C1E">
        <w:rPr>
          <w:rFonts w:ascii="Arial" w:hAnsi="Arial" w:cs="Arial"/>
          <w:szCs w:val="22"/>
        </w:rPr>
        <w:t xml:space="preserve"> dodavatel</w:t>
      </w:r>
      <w:r w:rsidR="008E20FE" w:rsidRPr="004D0C1E">
        <w:rPr>
          <w:rFonts w:ascii="Arial" w:hAnsi="Arial" w:cs="Arial"/>
          <w:szCs w:val="22"/>
        </w:rPr>
        <w:t xml:space="preserve"> to musí mít na zřeteli, musí na to </w:t>
      </w:r>
      <w:r w:rsidRPr="004D0C1E">
        <w:rPr>
          <w:rFonts w:ascii="Arial" w:hAnsi="Arial" w:cs="Arial"/>
          <w:szCs w:val="22"/>
        </w:rPr>
        <w:t>být vybaven a musí mít řádně proškolený personál pro tento typ prací, objedna</w:t>
      </w:r>
      <w:r w:rsidR="008E20FE" w:rsidRPr="004D0C1E">
        <w:rPr>
          <w:rFonts w:ascii="Arial" w:hAnsi="Arial" w:cs="Arial"/>
          <w:szCs w:val="22"/>
        </w:rPr>
        <w:t>va</w:t>
      </w:r>
      <w:r w:rsidRPr="004D0C1E">
        <w:rPr>
          <w:rFonts w:ascii="Arial" w:hAnsi="Arial" w:cs="Arial"/>
          <w:szCs w:val="22"/>
        </w:rPr>
        <w:t>tel nenese žádnou odpovědnost za zranění personálu dodavatele</w:t>
      </w:r>
    </w:p>
    <w:p w:rsidR="003E6CD2" w:rsidRPr="004D0C1E" w:rsidRDefault="003E6CD2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 xml:space="preserve">dřevěné okrasné výplně nosníků </w:t>
      </w:r>
      <w:r w:rsidR="00376A9D" w:rsidRPr="004D0C1E">
        <w:rPr>
          <w:rFonts w:ascii="Arial" w:hAnsi="Arial" w:cs="Arial"/>
          <w:szCs w:val="22"/>
        </w:rPr>
        <w:t>budou demontovány,</w:t>
      </w:r>
      <w:r w:rsidR="0030424C">
        <w:rPr>
          <w:rFonts w:ascii="Arial" w:hAnsi="Arial" w:cs="Arial"/>
          <w:szCs w:val="22"/>
        </w:rPr>
        <w:t xml:space="preserve"> naskládány na palety, spojovací materiál uložen do beden či krabic a odvezen na adresu zadavatele zakázky nebo jinou adresu po předchozí dohodě se zadavatelem</w:t>
      </w:r>
    </w:p>
    <w:p w:rsidR="00376A9D" w:rsidRDefault="00376A9D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 w:rsidRPr="004D0C1E">
        <w:rPr>
          <w:rFonts w:ascii="Arial" w:hAnsi="Arial" w:cs="Arial"/>
          <w:szCs w:val="22"/>
        </w:rPr>
        <w:t>dodavatel se bude při pracích řídit doporučením stavebně technického průzkumu č. 2019-KSS009 zpracovaným firmou Projekt OKV s.r.o. H</w:t>
      </w:r>
      <w:r w:rsidR="00EB3693" w:rsidRPr="004D0C1E">
        <w:rPr>
          <w:rFonts w:ascii="Arial" w:hAnsi="Arial" w:cs="Arial"/>
          <w:szCs w:val="22"/>
        </w:rPr>
        <w:t>avlíčkův Brod z února 2019, který je součástí tohoto poptávkového řízení</w:t>
      </w:r>
      <w:r w:rsidRPr="004D0C1E">
        <w:rPr>
          <w:rFonts w:ascii="Arial" w:hAnsi="Arial" w:cs="Arial"/>
          <w:szCs w:val="22"/>
        </w:rPr>
        <w:t xml:space="preserve"> </w:t>
      </w:r>
    </w:p>
    <w:p w:rsidR="0026681E" w:rsidRDefault="0026681E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odpadkové koše, stožáry na umístění označníků zastávek i jiných dopravních značek nejsou součástí dodávky </w:t>
      </w:r>
    </w:p>
    <w:p w:rsidR="0026681E" w:rsidRPr="004D0C1E" w:rsidRDefault="0026681E" w:rsidP="00111072">
      <w:pPr>
        <w:pStyle w:val="Odstavecseseznamem"/>
        <w:numPr>
          <w:ilvl w:val="0"/>
          <w:numId w:val="25"/>
        </w:num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turistické značky musí být po dokončení nátěrů obnoveny</w:t>
      </w:r>
    </w:p>
    <w:p w:rsidR="00111072" w:rsidRPr="004D0C1E" w:rsidRDefault="00111072" w:rsidP="00111072">
      <w:pPr>
        <w:ind w:left="5664" w:firstLine="708"/>
        <w:jc w:val="left"/>
        <w:rPr>
          <w:rFonts w:ascii="Arial" w:hAnsi="Arial" w:cs="Arial"/>
          <w:szCs w:val="22"/>
        </w:rPr>
      </w:pPr>
    </w:p>
    <w:p w:rsidR="00111072" w:rsidRPr="004D0C1E" w:rsidRDefault="00111072" w:rsidP="00111072">
      <w:pPr>
        <w:ind w:left="5664" w:firstLine="708"/>
        <w:jc w:val="left"/>
        <w:rPr>
          <w:rFonts w:ascii="Arial" w:hAnsi="Arial" w:cs="Arial"/>
          <w:b/>
          <w:szCs w:val="22"/>
        </w:rPr>
      </w:pPr>
    </w:p>
    <w:p w:rsidR="00111072" w:rsidRDefault="00111072" w:rsidP="00111072">
      <w:pPr>
        <w:ind w:left="5664" w:firstLine="708"/>
        <w:jc w:val="left"/>
        <w:rPr>
          <w:rFonts w:ascii="Arial" w:hAnsi="Arial" w:cs="Arial"/>
          <w:b/>
          <w:sz w:val="32"/>
          <w:szCs w:val="32"/>
        </w:rPr>
      </w:pPr>
    </w:p>
    <w:p w:rsidR="00111072" w:rsidRDefault="00111072" w:rsidP="00111072">
      <w:pPr>
        <w:ind w:left="5664" w:firstLine="708"/>
        <w:jc w:val="left"/>
        <w:rPr>
          <w:rFonts w:ascii="Arial" w:hAnsi="Arial" w:cs="Arial"/>
          <w:b/>
          <w:sz w:val="32"/>
          <w:szCs w:val="32"/>
        </w:rPr>
      </w:pPr>
    </w:p>
    <w:p w:rsidR="00111072" w:rsidRDefault="00111072" w:rsidP="00111072">
      <w:pPr>
        <w:ind w:left="5664" w:firstLine="708"/>
        <w:jc w:val="left"/>
        <w:rPr>
          <w:rFonts w:ascii="Arial" w:hAnsi="Arial" w:cs="Arial"/>
          <w:b/>
          <w:sz w:val="32"/>
          <w:szCs w:val="32"/>
        </w:rPr>
      </w:pPr>
    </w:p>
    <w:p w:rsidR="00111072" w:rsidRDefault="00111072" w:rsidP="00111072">
      <w:pPr>
        <w:ind w:left="5664" w:firstLine="708"/>
        <w:jc w:val="left"/>
        <w:rPr>
          <w:rFonts w:ascii="Arial" w:hAnsi="Arial" w:cs="Arial"/>
          <w:b/>
          <w:sz w:val="32"/>
          <w:szCs w:val="32"/>
        </w:rPr>
      </w:pPr>
    </w:p>
    <w:p w:rsidR="00111072" w:rsidRDefault="00111072" w:rsidP="00111072">
      <w:pPr>
        <w:ind w:left="5664" w:firstLine="708"/>
        <w:jc w:val="left"/>
        <w:rPr>
          <w:rFonts w:ascii="Arial" w:hAnsi="Arial" w:cs="Arial"/>
          <w:b/>
          <w:sz w:val="32"/>
          <w:szCs w:val="32"/>
        </w:rPr>
      </w:pPr>
    </w:p>
    <w:p w:rsidR="00111072" w:rsidRDefault="00111072" w:rsidP="00111072">
      <w:pPr>
        <w:ind w:left="5664" w:firstLine="708"/>
        <w:jc w:val="left"/>
        <w:rPr>
          <w:rFonts w:ascii="Arial" w:hAnsi="Arial" w:cs="Arial"/>
          <w:b/>
          <w:sz w:val="32"/>
          <w:szCs w:val="32"/>
        </w:rPr>
      </w:pPr>
    </w:p>
    <w:p w:rsidR="00111072" w:rsidRDefault="00111072" w:rsidP="00111072">
      <w:pPr>
        <w:ind w:left="5664" w:firstLine="708"/>
        <w:jc w:val="left"/>
        <w:rPr>
          <w:rFonts w:ascii="Arial" w:hAnsi="Arial" w:cs="Arial"/>
          <w:b/>
          <w:sz w:val="32"/>
          <w:szCs w:val="32"/>
        </w:rPr>
      </w:pPr>
    </w:p>
    <w:p w:rsidR="00111072" w:rsidRDefault="00111072" w:rsidP="00111072">
      <w:pPr>
        <w:ind w:left="5664" w:firstLine="708"/>
        <w:jc w:val="left"/>
        <w:rPr>
          <w:rFonts w:ascii="Arial" w:hAnsi="Arial" w:cs="Arial"/>
          <w:b/>
          <w:sz w:val="32"/>
          <w:szCs w:val="32"/>
        </w:rPr>
      </w:pPr>
    </w:p>
    <w:p w:rsidR="00111072" w:rsidRDefault="00111072" w:rsidP="00111072">
      <w:pPr>
        <w:ind w:left="5664" w:firstLine="708"/>
        <w:jc w:val="left"/>
        <w:rPr>
          <w:rFonts w:ascii="Arial" w:hAnsi="Arial" w:cs="Arial"/>
          <w:b/>
          <w:sz w:val="32"/>
          <w:szCs w:val="32"/>
        </w:rPr>
      </w:pPr>
    </w:p>
    <w:sectPr w:rsidR="00111072" w:rsidSect="00D33624">
      <w:headerReference w:type="default" r:id="rId8"/>
      <w:footerReference w:type="default" r:id="rId9"/>
      <w:pgSz w:w="11906" w:h="16838" w:code="9"/>
      <w:pgMar w:top="1021" w:right="907" w:bottom="1021" w:left="90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A1" w:rsidRDefault="008027A1" w:rsidP="00516332">
      <w:pPr>
        <w:spacing w:before="0"/>
      </w:pPr>
      <w:r>
        <w:separator/>
      </w:r>
    </w:p>
  </w:endnote>
  <w:endnote w:type="continuationSeparator" w:id="0">
    <w:p w:rsidR="008027A1" w:rsidRDefault="008027A1" w:rsidP="005163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C0" w:rsidRDefault="002E0EEC" w:rsidP="00274744">
    <w:pPr>
      <w:pStyle w:val="Zpat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-73660</wp:posOffset>
              </wp:positionV>
              <wp:extent cx="6308090" cy="635"/>
              <wp:effectExtent l="12700" t="12065" r="1333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2C0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pt;margin-top:-5.8pt;width:496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" strokecolor="#666" strokeweight="1pt">
              <v:shadow color="#7f7f7f" opacity=".5" offset="1pt"/>
            </v:shape>
          </w:pict>
        </mc:Fallback>
      </mc:AlternateContent>
    </w:r>
    <w:r w:rsidR="005E7DC0"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5E7DC0" w:rsidRPr="006159F5">
      <w:rPr>
        <w:rFonts w:ascii="Arial Narrow" w:hAnsi="Arial Narrow" w:cs="Arial"/>
        <w:sz w:val="16"/>
        <w:szCs w:val="16"/>
      </w:rPr>
      <w:t xml:space="preserve">  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  Na Valech 3523, 580 02 Havlíčkův Brod  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  Tel.: 569 429</w:t>
    </w:r>
    <w:r w:rsidR="005E7DC0">
      <w:rPr>
        <w:rFonts w:ascii="Arial Narrow" w:hAnsi="Arial Narrow" w:cs="Arial"/>
        <w:sz w:val="16"/>
        <w:szCs w:val="16"/>
      </w:rPr>
      <w:t> </w:t>
    </w:r>
    <w:r w:rsidR="005E7DC0" w:rsidRPr="006159F5">
      <w:rPr>
        <w:rFonts w:ascii="Arial Narrow" w:hAnsi="Arial Narrow" w:cs="Arial"/>
        <w:sz w:val="16"/>
        <w:szCs w:val="16"/>
      </w:rPr>
      <w:t>818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9  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   Fax: 569 428</w:t>
    </w:r>
    <w:r w:rsidR="005E7DC0">
      <w:rPr>
        <w:rFonts w:ascii="Arial Narrow" w:hAnsi="Arial Narrow" w:cs="Arial"/>
        <w:sz w:val="16"/>
        <w:szCs w:val="16"/>
      </w:rPr>
      <w:t> </w:t>
    </w:r>
    <w:r w:rsidR="005E7DC0" w:rsidRPr="006159F5">
      <w:rPr>
        <w:rFonts w:ascii="Arial Narrow" w:hAnsi="Arial Narrow" w:cs="Arial"/>
        <w:sz w:val="16"/>
        <w:szCs w:val="16"/>
      </w:rPr>
      <w:t>471</w:t>
    </w:r>
    <w:r w:rsidR="005E7DC0">
      <w:rPr>
        <w:rFonts w:ascii="Arial Narrow" w:hAnsi="Arial Narrow" w:cs="Arial"/>
        <w:sz w:val="16"/>
        <w:szCs w:val="16"/>
      </w:rPr>
      <w:t xml:space="preserve"> -</w:t>
    </w:r>
    <w:r w:rsidR="005E7DC0" w:rsidRPr="006159F5">
      <w:rPr>
        <w:rFonts w:ascii="Arial Narrow" w:hAnsi="Arial Narrow" w:cs="Arial"/>
        <w:sz w:val="16"/>
        <w:szCs w:val="16"/>
      </w:rPr>
      <w:t xml:space="preserve">  ts@tshb.cz </w:t>
    </w:r>
    <w:r w:rsidR="005E7DC0">
      <w:rPr>
        <w:rFonts w:ascii="Arial Narrow" w:hAnsi="Arial Narrow" w:cs="Arial"/>
        <w:sz w:val="16"/>
        <w:szCs w:val="16"/>
      </w:rPr>
      <w:t>-</w:t>
    </w:r>
    <w:r w:rsidR="005E7DC0" w:rsidRPr="006159F5">
      <w:rPr>
        <w:rFonts w:ascii="Arial Narrow" w:hAnsi="Arial Narrow" w:cs="Arial"/>
        <w:sz w:val="16"/>
        <w:szCs w:val="16"/>
      </w:rPr>
      <w:t xml:space="preserve">  </w:t>
    </w:r>
    <w:r w:rsidR="005E7DC0">
      <w:rPr>
        <w:rFonts w:ascii="Arial Narrow" w:hAnsi="Arial Narrow" w:cs="Arial"/>
        <w:sz w:val="16"/>
        <w:szCs w:val="16"/>
      </w:rPr>
      <w:t>w</w:t>
    </w:r>
    <w:r w:rsidR="005E7DC0" w:rsidRPr="006159F5">
      <w:rPr>
        <w:rFonts w:ascii="Arial Narrow" w:hAnsi="Arial Narrow" w:cs="Arial"/>
        <w:sz w:val="16"/>
        <w:szCs w:val="16"/>
      </w:rPr>
      <w:t xml:space="preserve">ww.tshb.cz   </w:t>
    </w:r>
  </w:p>
  <w:p w:rsidR="005E7DC0" w:rsidRPr="006159F5" w:rsidRDefault="005E7DC0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 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 DIČ: CZ70188041  </w:t>
    </w:r>
    <w:r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  KB: 1426521 / 0100</w:t>
    </w:r>
    <w:r>
      <w:rPr>
        <w:rFonts w:ascii="Arial Narrow" w:hAnsi="Arial Narrow" w:cs="Arial"/>
        <w:sz w:val="16"/>
        <w:szCs w:val="16"/>
      </w:rPr>
      <w:t xml:space="preserve">  -</w:t>
    </w:r>
    <w:r w:rsidRPr="006159F5">
      <w:rPr>
        <w:rFonts w:ascii="Arial Narrow" w:hAnsi="Arial Narrow" w:cs="Arial"/>
        <w:sz w:val="16"/>
        <w:szCs w:val="16"/>
      </w:rPr>
      <w:t xml:space="preserve">  </w:t>
    </w:r>
    <w:proofErr w:type="spellStart"/>
    <w:r w:rsidRPr="006159F5">
      <w:rPr>
        <w:rFonts w:ascii="Arial Narrow" w:hAnsi="Arial Narrow" w:cs="Arial"/>
        <w:sz w:val="16"/>
        <w:szCs w:val="16"/>
      </w:rPr>
      <w:t>O</w:t>
    </w:r>
    <w:r>
      <w:rPr>
        <w:rFonts w:ascii="Arial Narrow" w:hAnsi="Arial Narrow" w:cs="Arial"/>
        <w:sz w:val="16"/>
        <w:szCs w:val="16"/>
      </w:rPr>
      <w:t>rganizace.zapsána</w:t>
    </w:r>
    <w:proofErr w:type="spellEnd"/>
    <w:r>
      <w:rPr>
        <w:rFonts w:ascii="Arial Narrow" w:hAnsi="Arial Narrow" w:cs="Arial"/>
        <w:sz w:val="16"/>
        <w:szCs w:val="16"/>
      </w:rPr>
      <w:t xml:space="preserve"> v obch.</w:t>
    </w:r>
    <w:r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Pr="006159F5">
      <w:rPr>
        <w:rFonts w:ascii="Arial Narrow" w:hAnsi="Arial Narrow" w:cs="Arial"/>
        <w:sz w:val="16"/>
        <w:szCs w:val="16"/>
      </w:rPr>
      <w:t>rejstříku</w:t>
    </w:r>
    <w:proofErr w:type="gramEnd"/>
    <w:r w:rsidRPr="006159F5">
      <w:rPr>
        <w:rFonts w:ascii="Arial Narrow" w:hAnsi="Arial Narrow" w:cs="Arial"/>
        <w:sz w:val="16"/>
        <w:szCs w:val="16"/>
      </w:rPr>
      <w:t xml:space="preserve"> u Kr</w:t>
    </w:r>
    <w:r>
      <w:rPr>
        <w:rFonts w:ascii="Arial Narrow" w:hAnsi="Arial Narrow" w:cs="Arial"/>
        <w:sz w:val="16"/>
        <w:szCs w:val="16"/>
      </w:rPr>
      <w:t>.</w:t>
    </w:r>
    <w:r w:rsidRPr="006159F5">
      <w:rPr>
        <w:rFonts w:ascii="Arial Narrow" w:hAnsi="Arial Narrow" w:cs="Arial"/>
        <w:sz w:val="16"/>
        <w:szCs w:val="16"/>
      </w:rPr>
      <w:t xml:space="preserve"> soudu v</w:t>
    </w:r>
    <w:r>
      <w:rPr>
        <w:rFonts w:ascii="Arial Narrow" w:hAnsi="Arial Narrow" w:cs="Arial"/>
        <w:sz w:val="16"/>
        <w:szCs w:val="16"/>
      </w:rPr>
      <w:t> </w:t>
    </w:r>
    <w:r w:rsidRPr="006159F5">
      <w:rPr>
        <w:rFonts w:ascii="Arial Narrow" w:hAnsi="Arial Narrow" w:cs="Arial"/>
        <w:sz w:val="16"/>
        <w:szCs w:val="16"/>
      </w:rPr>
      <w:t>H</w:t>
    </w:r>
    <w:r>
      <w:rPr>
        <w:rFonts w:ascii="Arial Narrow" w:hAnsi="Arial Narrow" w:cs="Arial"/>
        <w:sz w:val="16"/>
        <w:szCs w:val="16"/>
      </w:rPr>
      <w:t>radci</w:t>
    </w:r>
    <w:r w:rsidRPr="006159F5">
      <w:rPr>
        <w:rFonts w:ascii="Arial Narrow" w:hAnsi="Arial Narrow" w:cs="Arial"/>
        <w:sz w:val="16"/>
        <w:szCs w:val="16"/>
      </w:rPr>
      <w:t xml:space="preserve"> Králové, oddíl </w:t>
    </w:r>
    <w:proofErr w:type="spellStart"/>
    <w:r w:rsidRPr="006159F5">
      <w:rPr>
        <w:rFonts w:ascii="Arial Narrow" w:hAnsi="Arial Narrow" w:cs="Arial"/>
        <w:sz w:val="16"/>
        <w:szCs w:val="16"/>
      </w:rPr>
      <w:t>Pr</w:t>
    </w:r>
    <w:proofErr w:type="spellEnd"/>
    <w:r w:rsidRPr="006159F5">
      <w:rPr>
        <w:rFonts w:ascii="Arial Narrow" w:hAnsi="Arial Narrow" w:cs="Arial"/>
        <w:sz w:val="16"/>
        <w:szCs w:val="16"/>
      </w:rPr>
      <w:t>, vložka 15</w:t>
    </w:r>
  </w:p>
  <w:p w:rsidR="005E7DC0" w:rsidRPr="001D4E83" w:rsidRDefault="005E7DC0" w:rsidP="001D4E83">
    <w:pPr>
      <w:pStyle w:val="Zpat"/>
      <w:ind w:left="72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A1" w:rsidRDefault="008027A1" w:rsidP="00516332">
      <w:pPr>
        <w:spacing w:before="0"/>
      </w:pPr>
      <w:r>
        <w:separator/>
      </w:r>
    </w:p>
  </w:footnote>
  <w:footnote w:type="continuationSeparator" w:id="0">
    <w:p w:rsidR="008027A1" w:rsidRDefault="008027A1" w:rsidP="005163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5E7DC0" w:rsidRPr="00516332" w:rsidTr="00305236">
      <w:trPr>
        <w:trHeight w:val="778"/>
      </w:trPr>
      <w:tc>
        <w:tcPr>
          <w:tcW w:w="3969" w:type="dxa"/>
        </w:tcPr>
        <w:p w:rsidR="005E7DC0" w:rsidRPr="004003B5" w:rsidRDefault="00C361D8" w:rsidP="00305236">
          <w:pPr>
            <w:spacing w:after="60"/>
            <w:rPr>
              <w:rFonts w:ascii="Arial" w:hAnsi="Arial" w:cs="Arial"/>
              <w:b/>
              <w:color w:val="808080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883920" cy="514985"/>
                <wp:effectExtent l="19050" t="0" r="0" b="0"/>
                <wp:docPr id="2" name="Obrázek 1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5E7DC0" w:rsidRPr="00290197" w:rsidRDefault="005E7DC0" w:rsidP="006159F5">
          <w:pPr>
            <w:rPr>
              <w:rFonts w:ascii="Arial" w:hAnsi="Arial" w:cs="Arial"/>
              <w:b/>
              <w:color w:val="808080"/>
              <w:sz w:val="16"/>
              <w:szCs w:val="16"/>
            </w:rPr>
          </w:pPr>
        </w:p>
        <w:p w:rsidR="005E7DC0" w:rsidRPr="00305236" w:rsidRDefault="005E7DC0" w:rsidP="00305236">
          <w:pPr>
            <w:spacing w:before="0"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>, Na Valech 3523, 580 02 Havlíčkův Brod</w:t>
          </w:r>
        </w:p>
      </w:tc>
    </w:tr>
  </w:tbl>
  <w:p w:rsidR="005E7DC0" w:rsidRDefault="002E0EEC" w:rsidP="003052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-153670</wp:posOffset>
              </wp:positionH>
              <wp:positionV relativeFrom="paragraph">
                <wp:posOffset>26035</wp:posOffset>
              </wp:positionV>
              <wp:extent cx="6308090" cy="635"/>
              <wp:effectExtent l="8255" t="6985" r="825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92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1pt;margin-top:2.05pt;width:496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tverecek5.jpg" style="width:4.5pt;height:4.5pt;visibility:visible" o:bullet="t">
        <v:imagedata r:id="rId1" o:title="ctverecek5"/>
      </v:shape>
    </w:pict>
  </w:numPicBullet>
  <w:abstractNum w:abstractNumId="0" w15:restartNumberingAfterBreak="0">
    <w:nsid w:val="00CA6EA6"/>
    <w:multiLevelType w:val="hybridMultilevel"/>
    <w:tmpl w:val="5770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110"/>
    <w:multiLevelType w:val="hybridMultilevel"/>
    <w:tmpl w:val="1E6C9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E2C274E"/>
    <w:multiLevelType w:val="hybridMultilevel"/>
    <w:tmpl w:val="1C3EB770"/>
    <w:lvl w:ilvl="0" w:tplc="1F4ADE5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F4353"/>
    <w:multiLevelType w:val="hybridMultilevel"/>
    <w:tmpl w:val="FF7037D4"/>
    <w:lvl w:ilvl="0" w:tplc="040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8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D23B0"/>
    <w:multiLevelType w:val="hybridMultilevel"/>
    <w:tmpl w:val="97763588"/>
    <w:lvl w:ilvl="0" w:tplc="5018F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F5955"/>
    <w:multiLevelType w:val="hybridMultilevel"/>
    <w:tmpl w:val="79681712"/>
    <w:lvl w:ilvl="0" w:tplc="B472F1A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8"/>
  </w:num>
  <w:num w:numId="5">
    <w:abstractNumId w:val="3"/>
  </w:num>
  <w:num w:numId="6">
    <w:abstractNumId w:val="8"/>
  </w:num>
  <w:num w:numId="7">
    <w:abstractNumId w:val="22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9"/>
  </w:num>
  <w:num w:numId="14">
    <w:abstractNumId w:val="5"/>
  </w:num>
  <w:num w:numId="15">
    <w:abstractNumId w:val="12"/>
  </w:num>
  <w:num w:numId="16">
    <w:abstractNumId w:val="15"/>
  </w:num>
  <w:num w:numId="17">
    <w:abstractNumId w:val="11"/>
  </w:num>
  <w:num w:numId="18">
    <w:abstractNumId w:val="9"/>
  </w:num>
  <w:num w:numId="19">
    <w:abstractNumId w:val="13"/>
  </w:num>
  <w:num w:numId="20">
    <w:abstractNumId w:val="16"/>
  </w:num>
  <w:num w:numId="21">
    <w:abstractNumId w:val="23"/>
  </w:num>
  <w:num w:numId="22">
    <w:abstractNumId w:val="0"/>
  </w:num>
  <w:num w:numId="23">
    <w:abstractNumId w:val="20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BA"/>
    <w:rsid w:val="0001015E"/>
    <w:rsid w:val="000126BA"/>
    <w:rsid w:val="000336ED"/>
    <w:rsid w:val="00041F06"/>
    <w:rsid w:val="000563C6"/>
    <w:rsid w:val="00090FBC"/>
    <w:rsid w:val="00094907"/>
    <w:rsid w:val="000A60D4"/>
    <w:rsid w:val="000A7412"/>
    <w:rsid w:val="000E5C80"/>
    <w:rsid w:val="000F00DD"/>
    <w:rsid w:val="00111072"/>
    <w:rsid w:val="0011136E"/>
    <w:rsid w:val="001631AB"/>
    <w:rsid w:val="001703EC"/>
    <w:rsid w:val="00170C42"/>
    <w:rsid w:val="001A020C"/>
    <w:rsid w:val="001D4E83"/>
    <w:rsid w:val="001E0E5C"/>
    <w:rsid w:val="00207174"/>
    <w:rsid w:val="00243D27"/>
    <w:rsid w:val="0026681E"/>
    <w:rsid w:val="00274744"/>
    <w:rsid w:val="00290197"/>
    <w:rsid w:val="002A0A4A"/>
    <w:rsid w:val="002B1820"/>
    <w:rsid w:val="002B28BF"/>
    <w:rsid w:val="002C0802"/>
    <w:rsid w:val="002E0EEC"/>
    <w:rsid w:val="0030123A"/>
    <w:rsid w:val="00303AC9"/>
    <w:rsid w:val="0030424C"/>
    <w:rsid w:val="00305236"/>
    <w:rsid w:val="00347E20"/>
    <w:rsid w:val="003719C0"/>
    <w:rsid w:val="003735B4"/>
    <w:rsid w:val="00376A9D"/>
    <w:rsid w:val="00394213"/>
    <w:rsid w:val="003A329B"/>
    <w:rsid w:val="003C36BC"/>
    <w:rsid w:val="003D5BB3"/>
    <w:rsid w:val="003E6CD2"/>
    <w:rsid w:val="003F1C3C"/>
    <w:rsid w:val="004003B5"/>
    <w:rsid w:val="00407698"/>
    <w:rsid w:val="00416EB0"/>
    <w:rsid w:val="004211F7"/>
    <w:rsid w:val="00426A1A"/>
    <w:rsid w:val="004376A6"/>
    <w:rsid w:val="00465FCE"/>
    <w:rsid w:val="00475AEC"/>
    <w:rsid w:val="0048304D"/>
    <w:rsid w:val="00493685"/>
    <w:rsid w:val="004C512D"/>
    <w:rsid w:val="004D0C1E"/>
    <w:rsid w:val="004E4901"/>
    <w:rsid w:val="004F714B"/>
    <w:rsid w:val="00504F08"/>
    <w:rsid w:val="005110BF"/>
    <w:rsid w:val="00516332"/>
    <w:rsid w:val="00525978"/>
    <w:rsid w:val="00565F05"/>
    <w:rsid w:val="00577BED"/>
    <w:rsid w:val="005B7DDD"/>
    <w:rsid w:val="005E4B00"/>
    <w:rsid w:val="005E7DC0"/>
    <w:rsid w:val="006159F5"/>
    <w:rsid w:val="0065321F"/>
    <w:rsid w:val="0067117D"/>
    <w:rsid w:val="00676117"/>
    <w:rsid w:val="00687800"/>
    <w:rsid w:val="00693E8B"/>
    <w:rsid w:val="006D3620"/>
    <w:rsid w:val="006D5059"/>
    <w:rsid w:val="007039D7"/>
    <w:rsid w:val="00744B5D"/>
    <w:rsid w:val="00750F2D"/>
    <w:rsid w:val="007538AA"/>
    <w:rsid w:val="00760ADB"/>
    <w:rsid w:val="00790C38"/>
    <w:rsid w:val="007C3565"/>
    <w:rsid w:val="007C454D"/>
    <w:rsid w:val="007F67BF"/>
    <w:rsid w:val="008027A1"/>
    <w:rsid w:val="00837F09"/>
    <w:rsid w:val="00841B4D"/>
    <w:rsid w:val="00880F5D"/>
    <w:rsid w:val="0089387D"/>
    <w:rsid w:val="00895EAE"/>
    <w:rsid w:val="008B59C6"/>
    <w:rsid w:val="008B719B"/>
    <w:rsid w:val="008E20FE"/>
    <w:rsid w:val="008E532B"/>
    <w:rsid w:val="00916589"/>
    <w:rsid w:val="0095042E"/>
    <w:rsid w:val="009549F8"/>
    <w:rsid w:val="009805AF"/>
    <w:rsid w:val="00993522"/>
    <w:rsid w:val="0099510D"/>
    <w:rsid w:val="009A2168"/>
    <w:rsid w:val="009D289A"/>
    <w:rsid w:val="00A175AD"/>
    <w:rsid w:val="00A3179B"/>
    <w:rsid w:val="00A7299D"/>
    <w:rsid w:val="00A901FB"/>
    <w:rsid w:val="00A91496"/>
    <w:rsid w:val="00AB3E23"/>
    <w:rsid w:val="00AD4D64"/>
    <w:rsid w:val="00AF18A6"/>
    <w:rsid w:val="00B0045F"/>
    <w:rsid w:val="00B11E36"/>
    <w:rsid w:val="00B42BBA"/>
    <w:rsid w:val="00BA6698"/>
    <w:rsid w:val="00BF44F2"/>
    <w:rsid w:val="00C2022F"/>
    <w:rsid w:val="00C2272F"/>
    <w:rsid w:val="00C361D8"/>
    <w:rsid w:val="00C70D45"/>
    <w:rsid w:val="00C7681B"/>
    <w:rsid w:val="00C875E5"/>
    <w:rsid w:val="00CC1515"/>
    <w:rsid w:val="00CC5D6D"/>
    <w:rsid w:val="00CE2F08"/>
    <w:rsid w:val="00D33624"/>
    <w:rsid w:val="00D35934"/>
    <w:rsid w:val="00D5151D"/>
    <w:rsid w:val="00D93431"/>
    <w:rsid w:val="00DC1ECE"/>
    <w:rsid w:val="00DC37C8"/>
    <w:rsid w:val="00E24553"/>
    <w:rsid w:val="00E70541"/>
    <w:rsid w:val="00E724CA"/>
    <w:rsid w:val="00E9615B"/>
    <w:rsid w:val="00EB3693"/>
    <w:rsid w:val="00ED4F35"/>
    <w:rsid w:val="00EE66AB"/>
    <w:rsid w:val="00F136B7"/>
    <w:rsid w:val="00F26EC1"/>
    <w:rsid w:val="00F3242E"/>
    <w:rsid w:val="00F741DA"/>
    <w:rsid w:val="00F87D05"/>
    <w:rsid w:val="00FA02DA"/>
    <w:rsid w:val="00FD1A42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4DA2"/>
  <w15:docId w15:val="{EF6BCD06-052A-4BA6-B634-0896D76F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51D"/>
    <w:pPr>
      <w:spacing w:before="60"/>
      <w:jc w:val="both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rkovcova\AppData\Local\Microsoft\Windows\Temporary%20Internet%20Files\Content.Outlook\ZWUAGFG2\Dopis%20TS%20s%20hlavi&#269;kou%20-%20nov&#233;%20logo_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E17A-AC78-44AC-BA31-63DA176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TS s hlavičkou - nové logo_</Template>
  <TotalTime>138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Borkovcová Jana</dc:creator>
  <cp:lastModifiedBy>Bukač Jiří</cp:lastModifiedBy>
  <cp:revision>26</cp:revision>
  <cp:lastPrinted>2015-09-17T11:11:00Z</cp:lastPrinted>
  <dcterms:created xsi:type="dcterms:W3CDTF">2021-03-15T12:36:00Z</dcterms:created>
  <dcterms:modified xsi:type="dcterms:W3CDTF">2024-04-26T08:22:00Z</dcterms:modified>
</cp:coreProperties>
</file>