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CD937" w14:textId="77777777" w:rsidR="004D0E65" w:rsidRPr="003F5E82" w:rsidRDefault="004D0E65" w:rsidP="007300EE">
      <w:pPr>
        <w:pStyle w:val="Zkladntext"/>
        <w:spacing w:after="0"/>
        <w:rPr>
          <w:b/>
          <w:sz w:val="14"/>
        </w:rPr>
      </w:pPr>
    </w:p>
    <w:p w14:paraId="1CF5CC27" w14:textId="77777777" w:rsidR="009B0832" w:rsidRPr="009B0832" w:rsidRDefault="009B0832" w:rsidP="009B0832">
      <w:pPr>
        <w:spacing w:after="120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Fotovoltaické systémy</w:t>
      </w:r>
      <w:r w:rsidR="00210A41">
        <w:rPr>
          <w:rFonts w:cstheme="minorHAnsi"/>
          <w:b/>
          <w:sz w:val="32"/>
        </w:rPr>
        <w:t xml:space="preserve"> –</w:t>
      </w:r>
      <w:r w:rsidR="00016B6F">
        <w:rPr>
          <w:rFonts w:cstheme="minorHAnsi"/>
          <w:b/>
          <w:sz w:val="32"/>
        </w:rPr>
        <w:t xml:space="preserve"> </w:t>
      </w:r>
      <w:r w:rsidR="00340FD4">
        <w:rPr>
          <w:rFonts w:cstheme="minorHAnsi"/>
          <w:b/>
          <w:sz w:val="32"/>
        </w:rPr>
        <w:t>podmínky</w:t>
      </w:r>
      <w:r w:rsidR="00016B6F">
        <w:rPr>
          <w:rFonts w:cstheme="minorHAnsi"/>
          <w:b/>
          <w:sz w:val="32"/>
        </w:rPr>
        <w:t xml:space="preserve"> dotace</w:t>
      </w:r>
    </w:p>
    <w:p w14:paraId="1CA5BE59" w14:textId="77777777" w:rsidR="009B0832" w:rsidRDefault="009B0832" w:rsidP="009B0832">
      <w:pPr>
        <w:rPr>
          <w:b/>
          <w:bCs/>
        </w:rPr>
      </w:pPr>
    </w:p>
    <w:p w14:paraId="1D842F6E" w14:textId="77777777" w:rsidR="009B0832" w:rsidRPr="004573C6" w:rsidRDefault="009B0832" w:rsidP="00F159FD">
      <w:pPr>
        <w:pStyle w:val="Odstavecseseznamem"/>
        <w:numPr>
          <w:ilvl w:val="1"/>
          <w:numId w:val="6"/>
        </w:numPr>
        <w:contextualSpacing/>
        <w:jc w:val="both"/>
        <w:rPr>
          <w:rFonts w:cstheme="minorHAnsi"/>
        </w:rPr>
      </w:pPr>
      <w:r w:rsidRPr="004573C6">
        <w:rPr>
          <w:rFonts w:cstheme="minorHAnsi"/>
        </w:rPr>
        <w:t>Podporovány mohou být pouze výrobny, ve kterých budou instalovány výhradně fotovoltaické moduly, měniče a akumulátory s nezávisle ověřenými parametry prokázanými certifikáty vydanými akreditovanými certifikačními orgány na základě níže uvedených souborů norem:</w:t>
      </w:r>
    </w:p>
    <w:p w14:paraId="731C534B" w14:textId="77777777" w:rsidR="009B0832" w:rsidRPr="004573C6" w:rsidRDefault="009B0832" w:rsidP="009B0832">
      <w:pPr>
        <w:pStyle w:val="Odstavecseseznamem"/>
        <w:ind w:left="1440"/>
        <w:jc w:val="both"/>
        <w:rPr>
          <w:rFonts w:cstheme="minorHAnsi"/>
        </w:rPr>
      </w:pPr>
    </w:p>
    <w:tbl>
      <w:tblPr>
        <w:tblStyle w:val="Mkatabulky"/>
        <w:tblW w:w="0" w:type="auto"/>
        <w:tblInd w:w="1440" w:type="dxa"/>
        <w:tblLook w:val="04A0" w:firstRow="1" w:lastRow="0" w:firstColumn="1" w:lastColumn="0" w:noHBand="0" w:noVBand="1"/>
      </w:tblPr>
      <w:tblGrid>
        <w:gridCol w:w="2748"/>
        <w:gridCol w:w="4992"/>
      </w:tblGrid>
      <w:tr w:rsidR="009B0832" w:rsidRPr="004573C6" w14:paraId="12076549" w14:textId="77777777" w:rsidTr="009B0832">
        <w:tc>
          <w:tcPr>
            <w:tcW w:w="2748" w:type="dxa"/>
            <w:shd w:val="clear" w:color="auto" w:fill="DBE5F1" w:themeFill="accent1" w:themeFillTint="33"/>
          </w:tcPr>
          <w:p w14:paraId="20B45743" w14:textId="77777777"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  <w:r w:rsidRPr="004573C6">
              <w:rPr>
                <w:rFonts w:cstheme="minorHAnsi"/>
                <w:b/>
              </w:rPr>
              <w:t>Technologie</w:t>
            </w:r>
          </w:p>
        </w:tc>
        <w:tc>
          <w:tcPr>
            <w:tcW w:w="4992" w:type="dxa"/>
            <w:shd w:val="clear" w:color="auto" w:fill="DBE5F1" w:themeFill="accent1" w:themeFillTint="33"/>
          </w:tcPr>
          <w:p w14:paraId="41847849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Soubory norem (je-li relevantní) </w:t>
            </w:r>
          </w:p>
        </w:tc>
      </w:tr>
      <w:tr w:rsidR="009B0832" w:rsidRPr="004573C6" w14:paraId="579E3F4E" w14:textId="77777777" w:rsidTr="009B0832">
        <w:tc>
          <w:tcPr>
            <w:tcW w:w="2748" w:type="dxa"/>
          </w:tcPr>
          <w:p w14:paraId="40C5500D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Fotovoltaické moduly </w:t>
            </w:r>
          </w:p>
        </w:tc>
        <w:tc>
          <w:tcPr>
            <w:tcW w:w="4992" w:type="dxa"/>
          </w:tcPr>
          <w:p w14:paraId="6C9CD4D7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IEC 61215, IEC 61730 </w:t>
            </w:r>
          </w:p>
        </w:tc>
      </w:tr>
      <w:tr w:rsidR="009B0832" w:rsidRPr="004573C6" w14:paraId="06B2134C" w14:textId="77777777" w:rsidTr="009B0832">
        <w:tc>
          <w:tcPr>
            <w:tcW w:w="2748" w:type="dxa"/>
          </w:tcPr>
          <w:p w14:paraId="6CEF6F45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Měniče </w:t>
            </w:r>
          </w:p>
        </w:tc>
        <w:tc>
          <w:tcPr>
            <w:tcW w:w="4992" w:type="dxa"/>
          </w:tcPr>
          <w:p w14:paraId="388CA566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IEC 61727, IEC 62116, normy řady IEC 61000 dle typu </w:t>
            </w:r>
          </w:p>
        </w:tc>
      </w:tr>
      <w:tr w:rsidR="009B0832" w:rsidRPr="004573C6" w14:paraId="1E8F0587" w14:textId="77777777" w:rsidTr="009B0832">
        <w:tc>
          <w:tcPr>
            <w:tcW w:w="2748" w:type="dxa"/>
          </w:tcPr>
          <w:p w14:paraId="789B0AE5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Elektrické akumulátory </w:t>
            </w:r>
          </w:p>
        </w:tc>
        <w:tc>
          <w:tcPr>
            <w:tcW w:w="4992" w:type="dxa"/>
          </w:tcPr>
          <w:p w14:paraId="6EFDED8C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dle typu akumulátoru (pro nejčastější lithiové akumulátory IEC 63056:2020 nebo IEC 62619:2017 nebo IEC 62620:2014) </w:t>
            </w:r>
          </w:p>
        </w:tc>
      </w:tr>
    </w:tbl>
    <w:p w14:paraId="6FD3D4A5" w14:textId="77777777" w:rsidR="009B0832" w:rsidRPr="004573C6" w:rsidRDefault="009B0832" w:rsidP="009B0832">
      <w:pPr>
        <w:pStyle w:val="Odstavecseseznamem"/>
        <w:ind w:left="1440"/>
        <w:jc w:val="both"/>
        <w:rPr>
          <w:rFonts w:cstheme="minorHAnsi"/>
        </w:rPr>
      </w:pPr>
    </w:p>
    <w:p w14:paraId="2C91BE85" w14:textId="77777777" w:rsidR="009B0832" w:rsidRPr="004573C6" w:rsidRDefault="009B0832" w:rsidP="009B0832">
      <w:pPr>
        <w:pStyle w:val="Odstavecseseznamem"/>
        <w:numPr>
          <w:ilvl w:val="1"/>
          <w:numId w:val="6"/>
        </w:numPr>
        <w:contextualSpacing/>
        <w:jc w:val="both"/>
        <w:rPr>
          <w:rFonts w:cstheme="minorHAnsi"/>
        </w:rPr>
      </w:pPr>
      <w:r w:rsidRPr="004573C6">
        <w:rPr>
          <w:rFonts w:cstheme="minorHAnsi"/>
        </w:rPr>
        <w:t>Použité fotovoltaické moduly a měniče musí dosahovat minimálně níže uvedených účinností:</w:t>
      </w:r>
    </w:p>
    <w:tbl>
      <w:tblPr>
        <w:tblStyle w:val="Mkatabulky"/>
        <w:tblW w:w="0" w:type="auto"/>
        <w:tblInd w:w="1440" w:type="dxa"/>
        <w:tblLook w:val="04A0" w:firstRow="1" w:lastRow="0" w:firstColumn="1" w:lastColumn="0" w:noHBand="0" w:noVBand="1"/>
      </w:tblPr>
      <w:tblGrid>
        <w:gridCol w:w="2779"/>
        <w:gridCol w:w="4961"/>
      </w:tblGrid>
      <w:tr w:rsidR="009B0832" w:rsidRPr="004573C6" w14:paraId="168F6B7D" w14:textId="77777777" w:rsidTr="009B0832">
        <w:tc>
          <w:tcPr>
            <w:tcW w:w="2779" w:type="dxa"/>
            <w:shd w:val="clear" w:color="auto" w:fill="DBE5F1" w:themeFill="accent1" w:themeFillTint="33"/>
          </w:tcPr>
          <w:p w14:paraId="6E46C277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Technologie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2B9F3A61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Minimální účinnost </w:t>
            </w:r>
          </w:p>
        </w:tc>
      </w:tr>
      <w:tr w:rsidR="009B0832" w:rsidRPr="004573C6" w14:paraId="771A33A9" w14:textId="77777777" w:rsidTr="009B0832">
        <w:tc>
          <w:tcPr>
            <w:tcW w:w="2779" w:type="dxa"/>
          </w:tcPr>
          <w:p w14:paraId="171B627E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Fotovoltaické moduly při standardních testovacích podmínkách (STC) </w:t>
            </w:r>
          </w:p>
          <w:p w14:paraId="109E4B93" w14:textId="77777777"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14:paraId="23C60B0A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19,0 % pro </w:t>
            </w:r>
            <w:proofErr w:type="spellStart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monofaciální</w:t>
            </w:r>
            <w:proofErr w:type="spellEnd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moduly z monokrystalického křemíku, </w:t>
            </w:r>
          </w:p>
          <w:p w14:paraId="7FA240CA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18,0 % pro </w:t>
            </w:r>
            <w:proofErr w:type="spellStart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monofaciální</w:t>
            </w:r>
            <w:proofErr w:type="spellEnd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moduly z </w:t>
            </w:r>
            <w:proofErr w:type="spellStart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multikrystalického</w:t>
            </w:r>
            <w:proofErr w:type="spellEnd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křemíku, </w:t>
            </w:r>
          </w:p>
          <w:p w14:paraId="0E9C9480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19,0 % pro bifaciální moduly při 0% bifaciálním zisku, </w:t>
            </w:r>
          </w:p>
          <w:p w14:paraId="27F9A394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12,0 % pro tenkovrstvé moduly, </w:t>
            </w:r>
          </w:p>
          <w:p w14:paraId="2F053DA2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nestanoveno pro speciální výrobky a použití. </w:t>
            </w:r>
          </w:p>
        </w:tc>
      </w:tr>
      <w:tr w:rsidR="009B0832" w:rsidRPr="004573C6" w14:paraId="7281D871" w14:textId="77777777" w:rsidTr="009B0832">
        <w:tc>
          <w:tcPr>
            <w:tcW w:w="2779" w:type="dxa"/>
          </w:tcPr>
          <w:p w14:paraId="433CC2FF" w14:textId="77777777" w:rsidR="009B0832" w:rsidRPr="004573C6" w:rsidRDefault="009B0832" w:rsidP="00350A63">
            <w:pPr>
              <w:pStyle w:val="Odstavecseseznamem"/>
              <w:spacing w:after="0"/>
              <w:jc w:val="both"/>
              <w:rPr>
                <w:rFonts w:cstheme="minorHAnsi"/>
                <w:b/>
              </w:rPr>
            </w:pPr>
            <w:r w:rsidRPr="004573C6">
              <w:rPr>
                <w:rFonts w:cstheme="minorHAnsi"/>
                <w:b/>
              </w:rPr>
              <w:t>Měniče</w:t>
            </w:r>
          </w:p>
        </w:tc>
        <w:tc>
          <w:tcPr>
            <w:tcW w:w="4961" w:type="dxa"/>
          </w:tcPr>
          <w:p w14:paraId="0D1179FF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97,0 % (Euro účinnost) </w:t>
            </w:r>
          </w:p>
        </w:tc>
      </w:tr>
    </w:tbl>
    <w:p w14:paraId="7A5958B7" w14:textId="77777777" w:rsidR="009B0832" w:rsidRPr="004573C6" w:rsidRDefault="009B0832" w:rsidP="009B0832">
      <w:pPr>
        <w:jc w:val="both"/>
        <w:rPr>
          <w:rFonts w:cstheme="minorHAnsi"/>
        </w:rPr>
      </w:pPr>
    </w:p>
    <w:p w14:paraId="50AD5373" w14:textId="77777777" w:rsidR="009B0832" w:rsidRPr="004573C6" w:rsidRDefault="009B0832" w:rsidP="009B0832">
      <w:pPr>
        <w:pStyle w:val="Odstavecseseznamem"/>
        <w:numPr>
          <w:ilvl w:val="1"/>
          <w:numId w:val="6"/>
        </w:numPr>
        <w:contextualSpacing/>
        <w:jc w:val="both"/>
        <w:rPr>
          <w:rFonts w:cstheme="minorHAnsi"/>
        </w:rPr>
      </w:pPr>
      <w:r w:rsidRPr="004573C6">
        <w:rPr>
          <w:rFonts w:cstheme="minorHAnsi"/>
        </w:rPr>
        <w:t>Při realizaci mohou být použity výhradně komponenty s garantovanou životností:</w:t>
      </w:r>
    </w:p>
    <w:tbl>
      <w:tblPr>
        <w:tblStyle w:val="Mkatabulky"/>
        <w:tblW w:w="0" w:type="auto"/>
        <w:tblInd w:w="1440" w:type="dxa"/>
        <w:tblLook w:val="04A0" w:firstRow="1" w:lastRow="0" w:firstColumn="1" w:lastColumn="0" w:noHBand="0" w:noVBand="1"/>
      </w:tblPr>
      <w:tblGrid>
        <w:gridCol w:w="2779"/>
        <w:gridCol w:w="4961"/>
      </w:tblGrid>
      <w:tr w:rsidR="009B0832" w:rsidRPr="004573C6" w14:paraId="082C4647" w14:textId="77777777" w:rsidTr="009B0832">
        <w:tc>
          <w:tcPr>
            <w:tcW w:w="2779" w:type="dxa"/>
            <w:shd w:val="clear" w:color="auto" w:fill="DBE5F1" w:themeFill="accent1" w:themeFillTint="33"/>
          </w:tcPr>
          <w:p w14:paraId="24673D11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Technologie 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279E8A4C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Požadované zajištění životnosti</w:t>
            </w:r>
          </w:p>
        </w:tc>
      </w:tr>
      <w:tr w:rsidR="009B0832" w:rsidRPr="004573C6" w14:paraId="117AF5E9" w14:textId="77777777" w:rsidTr="009B0832">
        <w:tc>
          <w:tcPr>
            <w:tcW w:w="2779" w:type="dxa"/>
          </w:tcPr>
          <w:p w14:paraId="2590BBE8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Fotovoltaické moduly </w:t>
            </w:r>
          </w:p>
          <w:p w14:paraId="3C8569E8" w14:textId="77777777"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14:paraId="653CACB7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min. 20letá lineární záruka na výkon s max. poklesem na 80 % původního výkonu garantovanou výrobcem </w:t>
            </w:r>
          </w:p>
          <w:p w14:paraId="63BAD49A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min. 10letá produktová záruka garantovaná výrobcem </w:t>
            </w:r>
          </w:p>
        </w:tc>
      </w:tr>
      <w:tr w:rsidR="009B0832" w:rsidRPr="004573C6" w14:paraId="3F29D817" w14:textId="77777777" w:rsidTr="009B0832">
        <w:tc>
          <w:tcPr>
            <w:tcW w:w="2779" w:type="dxa"/>
          </w:tcPr>
          <w:p w14:paraId="35389694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Měniče </w:t>
            </w:r>
          </w:p>
          <w:p w14:paraId="56F588AD" w14:textId="77777777"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14:paraId="248937AE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záruka výrobce či dodavatele trvající min. 10 let na jeho bezodkladnou výměnu či adekvátní náhradu v případě poruchy či poškození </w:t>
            </w:r>
          </w:p>
        </w:tc>
      </w:tr>
      <w:tr w:rsidR="009B0832" w:rsidRPr="004573C6" w14:paraId="4A34CAB7" w14:textId="77777777" w:rsidTr="009B0832">
        <w:tc>
          <w:tcPr>
            <w:tcW w:w="2779" w:type="dxa"/>
          </w:tcPr>
          <w:p w14:paraId="4353C7F1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Elektrické akumulátory </w:t>
            </w:r>
          </w:p>
          <w:p w14:paraId="002A3D60" w14:textId="77777777"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14:paraId="6F8130AA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záruka s max. poklesem na 60 % nominální kapacity po 10 letech provozu, nebo dosažení min. 2400násobku nominální energie (</w:t>
            </w:r>
            <w:proofErr w:type="spellStart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Energy</w:t>
            </w:r>
            <w:proofErr w:type="spellEnd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Throughput</w:t>
            </w:r>
            <w:proofErr w:type="spellEnd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6651B85A" w14:textId="77777777" w:rsidR="009553F5" w:rsidRDefault="009553F5" w:rsidP="009553F5">
      <w:pPr>
        <w:pStyle w:val="Default"/>
      </w:pPr>
    </w:p>
    <w:p w14:paraId="681A47C8" w14:textId="77777777" w:rsidR="009553F5" w:rsidRPr="009553F5" w:rsidRDefault="009553F5" w:rsidP="009553F5">
      <w:pPr>
        <w:pStyle w:val="Odstavecseseznamem"/>
        <w:numPr>
          <w:ilvl w:val="0"/>
          <w:numId w:val="7"/>
        </w:numPr>
        <w:contextualSpacing/>
        <w:jc w:val="both"/>
        <w:rPr>
          <w:rFonts w:cstheme="minorHAnsi"/>
        </w:rPr>
      </w:pPr>
      <w:r w:rsidRPr="009553F5">
        <w:rPr>
          <w:rFonts w:cstheme="minorHAnsi"/>
        </w:rPr>
        <w:lastRenderedPageBreak/>
        <w:t xml:space="preserve">Instalované měniče musí být vybaveny plynulou, nebo diskrétní řiditelností dodávaného výkonu do elektrizační soustavy umožňující změnu dodávaného výkonu výrobny. </w:t>
      </w:r>
    </w:p>
    <w:p w14:paraId="5340C3DC" w14:textId="77777777" w:rsidR="009553F5" w:rsidRDefault="009B0832" w:rsidP="009553F5">
      <w:pPr>
        <w:pStyle w:val="Odstavecseseznamem"/>
        <w:numPr>
          <w:ilvl w:val="0"/>
          <w:numId w:val="7"/>
        </w:numPr>
        <w:contextualSpacing/>
        <w:jc w:val="both"/>
      </w:pPr>
      <w:r w:rsidRPr="009553F5">
        <w:rPr>
          <w:rFonts w:cstheme="minorHAnsi"/>
        </w:rPr>
        <w:t>Podpora na vybudování systému akumulace vyrobené elektřiny může být poskytnuta pouze pro systémy s kapacitou v rozsahu min. 20 % a max. 100 % z teoretické hodinové výroby při in</w:t>
      </w:r>
      <w:r w:rsidR="00FC138C" w:rsidRPr="009553F5">
        <w:rPr>
          <w:rFonts w:cstheme="minorHAnsi"/>
        </w:rPr>
        <w:t>stalovaném špičkovém výkonu FVE</w:t>
      </w:r>
      <w:r w:rsidRPr="009553F5">
        <w:rPr>
          <w:rFonts w:cstheme="minorHAnsi"/>
        </w:rPr>
        <w:t xml:space="preserve">. </w:t>
      </w:r>
    </w:p>
    <w:p w14:paraId="76A6A097" w14:textId="77777777" w:rsidR="009553F5" w:rsidRPr="009553F5" w:rsidRDefault="009553F5" w:rsidP="009553F5">
      <w:pPr>
        <w:pStyle w:val="Odstavecseseznamem"/>
        <w:numPr>
          <w:ilvl w:val="0"/>
          <w:numId w:val="7"/>
        </w:numPr>
        <w:contextualSpacing/>
        <w:jc w:val="both"/>
        <w:rPr>
          <w:rFonts w:cstheme="minorHAnsi"/>
        </w:rPr>
      </w:pPr>
      <w:r w:rsidRPr="009553F5">
        <w:rPr>
          <w:rFonts w:cstheme="minorHAnsi"/>
        </w:rPr>
        <w:t xml:space="preserve">V případě bateriové akumulace s technologií na bázi olova nebo </w:t>
      </w:r>
      <w:proofErr w:type="spellStart"/>
      <w:r w:rsidRPr="009553F5">
        <w:rPr>
          <w:rFonts w:cstheme="minorHAnsi"/>
        </w:rPr>
        <w:t>NiCd</w:t>
      </w:r>
      <w:proofErr w:type="spellEnd"/>
      <w:r w:rsidRPr="009553F5">
        <w:rPr>
          <w:rFonts w:cstheme="minorHAnsi"/>
        </w:rPr>
        <w:t xml:space="preserve"> jsou podporovány pouze baterie se zajištěnou následnou recyklací (uzavřený cyklus). Účinnost recyklace konkrétního zpracovatele musí být podložena výpočtem dle nařízení EU č. 493/2012, přičemž účinnost recyklace musí být v souladu se směrnicí Evropského parlamentu a rady č. 2006/66/ES pro: </w:t>
      </w:r>
    </w:p>
    <w:p w14:paraId="716BC09B" w14:textId="77777777" w:rsidR="009553F5" w:rsidRPr="009553F5" w:rsidRDefault="009553F5" w:rsidP="009553F5">
      <w:pPr>
        <w:ind w:left="1440"/>
        <w:contextualSpacing/>
        <w:jc w:val="both"/>
        <w:rPr>
          <w:rFonts w:cstheme="minorHAnsi"/>
        </w:rPr>
      </w:pPr>
      <w:r w:rsidRPr="009553F5">
        <w:rPr>
          <w:rFonts w:cstheme="minorHAnsi"/>
        </w:rPr>
        <w:t xml:space="preserve">i. </w:t>
      </w:r>
      <w:proofErr w:type="spellStart"/>
      <w:r w:rsidRPr="009553F5">
        <w:rPr>
          <w:rFonts w:cstheme="minorHAnsi"/>
        </w:rPr>
        <w:t>NiCd</w:t>
      </w:r>
      <w:proofErr w:type="spellEnd"/>
      <w:r w:rsidRPr="009553F5">
        <w:rPr>
          <w:rFonts w:cstheme="minorHAnsi"/>
        </w:rPr>
        <w:t xml:space="preserve"> baterie min. 75 % celkově a 99 % pro Cd, </w:t>
      </w:r>
    </w:p>
    <w:p w14:paraId="4DC8EEF9" w14:textId="77777777" w:rsidR="009553F5" w:rsidRPr="009553F5" w:rsidRDefault="009553F5" w:rsidP="009553F5">
      <w:pPr>
        <w:ind w:left="1440"/>
        <w:contextualSpacing/>
        <w:jc w:val="both"/>
        <w:rPr>
          <w:rFonts w:cstheme="minorHAnsi"/>
        </w:rPr>
      </w:pPr>
      <w:proofErr w:type="spellStart"/>
      <w:r w:rsidRPr="009553F5">
        <w:rPr>
          <w:rFonts w:cstheme="minorHAnsi"/>
        </w:rPr>
        <w:t>ii</w:t>
      </w:r>
      <w:proofErr w:type="spellEnd"/>
      <w:r w:rsidRPr="009553F5">
        <w:rPr>
          <w:rFonts w:cstheme="minorHAnsi"/>
        </w:rPr>
        <w:t xml:space="preserve">. baterie na bázi olova min. 65 % celkově a 97 % pro </w:t>
      </w:r>
      <w:proofErr w:type="spellStart"/>
      <w:r w:rsidRPr="009553F5">
        <w:rPr>
          <w:rFonts w:cstheme="minorHAnsi"/>
        </w:rPr>
        <w:t>Pb</w:t>
      </w:r>
      <w:proofErr w:type="spellEnd"/>
      <w:r w:rsidRPr="009553F5">
        <w:rPr>
          <w:rFonts w:cstheme="minorHAnsi"/>
        </w:rPr>
        <w:t xml:space="preserve">. </w:t>
      </w:r>
    </w:p>
    <w:p w14:paraId="30849941" w14:textId="77777777" w:rsidR="00A5765B" w:rsidRDefault="009553F5" w:rsidP="00A5765B">
      <w:pPr>
        <w:ind w:left="1134"/>
        <w:contextualSpacing/>
        <w:jc w:val="both"/>
        <w:rPr>
          <w:rFonts w:cstheme="minorHAnsi"/>
        </w:rPr>
      </w:pPr>
      <w:r w:rsidRPr="009553F5">
        <w:rPr>
          <w:rFonts w:cstheme="minorHAnsi"/>
        </w:rPr>
        <w:t xml:space="preserve">Pro ostatní technologie (např. lithium, </w:t>
      </w:r>
      <w:proofErr w:type="spellStart"/>
      <w:r w:rsidRPr="009553F5">
        <w:rPr>
          <w:rFonts w:cstheme="minorHAnsi"/>
        </w:rPr>
        <w:t>NiMH</w:t>
      </w:r>
      <w:proofErr w:type="spellEnd"/>
      <w:r w:rsidRPr="009553F5">
        <w:rPr>
          <w:rFonts w:cstheme="minorHAnsi"/>
        </w:rPr>
        <w:t xml:space="preserve">) není prokázání způsobu následné likvidace bateriového systému požadováno. </w:t>
      </w:r>
    </w:p>
    <w:p w14:paraId="69F82170" w14:textId="77777777" w:rsidR="00A5765B" w:rsidRDefault="00A5765B" w:rsidP="00A5765B">
      <w:pPr>
        <w:pStyle w:val="Odstavecseseznamem"/>
        <w:numPr>
          <w:ilvl w:val="0"/>
          <w:numId w:val="16"/>
        </w:numPr>
        <w:ind w:left="1134"/>
        <w:contextualSpacing/>
        <w:jc w:val="both"/>
        <w:rPr>
          <w:rFonts w:cstheme="minorHAnsi"/>
        </w:rPr>
      </w:pPr>
      <w:r w:rsidRPr="00A5765B">
        <w:rPr>
          <w:rFonts w:cstheme="minorHAnsi"/>
        </w:rPr>
        <w:t xml:space="preserve">Podporovány budou pouze výrobny umístěné na střešní konstrukci nebo na obvodové zdi budovy, spojené se zemí pevným základem a evidované v katastru nemovitostí. Výjimku tvoří projekty, kde z technických důvodů nelze potřebný výkon instalovat přímo na budovu (musí být zdůvodněno v projektové dokumentaci). Zde je možné využít i jiné stávající zpevněné plochy v bezprostřední blízkosti budovy či areálu budov. </w:t>
      </w:r>
    </w:p>
    <w:p w14:paraId="6F27A2D2" w14:textId="77777777" w:rsidR="00A5765B" w:rsidRPr="00A5765B" w:rsidRDefault="00A5765B" w:rsidP="00A5765B">
      <w:pPr>
        <w:pStyle w:val="Odstavecseseznamem"/>
        <w:numPr>
          <w:ilvl w:val="0"/>
          <w:numId w:val="16"/>
        </w:numPr>
        <w:ind w:left="1134"/>
        <w:contextualSpacing/>
        <w:jc w:val="both"/>
        <w:rPr>
          <w:rFonts w:cstheme="minorHAnsi"/>
        </w:rPr>
      </w:pPr>
      <w:r w:rsidRPr="00A5765B">
        <w:rPr>
          <w:rFonts w:cstheme="minorHAnsi"/>
        </w:rPr>
        <w:t xml:space="preserve">Kapacitou bateriového úložiště se rozumí „využitelná kapacita úložiště“. Tato kapacita musí být prokázána garančními testy při uvedení systému do provozu. </w:t>
      </w:r>
    </w:p>
    <w:p w14:paraId="5E9E4A06" w14:textId="77777777" w:rsidR="00E57E3B" w:rsidRPr="00E65D6D" w:rsidRDefault="00A5765B" w:rsidP="00E65D6D">
      <w:pPr>
        <w:pStyle w:val="Odstavecseseznamem"/>
        <w:numPr>
          <w:ilvl w:val="0"/>
          <w:numId w:val="16"/>
        </w:numPr>
        <w:ind w:left="1134"/>
        <w:contextualSpacing/>
        <w:jc w:val="both"/>
        <w:rPr>
          <w:rFonts w:cstheme="minorHAnsi"/>
        </w:rPr>
      </w:pPr>
      <w:r w:rsidRPr="00A5765B">
        <w:rPr>
          <w:rFonts w:cstheme="minorHAnsi"/>
        </w:rPr>
        <w:t xml:space="preserve">Pro potřeby této výzvy odpovídá instalovanému výkonu FVE 1kWp hodnota teoretické hodinové výroby při instalovaném špičkovém výkonu FVE ve výši 1 kWh. </w:t>
      </w:r>
    </w:p>
    <w:sectPr w:rsidR="00E57E3B" w:rsidRPr="00E65D6D" w:rsidSect="009B0832">
      <w:footerReference w:type="default" r:id="rId7"/>
      <w:type w:val="continuous"/>
      <w:pgSz w:w="11910" w:h="16840"/>
      <w:pgMar w:top="820" w:right="853" w:bottom="280" w:left="800" w:header="794" w:footer="204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1AE7A" w14:textId="77777777" w:rsidR="00350A63" w:rsidRDefault="00350A63" w:rsidP="0078278A">
      <w:r>
        <w:separator/>
      </w:r>
    </w:p>
  </w:endnote>
  <w:endnote w:type="continuationSeparator" w:id="0">
    <w:p w14:paraId="2D2F7662" w14:textId="77777777" w:rsidR="00350A63" w:rsidRDefault="00350A63" w:rsidP="007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39252" w14:textId="77777777" w:rsidR="00350A63" w:rsidRDefault="00350A63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495135" wp14:editId="25BD4043">
          <wp:simplePos x="0" y="0"/>
          <wp:positionH relativeFrom="column">
            <wp:posOffset>71120</wp:posOffset>
          </wp:positionH>
          <wp:positionV relativeFrom="paragraph">
            <wp:posOffset>260985</wp:posOffset>
          </wp:positionV>
          <wp:extent cx="6369050" cy="723900"/>
          <wp:effectExtent l="0" t="0" r="6350" b="0"/>
          <wp:wrapTight wrapText="bothSides">
            <wp:wrapPolygon edited="0">
              <wp:start x="0" y="0"/>
              <wp:lineTo x="0" y="21221"/>
              <wp:lineTo x="21578" y="21221"/>
              <wp:lineTo x="21578" y="0"/>
              <wp:lineTo x="0" y="0"/>
            </wp:wrapPolygon>
          </wp:wrapTight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EB515" w14:textId="77777777" w:rsidR="00350A63" w:rsidRDefault="00350A63" w:rsidP="0078278A">
      <w:r>
        <w:separator/>
      </w:r>
    </w:p>
  </w:footnote>
  <w:footnote w:type="continuationSeparator" w:id="0">
    <w:p w14:paraId="3ED1D5BF" w14:textId="77777777" w:rsidR="00350A63" w:rsidRDefault="00350A63" w:rsidP="0078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A8E13C6"/>
    <w:multiLevelType w:val="hybridMultilevel"/>
    <w:tmpl w:val="569793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C65F93"/>
    <w:multiLevelType w:val="hybridMultilevel"/>
    <w:tmpl w:val="C6EE3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06EE"/>
    <w:multiLevelType w:val="hybridMultilevel"/>
    <w:tmpl w:val="0FEC1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562B2"/>
    <w:multiLevelType w:val="hybridMultilevel"/>
    <w:tmpl w:val="44DCFD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0926B6"/>
    <w:multiLevelType w:val="hybridMultilevel"/>
    <w:tmpl w:val="0DD895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28FF5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F4E87"/>
    <w:multiLevelType w:val="hybridMultilevel"/>
    <w:tmpl w:val="5114F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A6072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1C7F6"/>
    <w:multiLevelType w:val="hybridMultilevel"/>
    <w:tmpl w:val="38BD99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841500"/>
    <w:multiLevelType w:val="hybridMultilevel"/>
    <w:tmpl w:val="87821DD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4D95E1C"/>
    <w:multiLevelType w:val="hybridMultilevel"/>
    <w:tmpl w:val="4F946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A684E"/>
    <w:multiLevelType w:val="hybridMultilevel"/>
    <w:tmpl w:val="AA96A85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63F3BC8"/>
    <w:multiLevelType w:val="hybridMultilevel"/>
    <w:tmpl w:val="7584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F4611"/>
    <w:multiLevelType w:val="hybridMultilevel"/>
    <w:tmpl w:val="8AD4489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C484310"/>
    <w:multiLevelType w:val="hybridMultilevel"/>
    <w:tmpl w:val="927E5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94CB3"/>
    <w:multiLevelType w:val="hybridMultilevel"/>
    <w:tmpl w:val="70C6F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75932"/>
    <w:multiLevelType w:val="hybridMultilevel"/>
    <w:tmpl w:val="547CA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B0EFE"/>
    <w:multiLevelType w:val="hybridMultilevel"/>
    <w:tmpl w:val="9184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8906">
    <w:abstractNumId w:val="1"/>
  </w:num>
  <w:num w:numId="2" w16cid:durableId="1478499065">
    <w:abstractNumId w:val="13"/>
  </w:num>
  <w:num w:numId="3" w16cid:durableId="52968444">
    <w:abstractNumId w:val="8"/>
  </w:num>
  <w:num w:numId="4" w16cid:durableId="607277266">
    <w:abstractNumId w:val="5"/>
  </w:num>
  <w:num w:numId="5" w16cid:durableId="436829405">
    <w:abstractNumId w:val="14"/>
  </w:num>
  <w:num w:numId="6" w16cid:durableId="933241356">
    <w:abstractNumId w:val="15"/>
  </w:num>
  <w:num w:numId="7" w16cid:durableId="722143068">
    <w:abstractNumId w:val="3"/>
  </w:num>
  <w:num w:numId="8" w16cid:durableId="407581540">
    <w:abstractNumId w:val="4"/>
  </w:num>
  <w:num w:numId="9" w16cid:durableId="1840533953">
    <w:abstractNumId w:val="2"/>
  </w:num>
  <w:num w:numId="10" w16cid:durableId="1247375327">
    <w:abstractNumId w:val="10"/>
  </w:num>
  <w:num w:numId="11" w16cid:durableId="1139418873">
    <w:abstractNumId w:val="12"/>
  </w:num>
  <w:num w:numId="12" w16cid:durableId="985865185">
    <w:abstractNumId w:val="0"/>
  </w:num>
  <w:num w:numId="13" w16cid:durableId="1546143560">
    <w:abstractNumId w:val="6"/>
  </w:num>
  <w:num w:numId="14" w16cid:durableId="782846357">
    <w:abstractNumId w:val="9"/>
  </w:num>
  <w:num w:numId="15" w16cid:durableId="1632514067">
    <w:abstractNumId w:val="7"/>
  </w:num>
  <w:num w:numId="16" w16cid:durableId="906647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F3F"/>
    <w:rsid w:val="00013A21"/>
    <w:rsid w:val="00016B6F"/>
    <w:rsid w:val="00060C1B"/>
    <w:rsid w:val="001937E7"/>
    <w:rsid w:val="001A3AE3"/>
    <w:rsid w:val="001B0A10"/>
    <w:rsid w:val="001B4E8B"/>
    <w:rsid w:val="00210A41"/>
    <w:rsid w:val="00254D79"/>
    <w:rsid w:val="00292EBB"/>
    <w:rsid w:val="002A24E8"/>
    <w:rsid w:val="00340FD4"/>
    <w:rsid w:val="00350A63"/>
    <w:rsid w:val="003529BC"/>
    <w:rsid w:val="003B02F5"/>
    <w:rsid w:val="003D08F7"/>
    <w:rsid w:val="003F5CF0"/>
    <w:rsid w:val="003F5E82"/>
    <w:rsid w:val="004573C6"/>
    <w:rsid w:val="004B0F3F"/>
    <w:rsid w:val="004D0E65"/>
    <w:rsid w:val="00647CA8"/>
    <w:rsid w:val="006D309A"/>
    <w:rsid w:val="007300EE"/>
    <w:rsid w:val="0078278A"/>
    <w:rsid w:val="008B3E42"/>
    <w:rsid w:val="008E13F5"/>
    <w:rsid w:val="009553F5"/>
    <w:rsid w:val="009B0832"/>
    <w:rsid w:val="009F3C1F"/>
    <w:rsid w:val="00A5765B"/>
    <w:rsid w:val="00AB1B80"/>
    <w:rsid w:val="00AB26A4"/>
    <w:rsid w:val="00B808E4"/>
    <w:rsid w:val="00D5459B"/>
    <w:rsid w:val="00DA7984"/>
    <w:rsid w:val="00DF2DDC"/>
    <w:rsid w:val="00E17FE1"/>
    <w:rsid w:val="00E57E3B"/>
    <w:rsid w:val="00E65D6D"/>
    <w:rsid w:val="00EC59D8"/>
    <w:rsid w:val="00F159FD"/>
    <w:rsid w:val="00FC138C"/>
    <w:rsid w:val="00F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65CC"/>
  <w15:docId w15:val="{8DA4DDEF-AFA8-4878-A4B5-BFFB681C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984"/>
    <w:pPr>
      <w:widowControl/>
      <w:autoSpaceDE/>
      <w:autoSpaceDN/>
      <w:spacing w:after="200" w:line="27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24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2A24E8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4E8"/>
  </w:style>
  <w:style w:type="paragraph" w:customStyle="1" w:styleId="TableParagraph">
    <w:name w:val="Table Paragraph"/>
    <w:basedOn w:val="Normln"/>
    <w:uiPriority w:val="1"/>
    <w:qFormat/>
    <w:rsid w:val="002A24E8"/>
  </w:style>
  <w:style w:type="paragraph" w:styleId="Zhlav">
    <w:name w:val="header"/>
    <w:basedOn w:val="Normln"/>
    <w:link w:val="ZhlavChar"/>
    <w:uiPriority w:val="99"/>
    <w:unhideWhenUsed/>
    <w:rsid w:val="0078278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278A"/>
    <w:rPr>
      <w:rFonts w:ascii="Poppins" w:eastAsia="Poppins" w:hAnsi="Poppins" w:cs="Poppins"/>
      <w:lang w:val="lv-LV"/>
    </w:rPr>
  </w:style>
  <w:style w:type="paragraph" w:styleId="Zpat">
    <w:name w:val="footer"/>
    <w:basedOn w:val="Normln"/>
    <w:link w:val="ZpatChar"/>
    <w:uiPriority w:val="99"/>
    <w:unhideWhenUsed/>
    <w:rsid w:val="0078278A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278A"/>
    <w:rPr>
      <w:rFonts w:ascii="Poppins" w:eastAsia="Poppins" w:hAnsi="Poppins" w:cs="Poppins"/>
      <w:lang w:val="lv-LV"/>
    </w:rPr>
  </w:style>
  <w:style w:type="paragraph" w:styleId="Nzev">
    <w:name w:val="Title"/>
    <w:basedOn w:val="Normln"/>
    <w:next w:val="Normln"/>
    <w:link w:val="NzevChar"/>
    <w:uiPriority w:val="10"/>
    <w:qFormat/>
    <w:rsid w:val="00AB26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B26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table" w:styleId="Mkatabulky">
    <w:name w:val="Table Grid"/>
    <w:basedOn w:val="Normlntabulka"/>
    <w:uiPriority w:val="59"/>
    <w:rsid w:val="009B0832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832"/>
    <w:pPr>
      <w:widowControl/>
      <w:adjustRightInd w:val="0"/>
    </w:pPr>
    <w:rPr>
      <w:rFonts w:ascii="Segoe UI" w:hAnsi="Segoe UI" w:cs="Segoe UI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0A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A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A10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A10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A10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_Marketing\Logo%202022+\Materi&#225;ly\Hlavi&#269;kov&#253;%20pap&#237;r\RPA_hlavickovy_papir_FINAL_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RPA_hlavickovy_papir_FINAL_šablona</Template>
  <TotalTime>2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RPA_hlavickovy_papir_V1</vt:lpstr>
    </vt:vector>
  </TitlesOfParts>
  <Company>RPA, s.r.o.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RPA_hlavickovy_papir_V1</dc:title>
  <dc:creator>skala</dc:creator>
  <cp:lastModifiedBy>Kristýna Ullreich</cp:lastModifiedBy>
  <cp:revision>4</cp:revision>
  <cp:lastPrinted>2023-09-14T09:34:00Z</cp:lastPrinted>
  <dcterms:created xsi:type="dcterms:W3CDTF">2024-01-29T10:04:00Z</dcterms:created>
  <dcterms:modified xsi:type="dcterms:W3CDTF">2024-04-11T10:52:00Z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2021-12-07T00:00:00Z</vt:filetime>
  </property>
</Properties>
</file>