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B5" w:rsidRDefault="00A154AE">
      <w:r>
        <w:t>Skutečně uhrazená cena v roce 2023 : 9.292.498,39 Kč</w:t>
      </w:r>
    </w:p>
    <w:p w:rsidR="00A154AE" w:rsidRDefault="00A154AE">
      <w:r>
        <w:t>Skutečně uhrazená cena v roce 2024 : 4.122.515,40 Kč</w:t>
      </w:r>
    </w:p>
    <w:sectPr w:rsidR="00A154AE" w:rsidSect="001644E2">
      <w:pgSz w:w="11907" w:h="16839" w:code="9"/>
      <w:pgMar w:top="1417" w:right="1417" w:bottom="1417" w:left="1417" w:header="1145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A154AE"/>
    <w:rsid w:val="001644E2"/>
    <w:rsid w:val="00551DB5"/>
    <w:rsid w:val="00A154AE"/>
    <w:rsid w:val="00ED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1D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2024-05-13T06:24:00Z</dcterms:created>
  <dcterms:modified xsi:type="dcterms:W3CDTF">2024-05-13T06:32:00Z</dcterms:modified>
</cp:coreProperties>
</file>