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………..</w:t>
      </w:r>
      <w:r w:rsidR="00E3778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…………….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DIČ: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zápis v OR u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 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účet č.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………….., vedený u ……….</w:t>
      </w:r>
      <w:r w:rsidR="008410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zastoupený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………………..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581D6B" w:rsidRDefault="00A85945" w:rsidP="00A859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1D6B">
        <w:rPr>
          <w:rFonts w:ascii="Arial" w:hAnsi="Arial" w:cs="Arial"/>
          <w:b/>
          <w:bCs/>
          <w:sz w:val="32"/>
          <w:szCs w:val="32"/>
        </w:rPr>
        <w:t>„</w:t>
      </w:r>
      <w:r w:rsidR="00F72602">
        <w:rPr>
          <w:b/>
          <w:sz w:val="32"/>
          <w:szCs w:val="32"/>
        </w:rPr>
        <w:t>Oprava schodiště Domu kultury Vizovice</w:t>
      </w:r>
      <w:r w:rsidRPr="00581D6B">
        <w:rPr>
          <w:rFonts w:ascii="Arial" w:hAnsi="Arial" w:cs="Arial"/>
          <w:b/>
          <w:bCs/>
          <w:sz w:val="32"/>
          <w:szCs w:val="32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r w:rsidR="00F72602">
        <w:rPr>
          <w:rFonts w:ascii="Times New Roman" w:hAnsi="Times New Roman" w:cs="Times New Roman"/>
          <w:color w:val="000000" w:themeColor="text1"/>
          <w:sz w:val="22"/>
          <w:szCs w:val="22"/>
        </w:rPr>
        <w:t>Masarykovo nám.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72602">
        <w:rPr>
          <w:rFonts w:ascii="Arial" w:hAnsi="Arial" w:cs="Arial"/>
          <w:sz w:val="20"/>
          <w:szCs w:val="20"/>
        </w:rPr>
        <w:t>pozemek p.č. 5404/1 v k.ú. Vizovice</w:t>
      </w:r>
      <w:r w:rsidR="00A85945">
        <w:rPr>
          <w:rFonts w:ascii="Arial" w:hAnsi="Arial" w:cs="Arial"/>
          <w:sz w:val="20"/>
          <w:szCs w:val="20"/>
        </w:rPr>
        <w:t xml:space="preserve"> 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58702F">
        <w:rPr>
          <w:rFonts w:ascii="Times New Roman" w:hAnsi="Times New Roman" w:cs="Times New Roman"/>
          <w:color w:val="000000" w:themeColor="text1"/>
          <w:sz w:val="22"/>
          <w:szCs w:val="22"/>
        </w:rPr>
        <w:t>Oprava schodiště Domu kultury Vizovice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Podrobnou specifikaci stanovuje projektová dokumentace zpracovaná </w:t>
      </w:r>
      <w:r w:rsidR="0058702F" w:rsidRPr="0058702F">
        <w:rPr>
          <w:rFonts w:ascii="Times New Roman" w:hAnsi="Times New Roman" w:cs="Times New Roman"/>
          <w:color w:val="000000" w:themeColor="text1"/>
          <w:sz w:val="22"/>
          <w:szCs w:val="22"/>
        </w:rPr>
        <w:t>Ing. arch Petrem Zámečníkem IČ: 65825713, Pod Hájem 342, 766 01 Valašské Klobouky, číslo autorizace 02 568 ČKA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odst.2 je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Zhotovitele </w:t>
      </w:r>
      <w:r w:rsidR="003A69A6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="00E377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., doručené dne </w:t>
      </w:r>
      <w:r w:rsidR="0058702F">
        <w:rPr>
          <w:rFonts w:ascii="Times New Roman" w:hAnsi="Times New Roman" w:cs="Times New Roman"/>
          <w:color w:val="000000" w:themeColor="text1"/>
          <w:sz w:val="22"/>
          <w:szCs w:val="22"/>
        </w:rPr>
        <w:t>………..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58702F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………….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3A69A6">
        <w:rPr>
          <w:rFonts w:ascii="Times New Roman" w:hAnsi="Times New Roman" w:cs="Times New Roman"/>
          <w:sz w:val="22"/>
          <w:szCs w:val="22"/>
        </w:rPr>
        <w:t>……..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B547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06.05.2019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3A69A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30.08</w:t>
      </w:r>
      <w:bookmarkStart w:id="0" w:name="_GoBack"/>
      <w:bookmarkEnd w:id="0"/>
      <w:r w:rsidR="009B547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0C0C">
        <w:rPr>
          <w:rFonts w:ascii="Times New Roman" w:hAnsi="Times New Roman" w:cs="Times New Roman"/>
          <w:sz w:val="22"/>
          <w:szCs w:val="22"/>
        </w:rPr>
        <w:t xml:space="preserve">Nezahájí –li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8410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702F">
        <w:rPr>
          <w:rFonts w:ascii="Times New Roman" w:hAnsi="Times New Roman" w:cs="Times New Roman"/>
          <w:color w:val="000000" w:themeColor="text1"/>
          <w:sz w:val="22"/>
          <w:szCs w:val="22"/>
        </w:rPr>
        <w:t>…………….</w:t>
      </w:r>
      <w:r w:rsidR="0084106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58702F">
        <w:rPr>
          <w:rFonts w:ascii="Times New Roman" w:hAnsi="Times New Roman" w:cs="Times New Roman"/>
          <w:color w:val="000000" w:themeColor="text1"/>
          <w:sz w:val="22"/>
          <w:szCs w:val="22"/>
        </w:rPr>
        <w:t>………….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58702F">
        <w:rPr>
          <w:rFonts w:ascii="Times New Roman" w:hAnsi="Times New Roman" w:cs="Times New Roman"/>
          <w:sz w:val="22"/>
          <w:szCs w:val="22"/>
        </w:rPr>
        <w:t>2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Záruka se nevztahuje na běžné opotřebení Díla nebo jeho části ani na poškození způsobené nikoli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-li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 odstoupení od smlouvy dojde poté, co Zhotovitel Dílo alespoň z části provedl, má odstoupení 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 a projektová dokumentace pro provedení stavby</w:t>
      </w:r>
      <w:r w:rsidR="00D074D1">
        <w:rPr>
          <w:rFonts w:ascii="Georgia" w:hAnsi="Georgia" w:cs="Tahoma"/>
          <w:sz w:val="22"/>
          <w:szCs w:val="22"/>
        </w:rPr>
        <w:t>, položkový rozpočet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6E4445">
        <w:rPr>
          <w:rFonts w:ascii="Times New Roman" w:hAnsi="Times New Roman" w:cs="Times New Roman"/>
          <w:sz w:val="22"/>
          <w:szCs w:val="22"/>
        </w:rPr>
        <w:t>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č.</w:t>
      </w:r>
      <w:r w:rsidR="0084106F">
        <w:rPr>
          <w:rFonts w:ascii="Times New Roman" w:hAnsi="Times New Roman" w:cs="Times New Roman"/>
          <w:sz w:val="22"/>
          <w:szCs w:val="22"/>
        </w:rPr>
        <w:t xml:space="preserve"> </w:t>
      </w:r>
      <w:r w:rsidR="006E4445">
        <w:rPr>
          <w:rFonts w:ascii="Times New Roman" w:hAnsi="Times New Roman" w:cs="Times New Roman"/>
          <w:sz w:val="22"/>
          <w:szCs w:val="22"/>
        </w:rPr>
        <w:t>………….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106F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  <w:r w:rsidR="008410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E4445">
        <w:rPr>
          <w:rFonts w:ascii="Times New Roman" w:hAnsi="Times New Roman" w:cs="Times New Roman"/>
          <w:color w:val="000000" w:themeColor="text1"/>
          <w:sz w:val="22"/>
          <w:szCs w:val="22"/>
        </w:rPr>
        <w:t>………….</w:t>
      </w:r>
    </w:p>
    <w:p w:rsidR="0084106F" w:rsidRPr="009D2D50" w:rsidRDefault="0084106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starostka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</w:p>
    <w:sectPr w:rsidR="0084106F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6D" w:rsidRDefault="0002396D" w:rsidP="00B305C7">
      <w:r>
        <w:separator/>
      </w:r>
    </w:p>
  </w:endnote>
  <w:endnote w:type="continuationSeparator" w:id="0">
    <w:p w:rsidR="0002396D" w:rsidRDefault="0002396D" w:rsidP="00B3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6D" w:rsidRDefault="0002396D" w:rsidP="00B305C7">
      <w:r>
        <w:separator/>
      </w:r>
    </w:p>
  </w:footnote>
  <w:footnote w:type="continuationSeparator" w:id="0">
    <w:p w:rsidR="0002396D" w:rsidRDefault="0002396D" w:rsidP="00B3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2396D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4271B"/>
    <w:rsid w:val="00354D76"/>
    <w:rsid w:val="00356B4B"/>
    <w:rsid w:val="00363040"/>
    <w:rsid w:val="003762D4"/>
    <w:rsid w:val="00377B47"/>
    <w:rsid w:val="003A4241"/>
    <w:rsid w:val="003A69A6"/>
    <w:rsid w:val="003F344C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1D6B"/>
    <w:rsid w:val="005862B5"/>
    <w:rsid w:val="0058702F"/>
    <w:rsid w:val="005F1EF6"/>
    <w:rsid w:val="00606DD1"/>
    <w:rsid w:val="0062059D"/>
    <w:rsid w:val="0064606C"/>
    <w:rsid w:val="006C5A23"/>
    <w:rsid w:val="006E4445"/>
    <w:rsid w:val="006E6D45"/>
    <w:rsid w:val="00714079"/>
    <w:rsid w:val="00720C0C"/>
    <w:rsid w:val="00732FC0"/>
    <w:rsid w:val="0073786C"/>
    <w:rsid w:val="00753C43"/>
    <w:rsid w:val="007572B6"/>
    <w:rsid w:val="007667AA"/>
    <w:rsid w:val="00770425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106F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B5477"/>
    <w:rsid w:val="009D2D50"/>
    <w:rsid w:val="009D3AC4"/>
    <w:rsid w:val="009F1BC7"/>
    <w:rsid w:val="00A11666"/>
    <w:rsid w:val="00A35D2E"/>
    <w:rsid w:val="00A462A7"/>
    <w:rsid w:val="00A52F56"/>
    <w:rsid w:val="00A705C6"/>
    <w:rsid w:val="00A85945"/>
    <w:rsid w:val="00A96475"/>
    <w:rsid w:val="00AD0C95"/>
    <w:rsid w:val="00B305C7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C3344"/>
    <w:rsid w:val="00CC3580"/>
    <w:rsid w:val="00CF2C66"/>
    <w:rsid w:val="00D074D1"/>
    <w:rsid w:val="00D577C9"/>
    <w:rsid w:val="00D719B2"/>
    <w:rsid w:val="00D7616C"/>
    <w:rsid w:val="00DA0879"/>
    <w:rsid w:val="00DA7319"/>
    <w:rsid w:val="00DD0445"/>
    <w:rsid w:val="00DF1609"/>
    <w:rsid w:val="00DF1B05"/>
    <w:rsid w:val="00E1099C"/>
    <w:rsid w:val="00E247C7"/>
    <w:rsid w:val="00E31CBC"/>
    <w:rsid w:val="00E37789"/>
    <w:rsid w:val="00E60FEF"/>
    <w:rsid w:val="00E70577"/>
    <w:rsid w:val="00E75D5F"/>
    <w:rsid w:val="00EB32A9"/>
    <w:rsid w:val="00F14380"/>
    <w:rsid w:val="00F26267"/>
    <w:rsid w:val="00F31E20"/>
    <w:rsid w:val="00F63AE3"/>
    <w:rsid w:val="00F71F4E"/>
    <w:rsid w:val="00F72602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305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05C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305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05C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2421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11</cp:revision>
  <cp:lastPrinted>2019-03-04T10:11:00Z</cp:lastPrinted>
  <dcterms:created xsi:type="dcterms:W3CDTF">2018-08-08T07:25:00Z</dcterms:created>
  <dcterms:modified xsi:type="dcterms:W3CDTF">2019-03-12T06:46:00Z</dcterms:modified>
</cp:coreProperties>
</file>