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53BBD4CE" w14:textId="0E3C0903" w:rsidR="00D855FC" w:rsidRPr="00B90938" w:rsidRDefault="00A52C8D" w:rsidP="00860E4D">
      <w:pPr>
        <w:numPr>
          <w:ilvl w:val="1"/>
          <w:numId w:val="8"/>
        </w:numPr>
        <w:rPr>
          <w:rFonts w:ascii="Arial" w:hAnsi="Arial"/>
          <w:sz w:val="22"/>
          <w:szCs w:val="22"/>
        </w:rPr>
      </w:pPr>
      <w:r w:rsidRPr="00B90938">
        <w:rPr>
          <w:rFonts w:ascii="Arial" w:hAnsi="Arial"/>
          <w:sz w:val="22"/>
          <w:szCs w:val="22"/>
        </w:rPr>
        <w:t>Kupující</w:t>
      </w:r>
      <w:r w:rsidR="00D855FC" w:rsidRPr="00B90938">
        <w:rPr>
          <w:rFonts w:ascii="Arial" w:hAnsi="Arial"/>
          <w:sz w:val="22"/>
          <w:szCs w:val="22"/>
        </w:rPr>
        <w:t>:</w:t>
      </w:r>
      <w:r w:rsidR="00D855FC" w:rsidRPr="00B90938">
        <w:rPr>
          <w:rFonts w:ascii="Arial" w:hAnsi="Arial"/>
          <w:sz w:val="22"/>
          <w:szCs w:val="22"/>
        </w:rPr>
        <w:tab/>
      </w:r>
      <w:r w:rsidR="00D855FC" w:rsidRPr="00B90938">
        <w:rPr>
          <w:rFonts w:ascii="Arial" w:hAnsi="Arial"/>
          <w:sz w:val="22"/>
          <w:szCs w:val="22"/>
        </w:rPr>
        <w:tab/>
      </w:r>
      <w:r w:rsidR="00B90938" w:rsidRPr="00B90938">
        <w:rPr>
          <w:rFonts w:ascii="Arial" w:hAnsi="Arial"/>
          <w:sz w:val="22"/>
          <w:szCs w:val="22"/>
        </w:rPr>
        <w:t>AGRO - Měřín, a.s.</w:t>
      </w:r>
      <w:r w:rsidR="00D855FC" w:rsidRPr="00B90938">
        <w:rPr>
          <w:rFonts w:ascii="Arial" w:hAnsi="Arial"/>
          <w:sz w:val="22"/>
          <w:szCs w:val="22"/>
        </w:rPr>
        <w:tab/>
      </w:r>
      <w:r w:rsidR="00D855FC" w:rsidRPr="00B90938">
        <w:rPr>
          <w:rFonts w:ascii="Arial" w:hAnsi="Arial"/>
          <w:sz w:val="22"/>
          <w:szCs w:val="22"/>
        </w:rPr>
        <w:tab/>
      </w:r>
      <w:r w:rsidR="00D855FC" w:rsidRPr="00B90938">
        <w:rPr>
          <w:rFonts w:ascii="Arial" w:hAnsi="Arial"/>
          <w:sz w:val="22"/>
          <w:szCs w:val="22"/>
        </w:rPr>
        <w:tab/>
      </w:r>
      <w:r w:rsidR="00D855FC" w:rsidRPr="00B90938">
        <w:rPr>
          <w:rFonts w:ascii="Arial" w:hAnsi="Arial"/>
          <w:sz w:val="22"/>
          <w:szCs w:val="22"/>
        </w:rPr>
        <w:tab/>
      </w:r>
    </w:p>
    <w:p w14:paraId="67DFCA62" w14:textId="1C62B4BA" w:rsidR="00D855FC" w:rsidRPr="00B90938" w:rsidRDefault="00D855FC" w:rsidP="004649DB">
      <w:pPr>
        <w:ind w:left="142" w:firstLine="566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Sídlo: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Zarybník 516, 594 42 Měřín</w:t>
      </w:r>
      <w:r w:rsidR="004649DB" w:rsidRPr="00B90938">
        <w:rPr>
          <w:rFonts w:ascii="Arial" w:hAnsi="Arial"/>
          <w:b w:val="0"/>
          <w:sz w:val="22"/>
          <w:szCs w:val="22"/>
        </w:rPr>
        <w:tab/>
      </w:r>
    </w:p>
    <w:p w14:paraId="0F6412DB" w14:textId="77777777" w:rsidR="00D855FC" w:rsidRPr="00B90938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 xml:space="preserve">Zástupce pověřený jednáním ve věcech  </w:t>
      </w:r>
    </w:p>
    <w:p w14:paraId="0D341BB3" w14:textId="47312A31" w:rsidR="00D855FC" w:rsidRPr="00B90938" w:rsidRDefault="00D855FC" w:rsidP="00860E4D">
      <w:pPr>
        <w:pStyle w:val="Odstavecseseznamem"/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 xml:space="preserve">smluvních: </w:t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Ing. Gabriel Večeřa, předseda představenstva</w:t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23176816" w14:textId="74890FFB" w:rsidR="00D855FC" w:rsidRPr="00B90938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technických:</w:t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Ing. Martin Poul</w:t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5400E776" w14:textId="1C8E1D1E" w:rsidR="00D855FC" w:rsidRPr="00B90938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 xml:space="preserve">IČ:  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49434179</w:t>
      </w:r>
      <w:r w:rsidRPr="00B90938">
        <w:rPr>
          <w:rFonts w:ascii="Arial" w:hAnsi="Arial"/>
          <w:b w:val="0"/>
          <w:sz w:val="22"/>
          <w:szCs w:val="22"/>
        </w:rPr>
        <w:t xml:space="preserve">          </w:t>
      </w:r>
    </w:p>
    <w:p w14:paraId="41BC810B" w14:textId="07E1EABE" w:rsidR="00D855FC" w:rsidRPr="00B90938" w:rsidRDefault="00D855FC" w:rsidP="00860E4D">
      <w:pPr>
        <w:ind w:firstLine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DIČ: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CZ49434179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1E38A787" w14:textId="6084784E" w:rsidR="00D855FC" w:rsidRPr="00B90938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Zápis v OR/ŽR:</w:t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B 1085 vedená u Krajského soudu v Brně</w:t>
      </w:r>
      <w:r w:rsidRPr="00B90938">
        <w:rPr>
          <w:rFonts w:ascii="Arial" w:hAnsi="Arial"/>
          <w:b w:val="0"/>
          <w:sz w:val="22"/>
          <w:szCs w:val="22"/>
        </w:rPr>
        <w:t xml:space="preserve">          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7E7FAA4D" w14:textId="66462983" w:rsidR="00D855FC" w:rsidRPr="00B90938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 xml:space="preserve">Bankovní spojení: </w:t>
      </w:r>
      <w:r w:rsidRPr="00B90938">
        <w:rPr>
          <w:rFonts w:ascii="Arial" w:hAnsi="Arial"/>
          <w:b w:val="0"/>
          <w:sz w:val="22"/>
          <w:szCs w:val="22"/>
        </w:rPr>
        <w:tab/>
        <w:t>Komerční banka a.s.</w:t>
      </w:r>
    </w:p>
    <w:p w14:paraId="69421750" w14:textId="77777777" w:rsidR="00AE6541" w:rsidRDefault="00D855FC" w:rsidP="00BC3D12">
      <w:pPr>
        <w:ind w:firstLine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 xml:space="preserve">Číslo účtu:  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918751/0100 CZK</w:t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23E64E8A" w14:textId="0244C2DE" w:rsidR="00BC3D12" w:rsidRPr="00B90938" w:rsidRDefault="00BC3D12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B90938">
        <w:rPr>
          <w:rFonts w:ascii="Arial" w:hAnsi="Arial" w:cs="Arial"/>
          <w:b w:val="0"/>
          <w:sz w:val="22"/>
          <w:szCs w:val="22"/>
        </w:rPr>
        <w:tab/>
      </w:r>
      <w:r w:rsidR="00AE6541">
        <w:rPr>
          <w:rFonts w:ascii="Arial" w:hAnsi="Arial" w:cs="Arial"/>
          <w:b w:val="0"/>
          <w:sz w:val="22"/>
          <w:szCs w:val="22"/>
        </w:rPr>
        <w:tab/>
      </w:r>
      <w:r w:rsidR="00AE6541">
        <w:rPr>
          <w:rFonts w:ascii="Arial" w:hAnsi="Arial" w:cs="Arial"/>
          <w:b w:val="0"/>
          <w:sz w:val="22"/>
          <w:szCs w:val="22"/>
        </w:rPr>
        <w:tab/>
      </w:r>
      <w:r w:rsidR="00AE6541" w:rsidRPr="00AE6541">
        <w:rPr>
          <w:rFonts w:ascii="Arial" w:hAnsi="Arial" w:cs="Arial"/>
          <w:b w:val="0"/>
          <w:sz w:val="22"/>
          <w:szCs w:val="22"/>
        </w:rPr>
        <w:t>5378420237/0100</w:t>
      </w:r>
      <w:r w:rsidR="00AE6541">
        <w:rPr>
          <w:rFonts w:ascii="Arial" w:hAnsi="Arial" w:cs="Arial"/>
          <w:b w:val="0"/>
          <w:sz w:val="22"/>
          <w:szCs w:val="22"/>
        </w:rPr>
        <w:t xml:space="preserve"> EUR</w:t>
      </w:r>
    </w:p>
    <w:p w14:paraId="555FC5C5" w14:textId="77777777" w:rsidR="00BC3D12" w:rsidRPr="00B90938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B90938">
        <w:rPr>
          <w:rFonts w:ascii="Arial" w:hAnsi="Arial" w:cs="Arial"/>
          <w:b w:val="0"/>
          <w:i/>
          <w:sz w:val="22"/>
          <w:szCs w:val="22"/>
        </w:rPr>
        <w:t xml:space="preserve">(dále jen </w:t>
      </w:r>
      <w:r w:rsidRPr="00B90938">
        <w:rPr>
          <w:rFonts w:ascii="Arial" w:hAnsi="Arial" w:cs="Arial"/>
          <w:i/>
          <w:sz w:val="22"/>
          <w:szCs w:val="22"/>
        </w:rPr>
        <w:t>,,</w:t>
      </w:r>
      <w:r w:rsidR="001B74C1" w:rsidRPr="00B90938">
        <w:rPr>
          <w:rFonts w:ascii="Arial" w:hAnsi="Arial" w:cs="Arial"/>
          <w:i/>
          <w:sz w:val="22"/>
          <w:szCs w:val="22"/>
        </w:rPr>
        <w:t>kupující</w:t>
      </w:r>
      <w:r w:rsidRPr="00B90938">
        <w:rPr>
          <w:rFonts w:ascii="Arial" w:hAnsi="Arial" w:cs="Arial"/>
          <w:i/>
          <w:sz w:val="22"/>
          <w:szCs w:val="22"/>
        </w:rPr>
        <w:t>“</w:t>
      </w:r>
      <w:r w:rsidRPr="00B90938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02480C" w:rsidRDefault="001B74C1" w:rsidP="00BB736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02480C">
        <w:rPr>
          <w:rFonts w:ascii="Arial" w:hAnsi="Arial" w:cs="Arial"/>
          <w:sz w:val="22"/>
          <w:szCs w:val="22"/>
          <w:highlight w:val="yellow"/>
        </w:rPr>
        <w:t>Prodávající</w:t>
      </w:r>
      <w:r w:rsidR="00B62574" w:rsidRPr="0002480C">
        <w:rPr>
          <w:rFonts w:ascii="Arial" w:hAnsi="Arial" w:cs="Arial"/>
          <w:sz w:val="22"/>
          <w:szCs w:val="22"/>
          <w:highlight w:val="yellow"/>
        </w:rPr>
        <w:t>:</w:t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8" w14:textId="77777777" w:rsidR="00B62574" w:rsidRPr="0002480C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se sídlem: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9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 xml:space="preserve">Zástupce pověřený jednáním ve věcech  </w:t>
      </w:r>
    </w:p>
    <w:p w14:paraId="57D52AEA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 xml:space="preserve">smluvních: 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B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b)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>technických:</w:t>
      </w:r>
    </w:p>
    <w:p w14:paraId="57D52AEC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D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DIČ: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E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Zápis v OR/ŽR: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F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bankovní spojení: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0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číslo účtu: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1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adresa pro doručování: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2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 xml:space="preserve">(dále jen </w:t>
      </w:r>
      <w:r w:rsidRPr="0002480C">
        <w:rPr>
          <w:rFonts w:ascii="Arial" w:hAnsi="Arial" w:cs="Arial"/>
          <w:i/>
          <w:sz w:val="22"/>
          <w:szCs w:val="22"/>
          <w:highlight w:val="yellow"/>
        </w:rPr>
        <w:t>,,</w:t>
      </w:r>
      <w:r w:rsidR="001B74C1" w:rsidRPr="0002480C">
        <w:rPr>
          <w:rFonts w:ascii="Arial" w:hAnsi="Arial" w:cs="Arial"/>
          <w:i/>
          <w:sz w:val="22"/>
          <w:szCs w:val="22"/>
          <w:highlight w:val="yellow"/>
        </w:rPr>
        <w:t>prodávající</w:t>
      </w:r>
      <w:r w:rsidRPr="0002480C">
        <w:rPr>
          <w:rFonts w:ascii="Arial" w:hAnsi="Arial" w:cs="Arial"/>
          <w:i/>
          <w:sz w:val="22"/>
          <w:szCs w:val="22"/>
          <w:highlight w:val="yellow"/>
        </w:rPr>
        <w:t>“</w:t>
      </w: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>)</w:t>
      </w:r>
    </w:p>
    <w:p w14:paraId="57D52AF4" w14:textId="77777777" w:rsidR="00B62574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63EBF513" w14:textId="77777777" w:rsidR="0002480C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375EF258" w14:textId="77777777" w:rsidR="0002480C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6E757D2A" w14:textId="77777777" w:rsidR="0002480C" w:rsidRPr="00353723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70DFAD36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B90938" w:rsidRPr="00B90938">
        <w:rPr>
          <w:rFonts w:ascii="Arial" w:hAnsi="Arial" w:cs="Arial"/>
          <w:b w:val="0"/>
          <w:sz w:val="22"/>
          <w:szCs w:val="22"/>
        </w:rPr>
        <w:t>Ing. Martin Poul</w:t>
      </w:r>
    </w:p>
    <w:p w14:paraId="57D52AF9" w14:textId="5B6D5724" w:rsidR="00D02898" w:rsidRPr="004514A5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4514A5">
        <w:rPr>
          <w:rFonts w:ascii="Arial" w:hAnsi="Arial" w:cs="Arial"/>
          <w:b w:val="0"/>
          <w:sz w:val="22"/>
          <w:szCs w:val="22"/>
          <w:highlight w:val="yellow"/>
        </w:rPr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2A918BAC" w:rsidR="00D02898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2CA7FE0F" w14:textId="77777777" w:rsidR="003E21C2" w:rsidRPr="00353723" w:rsidRDefault="003E21C2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Výklad pojmů</w:t>
      </w:r>
    </w:p>
    <w:p w14:paraId="57D52B03" w14:textId="77777777" w:rsidR="003B213E" w:rsidRPr="00353723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5" w14:textId="5C16F093" w:rsidR="00570887" w:rsidRPr="00353723" w:rsidRDefault="00A97AE5" w:rsidP="003E1FD4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617062C1" w14:textId="77777777" w:rsid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49E5C5EE" w:rsidR="009A61B3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023754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023754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023754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023754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023754">
        <w:rPr>
          <w:rFonts w:ascii="Arial" w:hAnsi="Arial" w:cs="Arial"/>
          <w:b w:val="0"/>
          <w:sz w:val="22"/>
          <w:szCs w:val="22"/>
        </w:rPr>
        <w:t xml:space="preserve">pro poskytování dotace </w:t>
      </w:r>
      <w:r w:rsidR="00023754">
        <w:rPr>
          <w:rFonts w:ascii="Arial" w:hAnsi="Arial" w:cs="Arial"/>
          <w:b w:val="0"/>
          <w:sz w:val="22"/>
          <w:szCs w:val="22"/>
        </w:rPr>
        <w:t xml:space="preserve">dle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0" w14:textId="2522FA37" w:rsidR="00570887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subdodavatel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6" w14:textId="2FF6F6CC" w:rsidR="00CC4D51" w:rsidRP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7" w14:textId="2B646FFC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 xml:space="preserve">kterými se stanovují podmínky pro poskytování dotace na projekty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  <w:r w:rsidR="00023754">
        <w:rPr>
          <w:rFonts w:ascii="Arial" w:hAnsi="Arial" w:cs="Arial"/>
          <w:b w:val="0"/>
          <w:sz w:val="22"/>
          <w:szCs w:val="22"/>
        </w:rPr>
        <w:t xml:space="preserve"> </w:t>
      </w:r>
      <w:r w:rsidR="00E8577E" w:rsidRPr="00023754">
        <w:rPr>
          <w:rFonts w:ascii="Arial" w:hAnsi="Arial" w:cs="Arial"/>
          <w:b w:val="0"/>
          <w:sz w:val="22"/>
          <w:szCs w:val="22"/>
        </w:rPr>
        <w:t>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kontrahováni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5BED1B02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15B44460" w14:textId="02E1A27B" w:rsidR="00406941" w:rsidRPr="00023754" w:rsidRDefault="00E15C3C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lastRenderedPageBreak/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E44932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E44932">
        <w:rPr>
          <w:rFonts w:ascii="Arial" w:hAnsi="Arial" w:cs="Arial"/>
          <w:b w:val="0"/>
          <w:bCs/>
          <w:sz w:val="22"/>
          <w:szCs w:val="22"/>
          <w:highlight w:val="yellow"/>
        </w:rPr>
        <w:t>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>,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2EE7C84" w14:textId="78CB09B4" w:rsidR="00062BE3" w:rsidRDefault="00B35C0F" w:rsidP="00B90938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 xml:space="preserve">Konkrétně se jedná o předmět smlouvy – </w:t>
      </w:r>
      <w:r w:rsidRPr="00353723">
        <w:rPr>
          <w:rFonts w:ascii="Arial" w:hAnsi="Arial" w:cs="Arial"/>
          <w:b w:val="0"/>
          <w:sz w:val="22"/>
          <w:szCs w:val="22"/>
        </w:rPr>
        <w:t>souhrnně 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64FEEB3B" w14:textId="77777777" w:rsidR="00B90938" w:rsidRPr="00DF0B1A" w:rsidRDefault="00B90938" w:rsidP="00B9093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D6AE310" w14:textId="4A2D7015" w:rsidR="00B61C02" w:rsidRPr="00DF0B1A" w:rsidRDefault="00DF0B1A" w:rsidP="00244A9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F0B1A">
        <w:rPr>
          <w:rFonts w:ascii="Arial" w:hAnsi="Arial" w:cs="Arial"/>
          <w:bCs/>
          <w:color w:val="000000"/>
          <w:sz w:val="22"/>
          <w:szCs w:val="22"/>
        </w:rPr>
        <w:t>Vyvážecí vlek</w:t>
      </w:r>
    </w:p>
    <w:p w14:paraId="4C31A67A" w14:textId="77777777" w:rsidR="00DF0B1A" w:rsidRPr="00DF0B1A" w:rsidRDefault="00DF0B1A" w:rsidP="00244A9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15ABA182" w14:textId="199218CB" w:rsidR="00E44932" w:rsidRDefault="00B61C02" w:rsidP="00B61C02">
      <w:pPr>
        <w:widowControl/>
        <w:spacing w:before="60" w:after="60" w:line="276" w:lineRule="auto"/>
        <w:contextualSpacing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B61C02">
        <w:rPr>
          <w:rFonts w:ascii="Arial" w:hAnsi="Arial" w:cs="Arial"/>
          <w:bCs/>
          <w:color w:val="000000"/>
          <w:sz w:val="22"/>
          <w:szCs w:val="22"/>
        </w:rPr>
        <w:t xml:space="preserve">        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p</w:t>
      </w:r>
      <w:r w:rsidRPr="00B61C02">
        <w:rPr>
          <w:rFonts w:ascii="Arial" w:hAnsi="Arial" w:cs="Arial"/>
          <w:b w:val="0"/>
          <w:bCs/>
          <w:color w:val="000000"/>
          <w:sz w:val="22"/>
          <w:szCs w:val="22"/>
        </w:rPr>
        <w:t xml:space="preserve">ořizovaný v rámci </w:t>
      </w:r>
      <w:r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projektu s</w:t>
      </w:r>
      <w:r w:rsidR="00E44932">
        <w:rPr>
          <w:rFonts w:ascii="Arial" w:hAnsi="Arial" w:cs="Arial"/>
          <w:b w:val="0"/>
          <w:bCs/>
          <w:color w:val="000000"/>
          <w:sz w:val="22"/>
          <w:szCs w:val="22"/>
        </w:rPr>
        <w:t> 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názvem</w:t>
      </w:r>
    </w:p>
    <w:p w14:paraId="1B3E875A" w14:textId="5504011D" w:rsidR="00B61C02" w:rsidRDefault="00B61C02" w:rsidP="00B61C02">
      <w:pPr>
        <w:widowControl/>
        <w:spacing w:before="60" w:after="60" w:line="276" w:lineRule="auto"/>
        <w:contextualSpacing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  </w:t>
      </w:r>
    </w:p>
    <w:p w14:paraId="685024A2" w14:textId="6B48E96E" w:rsidR="00B90938" w:rsidRDefault="00DF0B1A" w:rsidP="00B90938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</w:t>
      </w:r>
      <w:r w:rsidRPr="00DF0B1A">
        <w:rPr>
          <w:rFonts w:ascii="Arial" w:hAnsi="Arial" w:cs="Arial"/>
          <w:bCs/>
          <w:color w:val="000000"/>
          <w:sz w:val="22"/>
          <w:szCs w:val="22"/>
        </w:rPr>
        <w:t>Investice do technologie pro hospodaření v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DF0B1A">
        <w:rPr>
          <w:rFonts w:ascii="Arial" w:hAnsi="Arial" w:cs="Arial"/>
          <w:bCs/>
          <w:color w:val="000000"/>
          <w:sz w:val="22"/>
          <w:szCs w:val="22"/>
        </w:rPr>
        <w:t>lesích</w:t>
      </w:r>
    </w:p>
    <w:p w14:paraId="5407B4DD" w14:textId="77777777" w:rsidR="00DF0B1A" w:rsidRPr="00353723" w:rsidRDefault="00DF0B1A" w:rsidP="00B9093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B90938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B90938">
        <w:rPr>
          <w:rFonts w:ascii="Arial" w:hAnsi="Arial" w:cs="Arial"/>
          <w:b w:val="0"/>
          <w:bCs/>
          <w:sz w:val="22"/>
          <w:szCs w:val="22"/>
          <w:highlight w:val="yellow"/>
        </w:rPr>
        <w:t>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777777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41596475" w14:textId="77777777" w:rsidR="00DB1724" w:rsidRDefault="00665205" w:rsidP="00656B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sz w:val="22"/>
          <w:szCs w:val="22"/>
        </w:rPr>
      </w:pPr>
      <w:r w:rsidRPr="00DB1724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DB1724">
        <w:rPr>
          <w:rFonts w:ascii="Arial" w:hAnsi="Arial" w:cs="Arial"/>
          <w:b w:val="0"/>
          <w:sz w:val="22"/>
          <w:szCs w:val="22"/>
        </w:rPr>
        <w:t xml:space="preserve"> v</w:t>
      </w:r>
      <w:r w:rsidRPr="00DB1724">
        <w:rPr>
          <w:rFonts w:ascii="Arial" w:hAnsi="Arial" w:cs="Arial"/>
          <w:b w:val="0"/>
          <w:sz w:val="22"/>
          <w:szCs w:val="22"/>
        </w:rPr>
        <w:t> </w:t>
      </w:r>
      <w:r w:rsidR="00D02898" w:rsidRPr="00DB1724">
        <w:rPr>
          <w:rFonts w:ascii="Arial" w:hAnsi="Arial" w:cs="Arial"/>
          <w:b w:val="0"/>
          <w:sz w:val="22"/>
          <w:szCs w:val="22"/>
        </w:rPr>
        <w:t>rozsahu</w:t>
      </w:r>
      <w:r w:rsidRPr="00DB1724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DB1724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DB1724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1D6FA928" w14:textId="77777777" w:rsidR="00DB1724" w:rsidRPr="00DB1724" w:rsidRDefault="00DB1724" w:rsidP="00DB1724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6F87229F" w14:textId="14B61D93" w:rsidR="005F4D92" w:rsidRPr="00DB1724" w:rsidRDefault="005F4D92" w:rsidP="00656B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sz w:val="22"/>
          <w:szCs w:val="22"/>
        </w:rPr>
      </w:pPr>
      <w:r w:rsidRPr="00DB1724">
        <w:rPr>
          <w:rFonts w:ascii="Arial" w:hAnsi="Arial" w:cs="Arial"/>
          <w:b w:val="0"/>
          <w:sz w:val="22"/>
          <w:szCs w:val="22"/>
        </w:rPr>
        <w:t xml:space="preserve">Místem dodání je areál společnosti </w:t>
      </w:r>
      <w:r w:rsidR="00B90938" w:rsidRPr="00DB1724">
        <w:rPr>
          <w:rFonts w:ascii="Arial" w:hAnsi="Arial" w:cs="Arial"/>
          <w:b w:val="0"/>
          <w:sz w:val="22"/>
          <w:szCs w:val="22"/>
        </w:rPr>
        <w:t>AGRO - Měřín, a.s.</w:t>
      </w:r>
      <w:r w:rsidR="00596BB1">
        <w:rPr>
          <w:rFonts w:ascii="Arial" w:hAnsi="Arial" w:cs="Arial"/>
          <w:b w:val="0"/>
          <w:sz w:val="22"/>
          <w:szCs w:val="22"/>
        </w:rPr>
        <w:t>,</w:t>
      </w:r>
      <w:r w:rsidR="00B90938" w:rsidRPr="00DB1724">
        <w:rPr>
          <w:rFonts w:ascii="Arial" w:hAnsi="Arial" w:cs="Arial"/>
          <w:b w:val="0"/>
          <w:sz w:val="22"/>
          <w:szCs w:val="22"/>
        </w:rPr>
        <w:t xml:space="preserve"> konkrétně středisko </w:t>
      </w:r>
      <w:r w:rsidR="00596BB1">
        <w:rPr>
          <w:rFonts w:ascii="Arial" w:hAnsi="Arial" w:cs="Arial"/>
          <w:b w:val="0"/>
          <w:sz w:val="22"/>
          <w:szCs w:val="22"/>
        </w:rPr>
        <w:t>Rudoltice</w:t>
      </w:r>
      <w:r w:rsidR="00B90938" w:rsidRPr="00DB1724">
        <w:rPr>
          <w:rFonts w:ascii="Arial" w:hAnsi="Arial" w:cs="Arial"/>
          <w:b w:val="0"/>
          <w:sz w:val="22"/>
          <w:szCs w:val="22"/>
        </w:rPr>
        <w:t>.</w:t>
      </w:r>
    </w:p>
    <w:p w14:paraId="4F58D71B" w14:textId="2E481B88" w:rsidR="003E21C2" w:rsidRPr="005F4D92" w:rsidRDefault="003E21C2" w:rsidP="005F4D92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7D52B3D" w14:textId="1E40F75C" w:rsidR="003028B0" w:rsidRPr="00D855FC" w:rsidRDefault="003028B0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1C9A719D" w:rsidR="00317451" w:rsidRPr="00353723" w:rsidRDefault="00F92AF3" w:rsidP="00BB7363">
      <w:pPr>
        <w:pStyle w:val="Nadpis9"/>
        <w:numPr>
          <w:ilvl w:val="1"/>
          <w:numId w:val="6"/>
        </w:numPr>
        <w:tabs>
          <w:tab w:val="clear" w:pos="720"/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>v termínu do:</w:t>
      </w:r>
      <w:r w:rsidRPr="0002480C">
        <w:rPr>
          <w:rFonts w:cs="Arial"/>
          <w:b w:val="0"/>
          <w:sz w:val="22"/>
          <w:szCs w:val="22"/>
          <w:highlight w:val="yellow"/>
          <w:u w:val="none"/>
        </w:rPr>
        <w:t>……………</w:t>
      </w:r>
    </w:p>
    <w:p w14:paraId="57D52B43" w14:textId="7C09D752" w:rsidR="00317451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20965A0E" w14:textId="77777777" w:rsidR="00E44932" w:rsidRPr="00353723" w:rsidRDefault="00E44932" w:rsidP="00317451">
      <w:pPr>
        <w:pStyle w:val="Odstavecseseznamem"/>
        <w:rPr>
          <w:rFonts w:ascii="Arial" w:hAnsi="Arial" w:cs="Arial"/>
          <w:sz w:val="22"/>
          <w:szCs w:val="22"/>
        </w:rPr>
      </w:pP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35B7F99C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instalace 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……………,-</w:t>
      </w:r>
      <w:r w:rsidR="00B90938">
        <w:rPr>
          <w:rFonts w:cs="Arial"/>
          <w:b w:val="0"/>
          <w:bCs/>
          <w:sz w:val="22"/>
          <w:szCs w:val="22"/>
          <w:u w:val="none"/>
          <w:shd w:val="clear" w:color="auto" w:fill="FFFF00"/>
        </w:rPr>
        <w:t xml:space="preserve"> (</w:t>
      </w:r>
      <w:r w:rsidR="00B90938" w:rsidRPr="00B90938">
        <w:rPr>
          <w:rFonts w:cs="Arial"/>
          <w:b w:val="0"/>
          <w:bCs/>
          <w:i/>
          <w:iCs/>
          <w:sz w:val="22"/>
          <w:szCs w:val="22"/>
          <w:u w:val="none"/>
          <w:shd w:val="clear" w:color="auto" w:fill="FFFF00"/>
        </w:rPr>
        <w:t>měna</w:t>
      </w:r>
      <w:r w:rsidR="00B90938">
        <w:rPr>
          <w:rFonts w:cs="Arial"/>
          <w:b w:val="0"/>
          <w:bCs/>
          <w:sz w:val="22"/>
          <w:szCs w:val="22"/>
          <w:u w:val="none"/>
          <w:shd w:val="clear" w:color="auto" w:fill="FFFF00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(slovy:  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…………………..</w:t>
      </w:r>
      <w:r w:rsidR="00B90938">
        <w:rPr>
          <w:rFonts w:cs="Arial"/>
          <w:b w:val="0"/>
          <w:bCs/>
          <w:sz w:val="22"/>
          <w:szCs w:val="22"/>
          <w:u w:val="none"/>
        </w:rPr>
        <w:t>(</w:t>
      </w:r>
      <w:r w:rsidR="00B90938" w:rsidRPr="00B90938">
        <w:rPr>
          <w:rFonts w:cs="Arial"/>
          <w:b w:val="0"/>
          <w:bCs/>
          <w:i/>
          <w:iCs/>
          <w:sz w:val="22"/>
          <w:szCs w:val="22"/>
          <w:highlight w:val="yellow"/>
          <w:u w:val="none"/>
        </w:rPr>
        <w:t>měna</w:t>
      </w:r>
      <w:r w:rsidR="00B90938">
        <w:rPr>
          <w:rFonts w:cs="Arial"/>
          <w:b w:val="0"/>
          <w:bCs/>
          <w:sz w:val="22"/>
          <w:szCs w:val="22"/>
          <w:u w:val="none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>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348899B2" w14:textId="08396AD6" w:rsidR="008C758F" w:rsidRP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Kupující se zavazuje uhradit kupní cenu specifikovanou v článku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V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 odst.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5</w:t>
      </w:r>
      <w:r w:rsidRPr="00175690">
        <w:rPr>
          <w:rFonts w:cs="Arial"/>
          <w:b w:val="0"/>
          <w:bCs/>
          <w:sz w:val="22"/>
          <w:szCs w:val="22"/>
          <w:u w:val="none"/>
        </w:rPr>
        <w:t>.1 této smlouvy</w:t>
      </w:r>
      <w:r w:rsidR="00891DA2">
        <w:rPr>
          <w:rFonts w:cs="Arial"/>
          <w:b w:val="0"/>
          <w:bCs/>
          <w:sz w:val="22"/>
          <w:szCs w:val="22"/>
          <w:u w:val="none"/>
        </w:rPr>
        <w:t xml:space="preserve"> nebo </w:t>
      </w:r>
      <w:r w:rsidR="006B6F67">
        <w:rPr>
          <w:rFonts w:cs="Arial"/>
          <w:b w:val="0"/>
          <w:bCs/>
          <w:sz w:val="22"/>
          <w:szCs w:val="22"/>
          <w:u w:val="none"/>
        </w:rPr>
        <w:t>p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rodávajícímu na základě faktury, kterou je prodávající oprávněn kupujícímu vystavit po předání a převzetí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předmětu smlouvy</w:t>
      </w:r>
      <w:r w:rsidR="00123F46">
        <w:rPr>
          <w:rFonts w:cs="Arial"/>
          <w:b w:val="0"/>
          <w:bCs/>
          <w:sz w:val="22"/>
          <w:szCs w:val="22"/>
          <w:u w:val="none"/>
        </w:rPr>
        <w:t xml:space="preserve">, popřípadě jeho funkční části,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jeho instalovaní a zaškolení určených zaměstnanců kupujícího, a to na základě písemného předávacího protokolu, který bude podepsán oběma smluvními stranami a nebude obsahovat ze strany kupujícího žádné vytknuté vady. </w:t>
      </w:r>
    </w:p>
    <w:p w14:paraId="777D217F" w14:textId="231F70DC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156E3A29" w:rsidR="0084368C" w:rsidRPr="00E44932" w:rsidRDefault="008C758F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Faktura musí obsahovat všechny náležitosti dle příslušných právních předpisů. Splatnost</w:t>
      </w:r>
      <w:r w:rsidR="0084368C" w:rsidRPr="00E44932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faktury je stanovena 30 dnů od jejího </w:t>
      </w:r>
      <w:r w:rsidR="0084368C" w:rsidRPr="00E44932">
        <w:rPr>
          <w:rFonts w:cs="Arial"/>
          <w:b w:val="0"/>
          <w:bCs/>
          <w:sz w:val="22"/>
          <w:szCs w:val="22"/>
          <w:u w:val="none"/>
        </w:rPr>
        <w:t>doručení</w:t>
      </w:r>
      <w:r w:rsidRPr="00E44932">
        <w:rPr>
          <w:rFonts w:cs="Arial"/>
          <w:b w:val="0"/>
          <w:bCs/>
          <w:sz w:val="22"/>
          <w:szCs w:val="22"/>
          <w:u w:val="none"/>
        </w:rPr>
        <w:t>.</w:t>
      </w:r>
      <w:r w:rsidR="0084368C" w:rsidRPr="00E44932">
        <w:rPr>
          <w:rFonts w:cs="Arial"/>
          <w:b w:val="0"/>
          <w:bCs/>
          <w:sz w:val="22"/>
          <w:szCs w:val="22"/>
          <w:u w:val="none"/>
        </w:rPr>
        <w:t xml:space="preserve"> Daňové doklady budou předkládány kupujícímu v listinné podobě v počtu 3 stejnopisů. Přílohou daňového dokladu bude předávací protokol. </w:t>
      </w:r>
    </w:p>
    <w:p w14:paraId="57D52B52" w14:textId="77777777" w:rsidR="00D02898" w:rsidRPr="00E44932" w:rsidRDefault="00D02898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57D52B53" w14:textId="1A79A1FC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Rozpis ceny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353723">
        <w:rPr>
          <w:rFonts w:cs="Arial"/>
          <w:b w:val="0"/>
          <w:sz w:val="22"/>
          <w:szCs w:val="22"/>
          <w:u w:val="none"/>
        </w:rPr>
        <w:t>v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353723">
        <w:rPr>
          <w:rFonts w:cs="Arial"/>
          <w:b w:val="0"/>
          <w:sz w:val="22"/>
          <w:szCs w:val="22"/>
          <w:u w:val="none"/>
        </w:rPr>
        <w:t>příloze</w:t>
      </w:r>
      <w:r w:rsidR="00502340" w:rsidRPr="00353723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353723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353723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353723">
        <w:rPr>
          <w:rFonts w:cs="Arial"/>
          <w:b w:val="0"/>
          <w:sz w:val="22"/>
          <w:szCs w:val="22"/>
          <w:u w:val="none"/>
        </w:rPr>
        <w:t> dodávkou. Rozpis bude sloužit pro účely: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54" w14:textId="0B5FD43F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- fakturace</w:t>
      </w:r>
      <w:r w:rsidR="00E44932">
        <w:rPr>
          <w:rFonts w:cs="Arial"/>
          <w:b w:val="0"/>
          <w:sz w:val="22"/>
          <w:szCs w:val="22"/>
          <w:u w:val="none"/>
        </w:rPr>
        <w:t>.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0A6CFE70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</w:t>
      </w:r>
      <w:r w:rsidR="005B6E11">
        <w:rPr>
          <w:rFonts w:cs="Arial"/>
          <w:b w:val="0"/>
          <w:sz w:val="22"/>
          <w:szCs w:val="22"/>
          <w:u w:val="none"/>
        </w:rPr>
        <w:t xml:space="preserve">nebo na jejich přílohách </w:t>
      </w:r>
      <w:r w:rsidR="00927E82" w:rsidRPr="00353723">
        <w:rPr>
          <w:rFonts w:cs="Arial"/>
          <w:b w:val="0"/>
          <w:sz w:val="22"/>
          <w:szCs w:val="22"/>
          <w:u w:val="none"/>
        </w:rPr>
        <w:t>členěny způsobem</w:t>
      </w:r>
      <w:r w:rsidR="005B6E11">
        <w:rPr>
          <w:rFonts w:cs="Arial"/>
          <w:b w:val="0"/>
          <w:sz w:val="22"/>
          <w:szCs w:val="22"/>
          <w:u w:val="none"/>
        </w:rPr>
        <w:t xml:space="preserve"> dle aktuálních Specifických podmínek pro poskytování dotace na základě Strategického plánu SZP na období 2023 – 2027, platných pro příslušné kolo příjmu žádostí. Toto členění </w:t>
      </w:r>
      <w:r w:rsidR="00927E82" w:rsidRPr="00353723">
        <w:rPr>
          <w:rFonts w:cs="Arial"/>
          <w:b w:val="0"/>
          <w:sz w:val="22"/>
          <w:szCs w:val="22"/>
          <w:u w:val="none"/>
        </w:rPr>
        <w:t>umožní zařazení jednotlivých položek</w:t>
      </w:r>
      <w:r w:rsidR="005B6E11">
        <w:rPr>
          <w:rFonts w:cs="Arial"/>
          <w:b w:val="0"/>
          <w:sz w:val="22"/>
          <w:szCs w:val="22"/>
          <w:u w:val="none"/>
        </w:rPr>
        <w:t xml:space="preserve"> do 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C" w14:textId="77777777" w:rsidR="009B77A4" w:rsidRPr="00353723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</w:t>
      </w:r>
      <w:r w:rsidR="002A34CF" w:rsidRPr="00353723">
        <w:rPr>
          <w:rFonts w:cs="Arial"/>
          <w:b w:val="0"/>
          <w:sz w:val="22"/>
          <w:szCs w:val="22"/>
          <w:u w:val="none"/>
        </w:rPr>
        <w:lastRenderedPageBreak/>
        <w:t xml:space="preserve">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2E0CE205" w14:textId="77777777" w:rsidR="003E21C2" w:rsidRPr="00353723" w:rsidRDefault="003E21C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Dodáním předmětu smlouvy uskutečněn</w:t>
      </w:r>
      <w:r w:rsidR="00CF3E48" w:rsidRPr="00E44932">
        <w:rPr>
          <w:rFonts w:cs="Arial"/>
          <w:b w:val="0"/>
          <w:bCs/>
          <w:sz w:val="22"/>
          <w:szCs w:val="22"/>
          <w:u w:val="none"/>
        </w:rPr>
        <w:t>ým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E44932" w:rsidRDefault="00AA47D1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175C5ABF" w14:textId="77777777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E44932" w:rsidRDefault="00AA47D1" w:rsidP="00E44932">
      <w:pPr>
        <w:pStyle w:val="Nadpis9"/>
        <w:keepNext w:val="0"/>
        <w:ind w:left="-11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1CEEA6B5" w14:textId="0F221DEB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 xml:space="preserve">Instalace předmětu smlouvy (uvedení do provozu) bude provedena po dodání předmětu smlouvy v provozovně kupujícího nejpozději do </w:t>
      </w:r>
      <w:r w:rsidR="003221C9"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…….</w:t>
      </w:r>
      <w:r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…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pracovních dnů od dodání. </w:t>
      </w:r>
    </w:p>
    <w:p w14:paraId="0A7E226F" w14:textId="77777777" w:rsidR="00AA47D1" w:rsidRPr="00E44932" w:rsidRDefault="00AA47D1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3E95C433" w14:textId="67300537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Instalace, uvedení předmětu smlouvy do provozu a odpovídající zaškolení určeného personálu kupujícího musí být provedeno výlučně te</w:t>
      </w:r>
      <w:r w:rsidR="00DF0B1A">
        <w:rPr>
          <w:rFonts w:cs="Arial"/>
          <w:b w:val="0"/>
          <w:bCs/>
          <w:sz w:val="22"/>
          <w:szCs w:val="22"/>
          <w:u w:val="none"/>
        </w:rPr>
        <w:t>c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hnickými pracovníky prodávajícího, o čemž bude sepsán písemný protokol. </w:t>
      </w:r>
    </w:p>
    <w:p w14:paraId="12949B37" w14:textId="77777777" w:rsidR="00AA47D1" w:rsidRPr="00E44932" w:rsidRDefault="00AA47D1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3037B241" w14:textId="7A788747" w:rsidR="00E90065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 xml:space="preserve">Den uvedení předmětu smlouvu do provozu je počátkem běhu </w:t>
      </w:r>
      <w:r w:rsidR="00E66A41"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…..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měsíční záruční doby</w:t>
      </w:r>
      <w:r w:rsidR="003E1A62" w:rsidRPr="00E44932">
        <w:rPr>
          <w:rFonts w:cs="Arial"/>
          <w:b w:val="0"/>
          <w:bCs/>
          <w:sz w:val="22"/>
          <w:szCs w:val="22"/>
          <w:u w:val="none"/>
        </w:rPr>
        <w:t xml:space="preserve">. 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Prodávající a kupující jsou povinni potvrdit datum uvedení předmětu smlouvy do provozu do předávacího protokolu, jakožto i do záručního listu. </w:t>
      </w:r>
    </w:p>
    <w:p w14:paraId="63BE3D1B" w14:textId="77777777" w:rsidR="00E90065" w:rsidRPr="00E44932" w:rsidRDefault="00E90065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57D52BBF" w14:textId="571409D5" w:rsidR="00213D00" w:rsidRPr="00E44932" w:rsidRDefault="00213D00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V p</w:t>
      </w:r>
      <w:r w:rsidR="00161B86" w:rsidRPr="00E44932">
        <w:rPr>
          <w:rFonts w:cs="Arial"/>
          <w:b w:val="0"/>
          <w:bCs/>
          <w:sz w:val="22"/>
          <w:szCs w:val="22"/>
          <w:u w:val="none"/>
        </w:rPr>
        <w:t xml:space="preserve">řípadě, že při přejímání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 xml:space="preserve">předmět smlouvy vykazuje </w:t>
      </w:r>
      <w:r w:rsidR="009B129A" w:rsidRPr="00E44932">
        <w:rPr>
          <w:rFonts w:cs="Arial"/>
          <w:b w:val="0"/>
          <w:bCs/>
          <w:sz w:val="22"/>
          <w:szCs w:val="22"/>
          <w:u w:val="none"/>
        </w:rPr>
        <w:t xml:space="preserve">takové </w:t>
      </w:r>
      <w:r w:rsidRPr="00E44932">
        <w:rPr>
          <w:rFonts w:cs="Arial"/>
          <w:b w:val="0"/>
          <w:bCs/>
          <w:sz w:val="22"/>
          <w:szCs w:val="22"/>
          <w:u w:val="none"/>
        </w:rPr>
        <w:t>vady a/nebo nedodělky</w:t>
      </w:r>
      <w:r w:rsidR="009B129A" w:rsidRPr="00E44932">
        <w:rPr>
          <w:rFonts w:cs="Arial"/>
          <w:b w:val="0"/>
          <w:bCs/>
          <w:sz w:val="22"/>
          <w:szCs w:val="22"/>
          <w:u w:val="none"/>
        </w:rPr>
        <w:t>, které brání řádnému užívání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, </w:t>
      </w:r>
      <w:r w:rsidRPr="00E44932">
        <w:rPr>
          <w:rFonts w:cs="Arial"/>
          <w:b w:val="0"/>
          <w:bCs/>
          <w:sz w:val="22"/>
          <w:szCs w:val="22"/>
          <w:u w:val="none"/>
        </w:rPr>
        <w:t>n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ení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kupující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 povinen pře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dmět smlouvy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převzít. Tato skutečnost bude uvedena v předávacím protokole. Po odstranění vad</w:t>
      </w:r>
      <w:r w:rsidR="00DA5275" w:rsidRPr="00E44932">
        <w:rPr>
          <w:rFonts w:cs="Arial"/>
          <w:b w:val="0"/>
          <w:bCs/>
          <w:sz w:val="22"/>
          <w:szCs w:val="22"/>
          <w:u w:val="none"/>
        </w:rPr>
        <w:t>,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pro které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kupující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 odmítl od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prodávajícího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předmět smlouvy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>terém bude uvedeno převzetí dodávky</w:t>
      </w:r>
      <w:r w:rsidRPr="00E44932">
        <w:rPr>
          <w:rFonts w:cs="Arial"/>
          <w:b w:val="0"/>
          <w:bCs/>
          <w:sz w:val="22"/>
          <w:szCs w:val="22"/>
          <w:u w:val="none"/>
        </w:rPr>
        <w:t>. Dodatek obsahuje veškeré náležitosti stanovené pro předávací protokol v tomto článku smlouvy.</w:t>
      </w:r>
    </w:p>
    <w:p w14:paraId="57D52BC0" w14:textId="77777777" w:rsidR="00213D00" w:rsidRPr="00E44932" w:rsidRDefault="00213D00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57D52BC1" w14:textId="679CA00C" w:rsidR="00213D00" w:rsidRDefault="00B94AD2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7EB4E032" w14:textId="77777777" w:rsidR="00E44932" w:rsidRPr="00E44932" w:rsidRDefault="00E44932" w:rsidP="00E44932"/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3F47B0F5" w:rsidR="00C10922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C5C8A5C" w14:textId="77777777" w:rsidR="003E21C2" w:rsidRPr="00353723" w:rsidRDefault="003E21C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41A22762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02480C" w:rsidRPr="0002480C">
        <w:rPr>
          <w:rFonts w:cs="Arial"/>
          <w:b w:val="0"/>
          <w:sz w:val="22"/>
          <w:szCs w:val="22"/>
          <w:highlight w:val="yellow"/>
          <w:u w:val="none"/>
        </w:rPr>
        <w:t>….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</w:t>
      </w:r>
      <w:r w:rsidR="003E1A62">
        <w:rPr>
          <w:rFonts w:cs="Arial"/>
          <w:b w:val="0"/>
          <w:sz w:val="22"/>
          <w:szCs w:val="22"/>
          <w:u w:val="none"/>
        </w:rPr>
        <w:t>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49F8DFD5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</w:t>
      </w:r>
      <w:r w:rsidRPr="0002480C">
        <w:rPr>
          <w:rFonts w:cs="Arial"/>
          <w:b w:val="0"/>
          <w:sz w:val="22"/>
          <w:szCs w:val="22"/>
          <w:highlight w:val="yellow"/>
          <w:u w:val="none"/>
        </w:rPr>
        <w:t>……………….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 případě prodlení s úhradou faktur - daňových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>sjednávají smluvní 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E44932">
      <w:pPr>
        <w:pStyle w:val="Nadpis9"/>
        <w:keepNext w:val="0"/>
        <w:numPr>
          <w:ilvl w:val="1"/>
          <w:numId w:val="6"/>
        </w:numPr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6DD0C732" w14:textId="28F75CC8" w:rsidR="00E44932" w:rsidRDefault="00572A2E" w:rsidP="00E4493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4AF3116" w14:textId="77777777" w:rsidR="00E44932" w:rsidRPr="00E44932" w:rsidRDefault="00E44932" w:rsidP="00E44932"/>
    <w:p w14:paraId="4BDBC8AB" w14:textId="7D76BDE6" w:rsidR="00956F2C" w:rsidRPr="00E44932" w:rsidRDefault="00956F2C" w:rsidP="00E44932">
      <w:pPr>
        <w:pStyle w:val="Nadpis9"/>
        <w:keepNext w:val="0"/>
        <w:numPr>
          <w:ilvl w:val="1"/>
          <w:numId w:val="6"/>
        </w:numPr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E44932">
        <w:rPr>
          <w:rFonts w:cs="Arial"/>
          <w:b w:val="0"/>
          <w:sz w:val="22"/>
          <w:szCs w:val="22"/>
          <w:u w:val="none"/>
        </w:rPr>
        <w:t xml:space="preserve">Uplatněné smluvní pokuty se nezapočítávají na </w:t>
      </w:r>
      <w:r w:rsidR="00D97355" w:rsidRPr="00E44932">
        <w:rPr>
          <w:rFonts w:cs="Arial"/>
          <w:b w:val="0"/>
          <w:sz w:val="22"/>
          <w:szCs w:val="22"/>
          <w:u w:val="none"/>
        </w:rPr>
        <w:t>ná</w:t>
      </w:r>
      <w:r w:rsidRPr="00E44932">
        <w:rPr>
          <w:rFonts w:cs="Arial"/>
          <w:b w:val="0"/>
          <w:sz w:val="22"/>
          <w:szCs w:val="22"/>
          <w:u w:val="none"/>
        </w:rPr>
        <w:t>hradu škody, tímto se strany</w:t>
      </w:r>
      <w:r w:rsidR="00E44932" w:rsidRPr="00E44932">
        <w:rPr>
          <w:rFonts w:cs="Arial"/>
          <w:b w:val="0"/>
          <w:sz w:val="22"/>
          <w:szCs w:val="22"/>
          <w:u w:val="none"/>
        </w:rPr>
        <w:t xml:space="preserve"> </w:t>
      </w:r>
      <w:r w:rsidRPr="00E44932">
        <w:rPr>
          <w:rFonts w:cs="Arial"/>
          <w:b w:val="0"/>
          <w:sz w:val="22"/>
          <w:szCs w:val="22"/>
          <w:u w:val="none"/>
        </w:rPr>
        <w:t>výslovně odchylují od ustanovení § 2050 občanského zákoníku.</w:t>
      </w:r>
    </w:p>
    <w:p w14:paraId="57D52BE8" w14:textId="77777777" w:rsidR="00C62CB3" w:rsidRPr="00E44932" w:rsidRDefault="00C62CB3" w:rsidP="00E44932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29994B8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  <w:r w:rsidR="00596BB1">
        <w:rPr>
          <w:rFonts w:ascii="Arial" w:hAnsi="Arial" w:cs="Arial"/>
          <w:b w:val="0"/>
          <w:sz w:val="22"/>
          <w:szCs w:val="22"/>
        </w:rPr>
        <w:t>.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7896FC8F" w:rsidR="005325CD" w:rsidRPr="00353723" w:rsidRDefault="00DB1724" w:rsidP="00E44932">
      <w:pPr>
        <w:pStyle w:val="Nadpis9"/>
        <w:keepNext w:val="0"/>
        <w:numPr>
          <w:ilvl w:val="0"/>
          <w:numId w:val="12"/>
        </w:numPr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>
        <w:rPr>
          <w:rFonts w:cs="Arial"/>
          <w:b w:val="0"/>
          <w:color w:val="000000" w:themeColor="text1"/>
          <w:sz w:val="22"/>
          <w:szCs w:val="22"/>
          <w:u w:val="none"/>
        </w:rPr>
        <w:t>s</w:t>
      </w:r>
      <w:r w:rsidR="00026422" w:rsidRPr="00353723">
        <w:rPr>
          <w:rFonts w:cs="Arial"/>
          <w:b w:val="0"/>
          <w:color w:val="000000" w:themeColor="text1"/>
          <w:sz w:val="22"/>
          <w:szCs w:val="22"/>
          <w:u w:val="none"/>
        </w:rPr>
        <w:t>mlouva</w:t>
      </w:r>
    </w:p>
    <w:p w14:paraId="57D52C04" w14:textId="45586203" w:rsidR="00D02898" w:rsidRPr="00353723" w:rsidRDefault="00D02898" w:rsidP="00857FA6">
      <w:pPr>
        <w:pStyle w:val="Nadpis9"/>
        <w:keepNext w:val="0"/>
        <w:numPr>
          <w:ilvl w:val="0"/>
          <w:numId w:val="12"/>
        </w:numPr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íloha č. 1 – nabídka </w:t>
      </w: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</w:p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7F989B38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A52C8D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 xml:space="preserve">dva stejnopisy a </w:t>
      </w:r>
      <w:r w:rsidR="005F4D92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1EDA5FCE" w:rsidR="00572A2E" w:rsidRDefault="00572A2E" w:rsidP="0035372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3A9A324F" w14:textId="77777777" w:rsidR="00906CC5" w:rsidRPr="00906CC5" w:rsidRDefault="00906CC5" w:rsidP="00906CC5"/>
    <w:p w14:paraId="6B8D3118" w14:textId="77777777" w:rsidR="00906CC5" w:rsidRDefault="00906CC5" w:rsidP="00906CC5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8320E4">
        <w:rPr>
          <w:rFonts w:cs="Arial"/>
          <w:b w:val="0"/>
          <w:bCs/>
          <w:sz w:val="22"/>
          <w:szCs w:val="22"/>
          <w:u w:val="none"/>
        </w:rPr>
        <w:t>Smluvní strany se dohodly, že na tuto smlouvu a veškerá práva a povinnosti z ní vyplývající vylučují aplikaci jakýchkoliv všeobecných obchodních podmínek smluvních stran a obchodní zvyklosti.</w:t>
      </w:r>
    </w:p>
    <w:p w14:paraId="7E3FAAED" w14:textId="77777777" w:rsidR="00906CC5" w:rsidRPr="00906CC5" w:rsidRDefault="00906CC5" w:rsidP="00906CC5"/>
    <w:p w14:paraId="1E3DF3E8" w14:textId="77777777" w:rsidR="00AA147C" w:rsidRDefault="00657E44" w:rsidP="003A45F1">
      <w:pPr>
        <w:rPr>
          <w:rFonts w:ascii="Arial" w:hAnsi="Arial" w:cs="Arial"/>
          <w:b w:val="0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</w:t>
      </w:r>
    </w:p>
    <w:p w14:paraId="0C9721F7" w14:textId="49C2CE58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1E644392" w14:textId="18F5B710" w:rsidR="005F4D92" w:rsidRDefault="006F4D9A" w:rsidP="005F4D92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…………………………..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  <w:r w:rsidR="00E44932">
        <w:rPr>
          <w:rFonts w:ascii="Arial" w:hAnsi="Arial"/>
          <w:b w:val="0"/>
          <w:sz w:val="22"/>
          <w:szCs w:val="22"/>
        </w:rPr>
        <w:t xml:space="preserve">     </w:t>
      </w:r>
      <w:r w:rsidR="005F4D92" w:rsidRPr="005F4D92">
        <w:rPr>
          <w:rFonts w:ascii="Arial" w:hAnsi="Arial"/>
          <w:b w:val="0"/>
          <w:sz w:val="22"/>
          <w:szCs w:val="22"/>
        </w:rPr>
        <w:t xml:space="preserve"> </w:t>
      </w:r>
      <w:r w:rsidR="005F4D92" w:rsidRPr="00A92063">
        <w:rPr>
          <w:rFonts w:ascii="Arial" w:hAnsi="Arial"/>
          <w:b w:val="0"/>
          <w:sz w:val="22"/>
          <w:szCs w:val="22"/>
        </w:rPr>
        <w:t>V ………………………….. dne ………………</w:t>
      </w:r>
    </w:p>
    <w:p w14:paraId="7A74D654" w14:textId="77777777" w:rsidR="00E44932" w:rsidRPr="00A92063" w:rsidRDefault="00E44932" w:rsidP="005F4D92">
      <w:pPr>
        <w:rPr>
          <w:rFonts w:ascii="Arial" w:hAnsi="Arial"/>
          <w:b w:val="0"/>
          <w:sz w:val="22"/>
          <w:szCs w:val="22"/>
        </w:rPr>
      </w:pP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51C15ADF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57D52C13" w14:textId="0289FD70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default" r:id="rId11"/>
      <w:headerReference w:type="first" r:id="rId12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0A47" w14:textId="77777777" w:rsidR="00585796" w:rsidRDefault="00585796">
      <w:r>
        <w:separator/>
      </w:r>
    </w:p>
  </w:endnote>
  <w:endnote w:type="continuationSeparator" w:id="0">
    <w:p w14:paraId="6C2DF0EB" w14:textId="77777777" w:rsidR="00585796" w:rsidRDefault="00585796">
      <w:r>
        <w:continuationSeparator/>
      </w:r>
    </w:p>
  </w:endnote>
  <w:endnote w:type="continuationNotice" w:id="1">
    <w:p w14:paraId="0C773692" w14:textId="77777777" w:rsidR="00585796" w:rsidRDefault="00585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8076" w14:textId="77777777" w:rsidR="00585796" w:rsidRDefault="00585796">
      <w:r>
        <w:separator/>
      </w:r>
    </w:p>
  </w:footnote>
  <w:footnote w:type="continuationSeparator" w:id="0">
    <w:p w14:paraId="600A0408" w14:textId="77777777" w:rsidR="00585796" w:rsidRDefault="00585796">
      <w:r>
        <w:continuationSeparator/>
      </w:r>
    </w:p>
  </w:footnote>
  <w:footnote w:type="continuationNotice" w:id="1">
    <w:p w14:paraId="4FCE3AAF" w14:textId="77777777" w:rsidR="00585796" w:rsidRDefault="00585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3363" w14:textId="77777777" w:rsidR="003E1FD4" w:rsidRDefault="003E1FD4" w:rsidP="009F3DBD">
    <w:pPr>
      <w:pStyle w:val="Zhlav"/>
    </w:pPr>
  </w:p>
  <w:p w14:paraId="4827CDE1" w14:textId="2348C44B" w:rsidR="003E1FD4" w:rsidRDefault="003E1FD4" w:rsidP="009F3DBD">
    <w:pPr>
      <w:pStyle w:val="Zhlav"/>
    </w:pPr>
    <w:r w:rsidRPr="003E1FD4">
      <w:rPr>
        <w:noProof/>
      </w:rPr>
      <w:drawing>
        <wp:inline distT="0" distB="0" distL="0" distR="0" wp14:anchorId="183731C1" wp14:editId="60EB6A38">
          <wp:extent cx="5759450" cy="559435"/>
          <wp:effectExtent l="0" t="0" r="0" b="0"/>
          <wp:docPr id="21286594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7EE55" w14:textId="77777777" w:rsidR="003E1FD4" w:rsidRDefault="003E1FD4" w:rsidP="009F3DBD">
    <w:pPr>
      <w:pStyle w:val="Zhlav"/>
    </w:pPr>
  </w:p>
  <w:p w14:paraId="5F04BA44" w14:textId="77777777" w:rsidR="003E1FD4" w:rsidRDefault="003E1FD4" w:rsidP="009F3DBD">
    <w:pPr>
      <w:pStyle w:val="Zhlav"/>
    </w:pPr>
  </w:p>
  <w:p w14:paraId="3F8AE98F" w14:textId="77777777" w:rsidR="003E1FD4" w:rsidRPr="009F3DBD" w:rsidRDefault="003E1FD4" w:rsidP="009F3D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04FF6113"/>
    <w:multiLevelType w:val="hybridMultilevel"/>
    <w:tmpl w:val="A9B623A0"/>
    <w:lvl w:ilvl="0" w:tplc="D742B3A0">
      <w:start w:val="9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D919FA"/>
    <w:multiLevelType w:val="hybridMultilevel"/>
    <w:tmpl w:val="81AE6C5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5EF4"/>
    <w:rsid w:val="0001200E"/>
    <w:rsid w:val="000153A4"/>
    <w:rsid w:val="00023754"/>
    <w:rsid w:val="0002480C"/>
    <w:rsid w:val="00026422"/>
    <w:rsid w:val="0002728B"/>
    <w:rsid w:val="000307F1"/>
    <w:rsid w:val="0003387B"/>
    <w:rsid w:val="00044931"/>
    <w:rsid w:val="0004581C"/>
    <w:rsid w:val="00062BE3"/>
    <w:rsid w:val="00084BD8"/>
    <w:rsid w:val="00085B4C"/>
    <w:rsid w:val="00090F70"/>
    <w:rsid w:val="00092BBA"/>
    <w:rsid w:val="00094ABF"/>
    <w:rsid w:val="000A19CA"/>
    <w:rsid w:val="000B21FF"/>
    <w:rsid w:val="000B5947"/>
    <w:rsid w:val="000F322D"/>
    <w:rsid w:val="001053EB"/>
    <w:rsid w:val="00123F46"/>
    <w:rsid w:val="00134B9A"/>
    <w:rsid w:val="001452AB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356"/>
    <w:rsid w:val="00200E29"/>
    <w:rsid w:val="00202448"/>
    <w:rsid w:val="00202483"/>
    <w:rsid w:val="00213D00"/>
    <w:rsid w:val="00217760"/>
    <w:rsid w:val="002429C5"/>
    <w:rsid w:val="00243803"/>
    <w:rsid w:val="00244A9A"/>
    <w:rsid w:val="00257115"/>
    <w:rsid w:val="002642A0"/>
    <w:rsid w:val="00265692"/>
    <w:rsid w:val="00284605"/>
    <w:rsid w:val="00285C2A"/>
    <w:rsid w:val="0029209A"/>
    <w:rsid w:val="00292D00"/>
    <w:rsid w:val="0029363B"/>
    <w:rsid w:val="00295AF9"/>
    <w:rsid w:val="002A34CF"/>
    <w:rsid w:val="002A44AF"/>
    <w:rsid w:val="002A5D76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221C9"/>
    <w:rsid w:val="003227C3"/>
    <w:rsid w:val="00324A7E"/>
    <w:rsid w:val="003378F7"/>
    <w:rsid w:val="003464D8"/>
    <w:rsid w:val="0034748E"/>
    <w:rsid w:val="00353723"/>
    <w:rsid w:val="00353C43"/>
    <w:rsid w:val="003624FD"/>
    <w:rsid w:val="00364761"/>
    <w:rsid w:val="00364973"/>
    <w:rsid w:val="003668A1"/>
    <w:rsid w:val="00371A25"/>
    <w:rsid w:val="00374BEB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72E4"/>
    <w:rsid w:val="003E14DB"/>
    <w:rsid w:val="003E1A62"/>
    <w:rsid w:val="003E1FD4"/>
    <w:rsid w:val="003E21C2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14A5"/>
    <w:rsid w:val="00454281"/>
    <w:rsid w:val="004571D5"/>
    <w:rsid w:val="0046057B"/>
    <w:rsid w:val="00460DC5"/>
    <w:rsid w:val="00462028"/>
    <w:rsid w:val="004649DB"/>
    <w:rsid w:val="0049085A"/>
    <w:rsid w:val="0049404C"/>
    <w:rsid w:val="004B0F58"/>
    <w:rsid w:val="004B4FA3"/>
    <w:rsid w:val="004C177C"/>
    <w:rsid w:val="004C207B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117DE"/>
    <w:rsid w:val="00514726"/>
    <w:rsid w:val="005158B4"/>
    <w:rsid w:val="005165F0"/>
    <w:rsid w:val="005207E8"/>
    <w:rsid w:val="00524749"/>
    <w:rsid w:val="005325CD"/>
    <w:rsid w:val="00541D58"/>
    <w:rsid w:val="00547577"/>
    <w:rsid w:val="0055251F"/>
    <w:rsid w:val="00560BC9"/>
    <w:rsid w:val="00570887"/>
    <w:rsid w:val="00570DC3"/>
    <w:rsid w:val="00570F32"/>
    <w:rsid w:val="00572A2E"/>
    <w:rsid w:val="00585796"/>
    <w:rsid w:val="005917BB"/>
    <w:rsid w:val="00594B71"/>
    <w:rsid w:val="00596BB1"/>
    <w:rsid w:val="005A0DF7"/>
    <w:rsid w:val="005A5A38"/>
    <w:rsid w:val="005B41AE"/>
    <w:rsid w:val="005B6E11"/>
    <w:rsid w:val="005D223F"/>
    <w:rsid w:val="005D4155"/>
    <w:rsid w:val="005D51B3"/>
    <w:rsid w:val="005E7B05"/>
    <w:rsid w:val="005F4D92"/>
    <w:rsid w:val="005F58D8"/>
    <w:rsid w:val="00603FE3"/>
    <w:rsid w:val="00604331"/>
    <w:rsid w:val="00606EAB"/>
    <w:rsid w:val="006154A0"/>
    <w:rsid w:val="00617424"/>
    <w:rsid w:val="00622045"/>
    <w:rsid w:val="00633FD7"/>
    <w:rsid w:val="00643889"/>
    <w:rsid w:val="006472F4"/>
    <w:rsid w:val="00657E44"/>
    <w:rsid w:val="0066204D"/>
    <w:rsid w:val="00665205"/>
    <w:rsid w:val="00673427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4F5F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58BD"/>
    <w:rsid w:val="007123FF"/>
    <w:rsid w:val="00717799"/>
    <w:rsid w:val="00720DFC"/>
    <w:rsid w:val="0072143A"/>
    <w:rsid w:val="00726D33"/>
    <w:rsid w:val="00727AB0"/>
    <w:rsid w:val="00745149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CE6"/>
    <w:rsid w:val="007C2645"/>
    <w:rsid w:val="007C3573"/>
    <w:rsid w:val="008032F5"/>
    <w:rsid w:val="00817CD3"/>
    <w:rsid w:val="00824811"/>
    <w:rsid w:val="00833AD8"/>
    <w:rsid w:val="0084368C"/>
    <w:rsid w:val="00846602"/>
    <w:rsid w:val="00857FA6"/>
    <w:rsid w:val="00860E4D"/>
    <w:rsid w:val="00863FBF"/>
    <w:rsid w:val="008739CB"/>
    <w:rsid w:val="00873DDC"/>
    <w:rsid w:val="008918EE"/>
    <w:rsid w:val="00891DA2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06CC5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207C"/>
    <w:rsid w:val="009D24CF"/>
    <w:rsid w:val="009D52DD"/>
    <w:rsid w:val="009D6F1D"/>
    <w:rsid w:val="009E5543"/>
    <w:rsid w:val="009F329D"/>
    <w:rsid w:val="009F3444"/>
    <w:rsid w:val="009F3DBD"/>
    <w:rsid w:val="009F6864"/>
    <w:rsid w:val="009F68E2"/>
    <w:rsid w:val="009F74BA"/>
    <w:rsid w:val="00A06AFF"/>
    <w:rsid w:val="00A14F6C"/>
    <w:rsid w:val="00A222FA"/>
    <w:rsid w:val="00A34E8C"/>
    <w:rsid w:val="00A368DF"/>
    <w:rsid w:val="00A52C8D"/>
    <w:rsid w:val="00A53E01"/>
    <w:rsid w:val="00A72B5D"/>
    <w:rsid w:val="00A875A2"/>
    <w:rsid w:val="00A92063"/>
    <w:rsid w:val="00A95BA0"/>
    <w:rsid w:val="00A97AE5"/>
    <w:rsid w:val="00AA147C"/>
    <w:rsid w:val="00AA3250"/>
    <w:rsid w:val="00AA47D1"/>
    <w:rsid w:val="00AC3E70"/>
    <w:rsid w:val="00AC71B8"/>
    <w:rsid w:val="00AD01BF"/>
    <w:rsid w:val="00AD1FE1"/>
    <w:rsid w:val="00AD212D"/>
    <w:rsid w:val="00AD7F0F"/>
    <w:rsid w:val="00AE0ED3"/>
    <w:rsid w:val="00AE5977"/>
    <w:rsid w:val="00AE6541"/>
    <w:rsid w:val="00B13998"/>
    <w:rsid w:val="00B21793"/>
    <w:rsid w:val="00B21913"/>
    <w:rsid w:val="00B21FEC"/>
    <w:rsid w:val="00B26B8D"/>
    <w:rsid w:val="00B279C7"/>
    <w:rsid w:val="00B35C0F"/>
    <w:rsid w:val="00B61C02"/>
    <w:rsid w:val="00B62574"/>
    <w:rsid w:val="00B6417E"/>
    <w:rsid w:val="00B64822"/>
    <w:rsid w:val="00B676A4"/>
    <w:rsid w:val="00B90938"/>
    <w:rsid w:val="00B914C7"/>
    <w:rsid w:val="00B922FF"/>
    <w:rsid w:val="00B94AD2"/>
    <w:rsid w:val="00BA3F89"/>
    <w:rsid w:val="00BB1849"/>
    <w:rsid w:val="00BB45F7"/>
    <w:rsid w:val="00BB7363"/>
    <w:rsid w:val="00BC3D12"/>
    <w:rsid w:val="00BD1035"/>
    <w:rsid w:val="00BE0DEC"/>
    <w:rsid w:val="00BE30F6"/>
    <w:rsid w:val="00BF29C6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677D7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E1586"/>
    <w:rsid w:val="00CF3E48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A47"/>
    <w:rsid w:val="00D42640"/>
    <w:rsid w:val="00D42776"/>
    <w:rsid w:val="00D42AB4"/>
    <w:rsid w:val="00D43229"/>
    <w:rsid w:val="00D53DCE"/>
    <w:rsid w:val="00D57CF7"/>
    <w:rsid w:val="00D607EF"/>
    <w:rsid w:val="00D61DA4"/>
    <w:rsid w:val="00D65882"/>
    <w:rsid w:val="00D773C5"/>
    <w:rsid w:val="00D816D5"/>
    <w:rsid w:val="00D855FC"/>
    <w:rsid w:val="00D909D0"/>
    <w:rsid w:val="00D93642"/>
    <w:rsid w:val="00D97355"/>
    <w:rsid w:val="00D97578"/>
    <w:rsid w:val="00D976D7"/>
    <w:rsid w:val="00DA2D62"/>
    <w:rsid w:val="00DA5275"/>
    <w:rsid w:val="00DB1724"/>
    <w:rsid w:val="00DC3372"/>
    <w:rsid w:val="00DC38AF"/>
    <w:rsid w:val="00DC720F"/>
    <w:rsid w:val="00DF0B1A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44932"/>
    <w:rsid w:val="00E55CA5"/>
    <w:rsid w:val="00E63A5B"/>
    <w:rsid w:val="00E66A41"/>
    <w:rsid w:val="00E703B7"/>
    <w:rsid w:val="00E8577E"/>
    <w:rsid w:val="00E90065"/>
    <w:rsid w:val="00E94201"/>
    <w:rsid w:val="00EA08B8"/>
    <w:rsid w:val="00EA17E5"/>
    <w:rsid w:val="00EA7D21"/>
    <w:rsid w:val="00EB47BA"/>
    <w:rsid w:val="00EB7567"/>
    <w:rsid w:val="00EC5144"/>
    <w:rsid w:val="00EF5BF6"/>
    <w:rsid w:val="00F05F53"/>
    <w:rsid w:val="00F10D84"/>
    <w:rsid w:val="00F117D6"/>
    <w:rsid w:val="00F3722A"/>
    <w:rsid w:val="00F440A9"/>
    <w:rsid w:val="00F645D7"/>
    <w:rsid w:val="00F6477F"/>
    <w:rsid w:val="00F73ACE"/>
    <w:rsid w:val="00F821DF"/>
    <w:rsid w:val="00F82DDE"/>
    <w:rsid w:val="00F83516"/>
    <w:rsid w:val="00F90D8F"/>
    <w:rsid w:val="00F90E3C"/>
    <w:rsid w:val="00F92AF3"/>
    <w:rsid w:val="00F942C5"/>
    <w:rsid w:val="00F973C3"/>
    <w:rsid w:val="00FA0D14"/>
    <w:rsid w:val="00FA1D8D"/>
    <w:rsid w:val="00FA44DC"/>
    <w:rsid w:val="00FA4825"/>
    <w:rsid w:val="00FB02C2"/>
    <w:rsid w:val="00FB0600"/>
    <w:rsid w:val="00FB400B"/>
    <w:rsid w:val="00FC023D"/>
    <w:rsid w:val="00FD6106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EF281B-210E-4C0F-B612-95FB96F752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54F528-5AA8-4DB9-8F4A-93F1F2546568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2603</Words>
  <Characters>15361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2024-02-21T08:09:00Z</dcterms:created>
  <dcterms:modified xsi:type="dcterms:W3CDTF">2024-04-05T07:32:00Z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