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:rsidR="00C837A8" w:rsidRPr="007720A4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left"/>
        <w:rPr>
          <w:rFonts w:ascii="Tahoma" w:hAnsi="Tahoma" w:cs="Tahoma"/>
          <w:b/>
          <w:i w:val="0"/>
          <w:iCs w:val="0"/>
          <w:sz w:val="22"/>
          <w:szCs w:val="22"/>
        </w:rPr>
      </w:pPr>
      <w:r w:rsidRPr="007720A4">
        <w:rPr>
          <w:rFonts w:ascii="Tahoma" w:hAnsi="Tahoma" w:cs="Tahoma"/>
          <w:b/>
          <w:i w:val="0"/>
          <w:iCs w:val="0"/>
          <w:sz w:val="22"/>
          <w:szCs w:val="22"/>
        </w:rPr>
        <w:lastRenderedPageBreak/>
        <w:t>ČESTNÉ PROHLÁŠENÍ V PŘÍPADĚ, ŽE ÚČASTNÍK NEVYUŽIJE PODDODAVATELE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 w:rsidRPr="002D6290">
        <w:rPr>
          <w:rFonts w:ascii="Tahoma" w:hAnsi="Tahoma" w:cs="Tahoma"/>
          <w:b/>
          <w:i w:val="0"/>
          <w:iCs w:val="0"/>
          <w:sz w:val="32"/>
          <w:szCs w:val="32"/>
        </w:rPr>
        <w:t>ČESTNÉ PROHLÁŠENÍ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Čestně tímto prohlašuji, že plnění zakázky 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Pr="002D6290" w:rsidRDefault="0079325B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Cs w:val="0"/>
          <w:sz w:val="22"/>
          <w:szCs w:val="22"/>
        </w:rPr>
      </w:pPr>
      <w:r w:rsidRPr="008A0352">
        <w:rPr>
          <w:b/>
          <w:noProof/>
          <w:sz w:val="20"/>
          <w:szCs w:val="20"/>
        </w:rPr>
        <w:t>„</w:t>
      </w:r>
      <w:r>
        <w:rPr>
          <w:b/>
          <w:sz w:val="20"/>
          <w:szCs w:val="20"/>
        </w:rPr>
        <w:t>Dodávky robotických programovatelných modelů“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budeme realizovat vlastními kapacitami bez účasti poddodavatele.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bookmarkStart w:id="0" w:name="_GoBack"/>
      <w:bookmarkEnd w:id="0"/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     razítko a 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sectPr w:rsidR="00C837A8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7E0" w:rsidRDefault="008727E0">
      <w:r>
        <w:separator/>
      </w:r>
    </w:p>
  </w:endnote>
  <w:endnote w:type="continuationSeparator" w:id="0">
    <w:p w:rsidR="008727E0" w:rsidRDefault="0087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>Příloha č. 6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7E0" w:rsidRDefault="008727E0">
      <w:r>
        <w:separator/>
      </w:r>
    </w:p>
  </w:footnote>
  <w:footnote w:type="continuationSeparator" w:id="0">
    <w:p w:rsidR="008727E0" w:rsidRDefault="0087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782" w:rsidRDefault="0079325B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2C0328">
      <w:rPr>
        <w:rFonts w:ascii="Calibri" w:hAnsi="Calibri"/>
        <w:sz w:val="16"/>
        <w:szCs w:val="16"/>
      </w:rPr>
      <w:t>"</w:t>
    </w:r>
    <w:r w:rsidRPr="004B36F9">
      <w:rPr>
        <w:rFonts w:ascii="Calibri" w:hAnsi="Calibri"/>
        <w:sz w:val="16"/>
        <w:szCs w:val="16"/>
      </w:rPr>
      <w:t>Adaptace učeben pro technické vzdělávání při využití digitálních technologií a adaptace odborných učeben stavební úpravy a vybavení jazykové laboratoře a učebny přírodních věd</w:t>
    </w:r>
    <w:r w:rsidRPr="002C0328">
      <w:rPr>
        <w:rFonts w:ascii="Calibri" w:hAnsi="Calibri"/>
        <w:sz w:val="16"/>
        <w:szCs w:val="16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9325B"/>
    <w:rsid w:val="007A65E1"/>
    <w:rsid w:val="007C4A62"/>
    <w:rsid w:val="007F527F"/>
    <w:rsid w:val="008033C5"/>
    <w:rsid w:val="00804B2D"/>
    <w:rsid w:val="008618FD"/>
    <w:rsid w:val="00865836"/>
    <w:rsid w:val="008727E0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3989"/>
    <w:rsid w:val="00C73847"/>
    <w:rsid w:val="00C837A8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6</cp:revision>
  <cp:lastPrinted>2007-09-27T11:04:00Z</cp:lastPrinted>
  <dcterms:created xsi:type="dcterms:W3CDTF">2019-03-27T22:01:00Z</dcterms:created>
  <dcterms:modified xsi:type="dcterms:W3CDTF">2019-07-11T15:40:00Z</dcterms:modified>
</cp:coreProperties>
</file>