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480" w:after="0"/>
        <w:rPr>
          <w:color w:val="auto"/>
        </w:rPr>
      </w:pPr>
      <w:r>
        <w:rPr>
          <w:color w:val="auto"/>
          <w:sz w:val="28"/>
          <w:szCs w:val="28"/>
          <w:lang w:val="cs-CZ"/>
        </w:rPr>
        <w:t>Příloha č. 1 Požadované v</w:t>
      </w:r>
      <w:r>
        <w:rPr>
          <w:rFonts w:eastAsia="SimSun" w:cs="Lucida Sans"/>
          <w:b/>
          <w:bCs/>
          <w:color w:val="auto"/>
          <w:kern w:val="2"/>
          <w:sz w:val="28"/>
          <w:szCs w:val="28"/>
          <w:lang w:val="cs-CZ" w:eastAsia="zh-CN" w:bidi="hi-IN"/>
        </w:rPr>
        <w:t>lastnosti S</w:t>
      </w:r>
      <w:r>
        <w:rPr>
          <w:color w:val="auto"/>
        </w:rPr>
        <w:t>oftware</w:t>
      </w:r>
      <w:r>
        <w:rPr>
          <w:color w:val="auto"/>
          <w:lang w:val="en-US"/>
        </w:rPr>
        <w:t xml:space="preserve"> pro </w:t>
      </w:r>
      <w:r>
        <w:rPr>
          <w:color w:val="auto"/>
        </w:rPr>
        <w:t>správu průmyslového vlastnictví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Software správy průmyslového vlastnictví pro FZÚ bude představovat </w:t>
      </w:r>
      <w:r>
        <w:rPr>
          <w:b/>
          <w:bCs/>
        </w:rPr>
        <w:t>komplexní řešení otázek týkající se zejména administrativní správy portfolia patentových přihlášek, udělených patentů, užitných vzorů, známek a automatického upozornění na blížící se lhůty</w:t>
      </w:r>
      <w:r>
        <w:rPr/>
        <w:t>. Logické formáty a vestavěné verifikace ředitelem FZÚ umožní snadnou a přesnou správu termínů, zadávání dat, vyhledávání, zpětné vazby původcům FZÚ a reporting Akademii věd ČR.</w:t>
      </w:r>
    </w:p>
    <w:p>
      <w:pPr>
        <w:pStyle w:val="Normal"/>
        <w:jc w:val="both"/>
        <w:rPr/>
      </w:pPr>
      <w:r>
        <w:rPr/>
        <w:t xml:space="preserve">Software monitorující práva průmyslového vlastnictví bude poskytovat elektronický přehled všech průmyslových práv v ČR i v zahraničí, přičemž tak výrazně zlepšuje efektivitu práce, uleví administrativní zátěži FZÚ a poskytne moderní nástroj zaměstnancům FZÚ. </w:t>
      </w:r>
    </w:p>
    <w:p>
      <w:pPr>
        <w:pStyle w:val="Normal"/>
        <w:jc w:val="both"/>
        <w:rPr/>
      </w:pPr>
      <w:r>
        <w:rPr>
          <w:lang w:val="cs-CZ"/>
        </w:rPr>
        <w:t>F</w:t>
      </w:r>
      <w:r>
        <w:rPr/>
        <w:t>unkcionalita monitorování a automatické zasílání přehledů o správě lhůt bude představovat bezpečnostní pojistku proti zmeškání termínů akce kanceláře vůči správním úřadům, např. ÚPV, EPO, USPTO a PCT, zejména na blížící se uplynutí prioritní lhůty nebo data splatnosti k udržení průmyslového práva. Automatické upozornění na uplynutí lhůt sníží riziko chyby akce v kanceláři. Ušetřený čas lze následně využít na odbornou práci.</w:t>
      </w:r>
    </w:p>
    <w:p>
      <w:pPr>
        <w:pStyle w:val="Normal"/>
        <w:jc w:val="both"/>
        <w:rPr/>
      </w:pPr>
      <w:r>
        <w:rPr/>
        <w:t>Původce, ředitel i zaměstnanec pověřený správou duševního vlastnictví bude schopen v reálném čase obdržet informace o správě průmyslového práva, s kterými může následně pracovat (reporting AV ČR, obchodní jednání).</w:t>
      </w:r>
    </w:p>
    <w:p>
      <w:pPr>
        <w:pStyle w:val="Tlotextu"/>
        <w:rPr/>
      </w:pPr>
      <w:r>
        <w:rPr/>
        <w:t>Software dále bude uchovávat veškeré informace týkající se data podání, územního rozsahu, osoby zodpovědné za správu duševního vlastnictví, přihlášky, včetně podloh s funkcí pro snadnější prohlížení nároků, výkresů atd.  Software bude rovněž uchovávat veškeré informace týkající se odpovědí Úřadům.</w:t>
      </w:r>
    </w:p>
    <w:p>
      <w:pPr>
        <w:pStyle w:val="Normal"/>
        <w:jc w:val="both"/>
        <w:rPr/>
      </w:pPr>
      <w:r>
        <w:rPr/>
        <w:t>Internetový interface výrazně zvýší efektivitu v komunikaci mezi původcem, zaměstnancem pověřeným správou duševního vlastnictví, Patentovou komisí a případně i ředitelem. Současně se zvýší množství informací, které mají klíčoví pracovníci k dispozici. Tímto se zvýší efektivita v komunikaci a přístupu k informacím všech pověřených osob.</w:t>
      </w:r>
    </w:p>
    <w:p>
      <w:pPr>
        <w:pStyle w:val="Normal"/>
        <w:jc w:val="both"/>
        <w:rPr/>
      </w:pPr>
      <w:r>
        <w:rPr/>
        <w:t xml:space="preserve">Software dále obsahuje </w:t>
      </w:r>
      <w:r>
        <w:rPr>
          <w:b/>
        </w:rPr>
        <w:t xml:space="preserve"> oznámení o vytvoření vynálezu / užitného anebo průmyslového vzoru </w:t>
      </w:r>
      <w:r>
        <w:rPr>
          <w:b w:val="false"/>
          <w:bCs w:val="false"/>
        </w:rPr>
        <w:t>(v souladu s interním předpisem FZÚ)</w:t>
      </w:r>
      <w:r>
        <w:rPr/>
        <w:t xml:space="preserve">, </w:t>
      </w:r>
      <w:r>
        <w:rPr>
          <w:lang w:val="cs-CZ"/>
        </w:rPr>
        <w:t>které</w:t>
      </w:r>
      <w:r>
        <w:rPr/>
        <w:t xml:space="preserve"> bude představovat elektronickou verzi současného formuláře o vytvoření vynálezu. Současně se automaticky vyplní, resp. zobrazí všechny požadované informace (např. při spoluvlastnictví patentu).</w:t>
      </w:r>
    </w:p>
    <w:p>
      <w:pPr>
        <w:pStyle w:val="Nadpis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3"/>
        <w:rPr>
          <w:u w:val="single"/>
        </w:rPr>
      </w:pPr>
      <w:r>
        <w:rPr>
          <w:u w:val="single"/>
        </w:rPr>
        <w:t>Klíčové funkce software: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Finanční management patentových poplatků</w:t>
      </w:r>
    </w:p>
    <w:p>
      <w:pPr>
        <w:pStyle w:val="Normal"/>
        <w:rPr/>
      </w:pPr>
      <w:r>
        <w:rPr/>
        <w:t>Obdobně jako elektronický oběh objednávek a likvidačních listů bude v systému nastaven oběh v případě požadavku na zaplacení patentových poplatků – oběh bude veden mezi managerem ochrany IP (odd. 98);  finanční účtárnou (správci rozpočtů zakázek) v ekonomickém informačním systému a původcem (vědeckým pracovníkem). Pro případné urychlení bude mít možnost manager ochrany IP a finanční účtárna zadat platbu bez podání informace původci. Tato funkcionalita bude propojena s modulem oznámení o vytvoření vynálezu/užitného vzoru.</w:t>
      </w:r>
    </w:p>
    <w:p>
      <w:pPr>
        <w:pStyle w:val="Nadpis3"/>
        <w:numPr>
          <w:ilvl w:val="0"/>
          <w:numId w:val="1"/>
        </w:numPr>
        <w:rPr/>
      </w:pPr>
      <w:r>
        <w:rPr/>
        <w:t>Automatický výpočet termínu</w:t>
      </w:r>
    </w:p>
    <w:p>
      <w:pPr>
        <w:pStyle w:val="Normal"/>
        <w:jc w:val="both"/>
        <w:rPr/>
      </w:pPr>
      <w:r>
        <w:rPr/>
        <w:t>Termíny se počítají automaticky na základě data podání každého patentu a dané země a typu podání. Systém je naprogramován s požadovanými termíny v každé zemi – v systému jsou uloženy šablony s termíny dle jednotlivých specifik regionálních/národních řízení např. EPO, USPTO, PCT. Uživatel rovněž může naprogramovat vlastní automatické termíny a upomínky.</w:t>
      </w:r>
    </w:p>
    <w:p>
      <w:pPr>
        <w:pStyle w:val="Nadpis3"/>
        <w:numPr>
          <w:ilvl w:val="0"/>
          <w:numId w:val="1"/>
        </w:numPr>
        <w:rPr/>
      </w:pPr>
      <w:r>
        <w:rPr/>
        <w:t>Komplexní vyhledávání, filtrování</w:t>
      </w:r>
    </w:p>
    <w:p>
      <w:pPr>
        <w:pStyle w:val="Normal"/>
        <w:jc w:val="both"/>
        <w:rPr/>
      </w:pPr>
      <w:r>
        <w:rPr/>
        <w:t xml:space="preserve">Software poskytuje vyhledávání v libovolném poli nebo kombinaci polí v každém formuláři v databázi. Například filtrování podle původce, data podání přihlášky, zdroje financování atp. Kompletní databáze je v systému viditelná pro odd. 98 -  transfer technologií, dále pro finanční účtárnu a pro vedení FZÚ. Jednotliví původci pak mají v systému viditelné pouze své záznamy. </w:t>
      </w:r>
    </w:p>
    <w:p>
      <w:pPr>
        <w:pStyle w:val="Nadpis3"/>
        <w:numPr>
          <w:ilvl w:val="0"/>
          <w:numId w:val="1"/>
        </w:numPr>
        <w:rPr/>
      </w:pPr>
      <w:r>
        <w:rPr/>
        <w:t>Flexibilní reporting</w:t>
      </w:r>
    </w:p>
    <w:p>
      <w:pPr>
        <w:pStyle w:val="Normal"/>
        <w:jc w:val="both"/>
        <w:rPr/>
      </w:pPr>
      <w:r>
        <w:rPr/>
        <w:t xml:space="preserve">Systém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cs-CZ" w:eastAsia="en-US" w:bidi="ar-SA"/>
        </w:rPr>
        <w:t>obsahuje</w:t>
      </w:r>
      <w:r>
        <w:rPr/>
        <w:t xml:space="preserve"> předdefinované sestavy s více druhy, kritérii výběru a možnostmi tisku. Uživatelé mohou také </w:t>
      </w:r>
      <w:r>
        <w:rPr>
          <w:lang w:val="cs-CZ"/>
        </w:rPr>
        <w:t>generovat dokumenty</w:t>
      </w:r>
      <w:r>
        <w:rPr/>
        <w:t>/zprávy podle svých přesných specifikací. Tiskové sestavy a generované zprávy umožní export do formátu docx, csv/xlsx a případně ve formátu pdf.</w:t>
      </w:r>
    </w:p>
    <w:p>
      <w:pPr>
        <w:pStyle w:val="Nadpis3"/>
        <w:numPr>
          <w:ilvl w:val="0"/>
          <w:numId w:val="1"/>
        </w:numPr>
        <w:rPr>
          <w:b/>
          <w:b/>
          <w:lang w:val="cs-CZ"/>
        </w:rPr>
      </w:pPr>
      <w:r>
        <w:rPr>
          <w:b/>
          <w:lang w:val="cs-CZ"/>
        </w:rPr>
        <w:t>Napojení na ekonomický systém</w:t>
      </w:r>
    </w:p>
    <w:p>
      <w:pPr>
        <w:pStyle w:val="Normal"/>
        <w:jc w:val="both"/>
        <w:rPr>
          <w:lang w:val="cs-CZ"/>
        </w:rPr>
      </w:pPr>
      <w:r>
        <w:rPr>
          <w:lang w:val="cs-CZ"/>
        </w:rPr>
        <w:t>Systém</w:t>
      </w:r>
      <w:r>
        <w:rPr/>
        <w:t xml:space="preserve"> komunik</w:t>
      </w:r>
      <w:r>
        <w:rPr>
          <w:lang w:val="cs-CZ"/>
        </w:rPr>
        <w:t>uje</w:t>
      </w:r>
      <w:r>
        <w:rPr/>
        <w:t xml:space="preserve"> s databázemi </w:t>
      </w:r>
      <w:r>
        <w:rPr>
          <w:lang w:val="cs-CZ"/>
        </w:rPr>
        <w:t xml:space="preserve">ekonomického informačního systému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cs-CZ" w:eastAsia="en-US" w:bidi="ar-SA"/>
        </w:rPr>
        <w:t>(</w:t>
      </w:r>
      <w:r>
        <w:rPr/>
        <w:t xml:space="preserve">číselník zaměstnanců, číselník faktur…) </w:t>
      </w:r>
      <w:r>
        <w:rPr>
          <w:lang w:val="cs-CZ"/>
        </w:rPr>
        <w:t>a s finanční účtárnou v ekonomickém systému (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cs-CZ" w:eastAsia="en-US" w:bidi="ar-SA"/>
        </w:rPr>
        <w:t>vazba na</w:t>
      </w:r>
      <w:r>
        <w:rPr>
          <w:lang w:val="cs-CZ"/>
        </w:rPr>
        <w:t xml:space="preserve"> elektronický oběh plateb, patentové poplatky).</w:t>
      </w:r>
    </w:p>
    <w:p>
      <w:pPr>
        <w:pStyle w:val="Nadpis3"/>
        <w:numPr>
          <w:ilvl w:val="0"/>
          <w:numId w:val="1"/>
        </w:numPr>
        <w:rPr/>
      </w:pPr>
      <w:r>
        <w:rPr/>
        <w:t>Integrace se službou eWay - CRM</w:t>
      </w:r>
    </w:p>
    <w:p>
      <w:pPr>
        <w:pStyle w:val="Nadpis3"/>
        <w:rPr>
          <w:b w:val="false"/>
          <w:b w:val="false"/>
        </w:rPr>
      </w:pPr>
      <w:r>
        <w:rPr>
          <w:b w:val="false"/>
        </w:rPr>
        <w:t>Software bude propojen s CRM přes emailové zprávy – notifikace o udělení patentu případně notifikace o změně stavu přihlášky v řízení. Tyto emaily bude možné přiřadit projektům v eWay.</w:t>
      </w:r>
    </w:p>
    <w:p>
      <w:pPr>
        <w:pStyle w:val="Nadpis3"/>
        <w:numPr>
          <w:ilvl w:val="0"/>
          <w:numId w:val="1"/>
        </w:numPr>
        <w:rPr/>
      </w:pPr>
      <w:r>
        <w:rPr/>
        <w:t>Quick Docket</w:t>
      </w:r>
    </w:p>
    <w:p>
      <w:pPr>
        <w:pStyle w:val="Normal"/>
        <w:jc w:val="both"/>
        <w:rPr/>
      </w:pPr>
      <w:r>
        <w:rPr/>
        <w:t>Na základě umělé inteligence, resp. automatického čtení naskenovaných dokumentů, je software schopen automaticky vygenerovat email, resp. dokument jako je např. interní sdělení a poslat upozornění. Upozornění systém odesílá jako email relevantnímu pracovníkovi dle pozice dokumentu v elektronickém oběhu (manažer IP, správce rozpočtu, původce).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</w:rPr>
      </w:pPr>
      <w:r>
        <w:rPr>
          <w:b/>
        </w:rPr>
        <w:t>Záloha dokumentace a komunikace v řízení</w:t>
      </w:r>
    </w:p>
    <w:p>
      <w:pPr>
        <w:pStyle w:val="Normal"/>
        <w:rPr>
          <w:b/>
          <w:b/>
        </w:rPr>
      </w:pPr>
      <w:r>
        <w:rPr/>
        <w:t xml:space="preserve">Software rovněž </w:t>
      </w:r>
      <w:r>
        <w:rPr>
          <w:b w:val="false"/>
          <w:bCs w:val="false"/>
        </w:rPr>
        <w:t xml:space="preserve">zálohuje veškerou komunikaci se správním orgánem. </w:t>
      </w:r>
      <w:r>
        <w:rPr>
          <w:b/>
          <w:bCs/>
        </w:rPr>
        <w:t>Zálohy jsou prováděny automaticky</w:t>
      </w:r>
      <w:r>
        <w:rPr>
          <w:b w:val="false"/>
          <w:bCs w:val="false"/>
        </w:rPr>
        <w:t xml:space="preserve"> v zadaném časovém intervalu a data jsou uložena na záložní server FZÚ.</w:t>
      </w:r>
    </w:p>
    <w:p>
      <w:pPr>
        <w:pStyle w:val="Normal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4AF7DCE7">
                <wp:simplePos x="0" y="0"/>
                <wp:positionH relativeFrom="column">
                  <wp:posOffset>4017010</wp:posOffset>
                </wp:positionH>
                <wp:positionV relativeFrom="paragraph">
                  <wp:posOffset>93345</wp:posOffset>
                </wp:positionV>
                <wp:extent cx="1475740" cy="851535"/>
                <wp:effectExtent l="0" t="0" r="28575" b="28575"/>
                <wp:wrapNone/>
                <wp:docPr id="1" name="Obdélník s odříznutým rohem na stejné straně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280" cy="851040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Aplikační potenciál, průzkum trhu - Business jednotka (CITT)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u w:val="single"/>
        </w:rPr>
      </w:pPr>
      <w:r>
        <w:rPr>
          <w:u w:val="single"/>
        </w:rPr>
        <w:t>Ideové schéma software ochrany IP – nový vynález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" wp14:anchorId="6EF6E6BE">
                <wp:simplePos x="0" y="0"/>
                <wp:positionH relativeFrom="column">
                  <wp:posOffset>3863975</wp:posOffset>
                </wp:positionH>
                <wp:positionV relativeFrom="paragraph">
                  <wp:posOffset>243205</wp:posOffset>
                </wp:positionV>
                <wp:extent cx="781050" cy="164465"/>
                <wp:effectExtent l="205423" t="0" r="220027" b="0"/>
                <wp:wrapNone/>
                <wp:docPr id="3" name="Obousměrná vodorovná šipka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33000">
                          <a:off x="0" y="0"/>
                          <a:ext cx="780480" cy="16380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69" coordsize="21600,21600" o:spt="69" adj="10800,10800" path="m,10800l@2,l@2@5l@3@5l@3,l21600,10800l@3,21600l@3@6l@2@6l@2,21600xe">
                <v:stroke joinstyle="miter"/>
                <v:formulas>
                  <v:f eqn="val 108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2 0 @7"/>
                  <v:f eqn="sum @3 @7 0"/>
                </v:formulas>
                <v:path gradientshapeok="t" o:connecttype="rect" textboxrect="@8,@5,@9,@6"/>
                <v:handles>
                  <v:h position="@3,@5"/>
                  <v:h position="@2,0"/>
                </v:handles>
              </v:shapetype>
              <v:shape id="shape_0" ID="Obousměrná vodorovná šipka 6" fillcolor="#4f81bd" stroked="t" style="position:absolute;margin-left:304.3pt;margin-top:19.1pt;width:61.4pt;height:12.85pt;mso-wrap-style:none;v-text-anchor:middle;rotation:305" wp14:anchorId="6EF6E6BE" type="shapetype_69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2" wp14:anchorId="528AEEDB">
                <wp:simplePos x="0" y="0"/>
                <wp:positionH relativeFrom="column">
                  <wp:posOffset>4620260</wp:posOffset>
                </wp:positionH>
                <wp:positionV relativeFrom="paragraph">
                  <wp:posOffset>-142875</wp:posOffset>
                </wp:positionV>
                <wp:extent cx="325120" cy="316865"/>
                <wp:effectExtent l="0" t="0" r="28575" b="19050"/>
                <wp:wrapNone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6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63.8pt;margin-top:-11.25pt;width:25.5pt;height:24.85pt;mso-wrap-style:square;v-text-anchor:top" wp14:anchorId="528AEED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7C049EAE">
                <wp:simplePos x="0" y="0"/>
                <wp:positionH relativeFrom="column">
                  <wp:posOffset>257810</wp:posOffset>
                </wp:positionH>
                <wp:positionV relativeFrom="paragraph">
                  <wp:posOffset>71120</wp:posOffset>
                </wp:positionV>
                <wp:extent cx="1475740" cy="850900"/>
                <wp:effectExtent l="0" t="0" r="28575" b="28575"/>
                <wp:wrapNone/>
                <wp:docPr id="6" name="Obdélník s odříznutým rohem na stejné straně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280" cy="850320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Modul ohlášení vynálezu - původce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033CFDEB">
                <wp:simplePos x="0" y="0"/>
                <wp:positionH relativeFrom="column">
                  <wp:posOffset>3560445</wp:posOffset>
                </wp:positionH>
                <wp:positionV relativeFrom="paragraph">
                  <wp:posOffset>79375</wp:posOffset>
                </wp:positionV>
                <wp:extent cx="1475740" cy="850900"/>
                <wp:effectExtent l="0" t="0" r="28575" b="28575"/>
                <wp:wrapNone/>
                <wp:docPr id="8" name="Obdélník s odříznutým rohem na stejné straně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280" cy="850320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Posouzení - Manažer ochrany IP (CITT)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38FED465">
                <wp:simplePos x="0" y="0"/>
                <wp:positionH relativeFrom="column">
                  <wp:posOffset>2492375</wp:posOffset>
                </wp:positionH>
                <wp:positionV relativeFrom="paragraph">
                  <wp:posOffset>51435</wp:posOffset>
                </wp:positionV>
                <wp:extent cx="325755" cy="316865"/>
                <wp:effectExtent l="0" t="0" r="28575" b="19050"/>
                <wp:wrapNone/>
                <wp:docPr id="10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8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196.25pt;margin-top:4.05pt;width:25.55pt;height:24.85pt;mso-wrap-style:square;v-text-anchor:top" wp14:anchorId="38FED465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6" wp14:anchorId="20F082D3">
                <wp:simplePos x="0" y="0"/>
                <wp:positionH relativeFrom="column">
                  <wp:posOffset>2056765</wp:posOffset>
                </wp:positionH>
                <wp:positionV relativeFrom="paragraph">
                  <wp:posOffset>-147955</wp:posOffset>
                </wp:positionV>
                <wp:extent cx="1318895" cy="168910"/>
                <wp:effectExtent l="0" t="0" r="19685" b="19050"/>
                <wp:wrapNone/>
                <wp:docPr id="12" name="Obousměrná vodorovná šipk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320" cy="16812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Obousměrná vodorovná šipka 5" fillcolor="#4f81bd" stroked="t" style="position:absolute;margin-left:161.95pt;margin-top:-11.65pt;width:103.75pt;height:13.2pt;mso-wrap-style:none;v-text-anchor:middle" wp14:anchorId="20F082D3" type="shapetype_69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" wp14:anchorId="53D5C746">
                <wp:simplePos x="0" y="0"/>
                <wp:positionH relativeFrom="column">
                  <wp:posOffset>3900805</wp:posOffset>
                </wp:positionH>
                <wp:positionV relativeFrom="paragraph">
                  <wp:posOffset>353695</wp:posOffset>
                </wp:positionV>
                <wp:extent cx="781050" cy="163830"/>
                <wp:effectExtent l="33973" t="23177" r="48577" b="10478"/>
                <wp:wrapNone/>
                <wp:docPr id="13" name="Obousměrná vodorovná šipka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08000">
                          <a:off x="0" y="0"/>
                          <a:ext cx="780480" cy="16308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Obousměrná vodorovná šipka 7" fillcolor="#4f81bd" stroked="t" style="position:absolute;margin-left:307.2pt;margin-top:27.85pt;width:61.4pt;height:12.8pt;mso-wrap-style:none;v-text-anchor:middle;rotation:262" wp14:anchorId="53D5C746" type="shapetype_69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05F73132">
                <wp:simplePos x="0" y="0"/>
                <wp:positionH relativeFrom="column">
                  <wp:posOffset>1661795</wp:posOffset>
                </wp:positionH>
                <wp:positionV relativeFrom="paragraph">
                  <wp:posOffset>591185</wp:posOffset>
                </wp:positionV>
                <wp:extent cx="2135505" cy="208280"/>
                <wp:effectExtent l="0" t="685800" r="0" b="697230"/>
                <wp:wrapNone/>
                <wp:docPr id="14" name="Obousměrná vodorovná šipk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1000">
                          <a:off x="0" y="0"/>
                          <a:ext cx="2134800" cy="20772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Obousměrná vodorovná šipka 10" fillcolor="#4f81bd" stroked="t" style="position:absolute;margin-left:130.85pt;margin-top:46.55pt;width:168.05pt;height:16.3pt;mso-wrap-style:none;v-text-anchor:middle;rotation:321" wp14:anchorId="05F73132" type="shapetype_69">
                <v:fill o:detectmouseclick="t" type="solid" color2="#b07e42"/>
                <v:stroke color="#3a5f8b" weight="255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3" wp14:anchorId="528AEEDB">
                <wp:simplePos x="0" y="0"/>
                <wp:positionH relativeFrom="column">
                  <wp:posOffset>4702175</wp:posOffset>
                </wp:positionH>
                <wp:positionV relativeFrom="paragraph">
                  <wp:posOffset>7620</wp:posOffset>
                </wp:positionV>
                <wp:extent cx="325755" cy="317500"/>
                <wp:effectExtent l="0" t="0" r="28575" b="19050"/>
                <wp:wrapNone/>
                <wp:docPr id="15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8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370.25pt;margin-top:0.6pt;width:25.55pt;height:24.9pt;mso-wrap-style:square;v-text-anchor:top" wp14:anchorId="528AEED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 wp14:anchorId="084E8D9B">
                <wp:simplePos x="0" y="0"/>
                <wp:positionH relativeFrom="column">
                  <wp:posOffset>3553460</wp:posOffset>
                </wp:positionH>
                <wp:positionV relativeFrom="paragraph">
                  <wp:posOffset>28575</wp:posOffset>
                </wp:positionV>
                <wp:extent cx="1475740" cy="851535"/>
                <wp:effectExtent l="0" t="0" r="28575" b="28575"/>
                <wp:wrapNone/>
                <wp:docPr id="17" name="Obdélník s odříznutým rohem na stejné straně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280" cy="851040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Patentová komise FZÚ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320675</wp:posOffset>
                </wp:positionH>
                <wp:positionV relativeFrom="paragraph">
                  <wp:posOffset>28575</wp:posOffset>
                </wp:positionV>
                <wp:extent cx="1486535" cy="862965"/>
                <wp:effectExtent l="0" t="0" r="0" b="0"/>
                <wp:wrapNone/>
                <wp:docPr id="19" name="Obdélník s odříznutým rohem na stejné straně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862200"/>
                        </a:xfrm>
                        <a:prstGeom prst="snip2Same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Zaplacení nákladů na ochranu IP – finanční účtárna, projekt. manažer</w:t>
                            </w:r>
                          </w:p>
                        </w:txbxContent>
                      </wps:txbx>
                      <wps:bodyPr lIns="36360" rIns="36360" tIns="36360" b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6FB84151">
                <wp:simplePos x="0" y="0"/>
                <wp:positionH relativeFrom="column">
                  <wp:posOffset>2780030</wp:posOffset>
                </wp:positionH>
                <wp:positionV relativeFrom="paragraph">
                  <wp:posOffset>-14605</wp:posOffset>
                </wp:positionV>
                <wp:extent cx="325120" cy="317500"/>
                <wp:effectExtent l="0" t="0" r="28575" b="19050"/>
                <wp:wrapNone/>
                <wp:docPr id="2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6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218.9pt;margin-top:-1.15pt;width:25.5pt;height:24.9pt;mso-wrap-style:square;v-text-anchor:top" wp14:anchorId="6FB8415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Oznámení vynálezu přes modul oznámení o vytvoření vynálezu – původce, výzkumník</w:t>
      </w:r>
    </w:p>
    <w:p>
      <w:pPr>
        <w:pStyle w:val="ListParagraph"/>
        <w:numPr>
          <w:ilvl w:val="0"/>
          <w:numId w:val="2"/>
        </w:numPr>
        <w:rPr/>
      </w:pPr>
      <w:r>
        <w:rPr/>
        <w:t>Oznámení o vytvoření obdrží manažer ochrany IP (odd. 98) – ten komunikuje s business jednotkou (průzkum trhu, aplikační potenciál)</w:t>
      </w:r>
    </w:p>
    <w:p>
      <w:pPr>
        <w:pStyle w:val="ListParagraph"/>
        <w:numPr>
          <w:ilvl w:val="0"/>
          <w:numId w:val="2"/>
        </w:numPr>
        <w:rPr/>
      </w:pPr>
      <w:r>
        <w:rPr/>
        <w:t>Manažer ochrany IP dává na základě zjištěných informací doporučení patentové komisi o rozsahu průmyslově-právní ochrany. Vkládá do systému návrh (objednávku) na proplacení nákladů na ochranu IP včetně případného zdůvodnění. V případě nedostatku času může manažer poslat rovnou požadavek na účtárnu k proplacení nákladů.</w:t>
      </w:r>
    </w:p>
    <w:p>
      <w:pPr>
        <w:pStyle w:val="ListParagraph"/>
        <w:numPr>
          <w:ilvl w:val="0"/>
          <w:numId w:val="2"/>
        </w:numPr>
        <w:rPr/>
      </w:pPr>
      <w:r>
        <w:rPr/>
        <w:t>Patentová komise FZÚ přes systém schválí/neschválí navržené náklady na ochranu IP</w:t>
      </w:r>
    </w:p>
    <w:p>
      <w:pPr>
        <w:pStyle w:val="ListParagraph"/>
        <w:numPr>
          <w:ilvl w:val="0"/>
          <w:numId w:val="2"/>
        </w:numPr>
        <w:rPr/>
      </w:pPr>
      <w:r>
        <w:rPr/>
        <w:t>Manažer ochrany IP dává na účtárnu požadavek na zaplacení nákladů ochrany IP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rPr/>
      </w:pPr>
      <w:r>
        <w:rPr/>
        <w:t>Náklady jsou uhrazeny, při změně statusu objednávky – přihlášky patentu, UV jsou automaticky notifikováni manažer ochrany IP, případně účtárna.</w:t>
      </w:r>
    </w:p>
    <w:sectPr>
      <w:footerReference w:type="default" r:id="rId2"/>
      <w:type w:val="nextPage"/>
      <w:pgSz w:w="11906" w:h="16838"/>
      <w:pgMar w:left="1417" w:right="1417" w:header="0" w:top="1417" w:footer="1417" w:bottom="212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spacing w:before="0" w:after="200"/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315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a1315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a13153"/>
    <w:pPr>
      <w:keepNext w:val="true"/>
      <w:jc w:val="both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a1315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cs-CZ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a13153"/>
    <w:rPr>
      <w:b/>
      <w:lang w:val="cs-CZ"/>
    </w:rPr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a13153"/>
    <w:rPr>
      <w:lang w:val="cs-CZ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60d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4960d0"/>
    <w:rPr>
      <w:sz w:val="20"/>
      <w:szCs w:val="20"/>
      <w:lang w:val="cs-CZ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4960d0"/>
    <w:rPr>
      <w:b/>
      <w:bCs/>
      <w:sz w:val="20"/>
      <w:szCs w:val="20"/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960d0"/>
    <w:rPr>
      <w:rFonts w:ascii="Tahoma" w:hAnsi="Tahoma" w:cs="Tahoma"/>
      <w:sz w:val="16"/>
      <w:szCs w:val="16"/>
      <w:lang w:val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13153"/>
    <w:pPr>
      <w:jc w:val="both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4960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4960d0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960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345"/>
    <w:pPr>
      <w:spacing w:before="0" w:after="20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703" w:leader="none"/>
        <w:tab w:val="right" w:pos="9406" w:leader="none"/>
      </w:tabs>
    </w:pPr>
    <w:rPr/>
  </w:style>
  <w:style w:type="paragraph" w:styleId="Zpat">
    <w:name w:val="Footer"/>
    <w:basedOn w:val="Zhlavazpat"/>
    <w:pPr>
      <w:suppressLineNumbers/>
    </w:pPr>
    <w:rPr/>
  </w:style>
  <w:style w:type="paragraph" w:styleId="TableofFigures">
    <w:name w:val="Table of Figures"/>
    <w:basedOn w:val="Popisek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LibreOffice/7.0.3.1$MacOSX_X86_64 LibreOffice_project/d7547858d014d4cf69878db179d326fc3483e082</Application>
  <Pages>3</Pages>
  <Words>847</Words>
  <Characters>5398</Characters>
  <CharactersWithSpaces>6203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2019-11-26T07:15:00Z</dcterms:created>
  <dc:creator>Stachura Jan</dc:creator>
  <dc:description/>
  <dc:language>cs-CZ</dc:language>
  <cp:lastModifiedBy>PPC:JH </cp:lastModifiedBy>
  <dcterms:modified xsi:type="dcterms:W3CDTF">2020-12-16T08:49:22Z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