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FC" w:rsidRDefault="00362BFC" w:rsidP="00362BFC">
      <w:pPr>
        <w:spacing w:after="120" w:line="240" w:lineRule="auto"/>
        <w:jc w:val="center"/>
        <w:rPr>
          <w:rFonts w:ascii="Book Antiqua" w:hAnsi="Book Antiqua" w:cstheme="minorHAnsi"/>
          <w:b/>
          <w:sz w:val="28"/>
          <w:szCs w:val="28"/>
        </w:rPr>
      </w:pPr>
      <w:r>
        <w:rPr>
          <w:rFonts w:ascii="Book Antiqua" w:hAnsi="Book Antiqua" w:cstheme="minorHAnsi"/>
          <w:b/>
          <w:sz w:val="28"/>
          <w:szCs w:val="28"/>
        </w:rPr>
        <w:t>Návrh h</w:t>
      </w:r>
      <w:r w:rsidRPr="003C0328">
        <w:rPr>
          <w:rFonts w:ascii="Book Antiqua" w:hAnsi="Book Antiqua" w:cstheme="minorHAnsi"/>
          <w:b/>
          <w:sz w:val="28"/>
          <w:szCs w:val="28"/>
        </w:rPr>
        <w:t>armonogram</w:t>
      </w:r>
      <w:r>
        <w:rPr>
          <w:rFonts w:ascii="Book Antiqua" w:hAnsi="Book Antiqua" w:cstheme="minorHAnsi"/>
          <w:b/>
          <w:sz w:val="28"/>
          <w:szCs w:val="28"/>
        </w:rPr>
        <w:t>u</w:t>
      </w:r>
      <w:r w:rsidRPr="003C0328">
        <w:rPr>
          <w:rFonts w:ascii="Book Antiqua" w:hAnsi="Book Antiqua" w:cstheme="minorHAnsi"/>
          <w:b/>
          <w:sz w:val="28"/>
          <w:szCs w:val="28"/>
        </w:rPr>
        <w:t xml:space="preserve"> plnění</w:t>
      </w:r>
    </w:p>
    <w:p w:rsidR="00362BFC" w:rsidRDefault="00362BFC" w:rsidP="00362BFC">
      <w:pPr>
        <w:spacing w:after="120" w:line="240" w:lineRule="auto"/>
        <w:jc w:val="center"/>
        <w:rPr>
          <w:rFonts w:ascii="Book Antiqua" w:hAnsi="Book Antiqua" w:cstheme="minorHAnsi"/>
          <w:b/>
          <w:sz w:val="28"/>
          <w:szCs w:val="28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1173"/>
        <w:gridCol w:w="3544"/>
        <w:gridCol w:w="1701"/>
        <w:gridCol w:w="2551"/>
      </w:tblGrid>
      <w:tr w:rsidR="00362BFC" w:rsidRPr="00602422" w:rsidTr="004A51C2">
        <w:trPr>
          <w:trHeight w:val="615"/>
        </w:trPr>
        <w:tc>
          <w:tcPr>
            <w:tcW w:w="4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Milník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62BFC" w:rsidRPr="00602422" w:rsidRDefault="00362BFC" w:rsidP="00D91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Zadavatelem </w:t>
            </w:r>
            <w:r w:rsidR="00EF3026"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požadovan</w:t>
            </w:r>
            <w:r w:rsidR="00EF302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EF302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doba plnění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62BFC" w:rsidRPr="00602422" w:rsidRDefault="00362BFC" w:rsidP="00D910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Dodavatelem </w:t>
            </w:r>
            <w:r w:rsidR="00EF3026"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navrhovan</w:t>
            </w:r>
            <w:r w:rsidR="00EF302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á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EF3026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doba plnění</w:t>
            </w:r>
            <w:r w:rsidR="00EF3026"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62BFC" w:rsidRPr="00602422" w:rsidTr="004A51C2">
        <w:trPr>
          <w:trHeight w:val="300"/>
        </w:trPr>
        <w:tc>
          <w:tcPr>
            <w:tcW w:w="47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Podpis smlouvy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D + 0</w:t>
            </w:r>
          </w:p>
        </w:tc>
      </w:tr>
      <w:tr w:rsidR="00362BFC" w:rsidRPr="00602422" w:rsidTr="004A51C2">
        <w:trPr>
          <w:trHeight w:val="300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 Etapa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tabs>
                <w:tab w:val="left" w:pos="317"/>
              </w:tabs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(i)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ab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Předimplementační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D 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+ ?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CE3B84" w:rsidRDefault="004F4A32" w:rsidP="004A51C2">
            <w:pPr>
              <w:spacing w:before="120" w:after="12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cs-CZ"/>
              </w:rPr>
              <w:t>D +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[</w:t>
            </w:r>
            <w:r w:rsidR="00362BFC" w:rsidRPr="00C66BBB">
              <w:rPr>
                <w:rFonts w:ascii="Book Antiqua" w:eastAsia="Times New Roman" w:hAnsi="Book Antiqua" w:cs="Calibri"/>
                <w:highlight w:val="yellow"/>
                <w:lang w:eastAsia="cs-CZ"/>
              </w:rPr>
              <w:t xml:space="preserve">DOPLNÍ </w:t>
            </w:r>
            <w:r w:rsidR="00362BFC">
              <w:rPr>
                <w:rFonts w:ascii="Book Antiqua" w:eastAsia="Times New Roman" w:hAnsi="Book Antiqua" w:cs="Calibri"/>
                <w:highlight w:val="yellow"/>
                <w:lang w:eastAsia="cs-CZ"/>
              </w:rPr>
              <w:t>ÚČASTNÍK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]</w:t>
            </w:r>
          </w:p>
        </w:tc>
      </w:tr>
      <w:tr w:rsidR="00362BFC" w:rsidRPr="00602422" w:rsidTr="004A51C2">
        <w:trPr>
          <w:trHeight w:val="300"/>
        </w:trPr>
        <w:tc>
          <w:tcPr>
            <w:tcW w:w="47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before="120" w:after="12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Akceptace přejímacího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řízení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1. Etapy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A1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2BFC" w:rsidRPr="00782B70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782B70">
              <w:rPr>
                <w:rFonts w:ascii="Book Antiqua" w:eastAsia="Times New Roman" w:hAnsi="Book Antiqua" w:cs="Calibri"/>
                <w:b/>
                <w:color w:val="000000"/>
                <w:lang w:eastAsia="cs-CZ"/>
              </w:rPr>
              <w:t>[</w:t>
            </w:r>
            <w:r w:rsidRPr="00782B70">
              <w:rPr>
                <w:rFonts w:ascii="Book Antiqua" w:eastAsia="Times New Roman" w:hAnsi="Book Antiqua" w:cs="Calibri"/>
                <w:b/>
                <w:highlight w:val="yellow"/>
                <w:lang w:eastAsia="cs-CZ"/>
              </w:rPr>
              <w:t>DOPLNÍ ÚČASTNÍK</w:t>
            </w:r>
            <w:r w:rsidRPr="00782B70">
              <w:rPr>
                <w:rFonts w:ascii="Book Antiqua" w:eastAsia="Times New Roman" w:hAnsi="Book Antiqua" w:cs="Calibri"/>
                <w:b/>
                <w:color w:val="000000"/>
                <w:lang w:eastAsia="cs-CZ"/>
              </w:rPr>
              <w:t>]</w:t>
            </w:r>
          </w:p>
        </w:tc>
      </w:tr>
      <w:tr w:rsidR="00362BFC" w:rsidRPr="00602422" w:rsidTr="004A51C2">
        <w:trPr>
          <w:trHeight w:val="300"/>
        </w:trPr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 Etapa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tabs>
                <w:tab w:val="left" w:pos="317"/>
              </w:tabs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(ii)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ab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Dodávka 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A1 + ?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72124C" w:rsidRDefault="004F4A32" w:rsidP="004A51C2">
            <w:pPr>
              <w:spacing w:before="120" w:after="120" w:line="240" w:lineRule="auto"/>
              <w:jc w:val="center"/>
            </w:pPr>
            <w:r>
              <w:rPr>
                <w:rFonts w:ascii="Book Antiqua" w:eastAsia="Times New Roman" w:hAnsi="Book Antiqua" w:cs="Calibri"/>
                <w:color w:val="000000"/>
                <w:lang w:eastAsia="cs-CZ"/>
              </w:rPr>
              <w:t xml:space="preserve">A1 + 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[</w:t>
            </w:r>
            <w:r w:rsidR="00362BFC" w:rsidRPr="00C66BBB">
              <w:rPr>
                <w:rFonts w:ascii="Book Antiqua" w:eastAsia="Times New Roman" w:hAnsi="Book Antiqua" w:cs="Calibri"/>
                <w:highlight w:val="yellow"/>
                <w:lang w:eastAsia="cs-CZ"/>
              </w:rPr>
              <w:t xml:space="preserve">DOPLNÍ </w:t>
            </w:r>
            <w:r w:rsidR="00362BFC">
              <w:rPr>
                <w:rFonts w:ascii="Book Antiqua" w:eastAsia="Times New Roman" w:hAnsi="Book Antiqua" w:cs="Calibri"/>
                <w:highlight w:val="yellow"/>
                <w:lang w:eastAsia="cs-CZ"/>
              </w:rPr>
              <w:t>ÚČASTNÍK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]</w:t>
            </w:r>
          </w:p>
        </w:tc>
      </w:tr>
      <w:tr w:rsidR="00362BFC" w:rsidRPr="00602422" w:rsidTr="004A51C2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tabs>
                <w:tab w:val="left" w:pos="317"/>
              </w:tabs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(iii)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ab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Implementace 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A1 + ?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CE3B84" w:rsidRDefault="004F4A32" w:rsidP="004A51C2">
            <w:pPr>
              <w:spacing w:before="120" w:after="12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cs-CZ"/>
              </w:rPr>
              <w:t>A1 +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[</w:t>
            </w:r>
            <w:r w:rsidR="00362BFC" w:rsidRPr="00C66BBB">
              <w:rPr>
                <w:rFonts w:ascii="Book Antiqua" w:eastAsia="Times New Roman" w:hAnsi="Book Antiqua" w:cs="Calibri"/>
                <w:highlight w:val="yellow"/>
                <w:lang w:eastAsia="cs-CZ"/>
              </w:rPr>
              <w:t xml:space="preserve">DOPLNÍ </w:t>
            </w:r>
            <w:r w:rsidR="00362BFC">
              <w:rPr>
                <w:rFonts w:ascii="Book Antiqua" w:eastAsia="Times New Roman" w:hAnsi="Book Antiqua" w:cs="Calibri"/>
                <w:highlight w:val="yellow"/>
                <w:lang w:eastAsia="cs-CZ"/>
              </w:rPr>
              <w:t>ÚČASTNÍK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]</w:t>
            </w:r>
          </w:p>
        </w:tc>
      </w:tr>
      <w:tr w:rsidR="00362BFC" w:rsidRPr="00602422" w:rsidTr="004A51C2">
        <w:trPr>
          <w:trHeight w:val="300"/>
        </w:trPr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(iv)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ab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Školení administrátorů 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 u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živatelů 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A1 + ?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2BFC" w:rsidRPr="00CE3B84" w:rsidRDefault="004F4A32" w:rsidP="004A51C2">
            <w:pPr>
              <w:spacing w:before="120" w:after="12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cs-CZ"/>
              </w:rPr>
              <w:t>A1 +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[</w:t>
            </w:r>
            <w:r w:rsidR="00362BFC" w:rsidRPr="00C66BBB">
              <w:rPr>
                <w:rFonts w:ascii="Book Antiqua" w:eastAsia="Times New Roman" w:hAnsi="Book Antiqua" w:cs="Calibri"/>
                <w:highlight w:val="yellow"/>
                <w:lang w:eastAsia="cs-CZ"/>
              </w:rPr>
              <w:t xml:space="preserve">DOPLNÍ </w:t>
            </w:r>
            <w:r w:rsidR="00362BFC">
              <w:rPr>
                <w:rFonts w:ascii="Book Antiqua" w:eastAsia="Times New Roman" w:hAnsi="Book Antiqua" w:cs="Calibri"/>
                <w:highlight w:val="yellow"/>
                <w:lang w:eastAsia="cs-CZ"/>
              </w:rPr>
              <w:t>ÚČASTNÍK</w:t>
            </w:r>
            <w:r w:rsidR="00362BFC" w:rsidRPr="00C66BBB">
              <w:rPr>
                <w:rFonts w:ascii="Book Antiqua" w:eastAsia="Times New Roman" w:hAnsi="Book Antiqua" w:cs="Calibri"/>
                <w:color w:val="000000"/>
                <w:lang w:eastAsia="cs-CZ"/>
              </w:rPr>
              <w:t>]</w:t>
            </w:r>
          </w:p>
        </w:tc>
      </w:tr>
      <w:tr w:rsidR="00362BFC" w:rsidRPr="00602422" w:rsidTr="004A51C2">
        <w:trPr>
          <w:trHeight w:val="300"/>
        </w:trPr>
        <w:tc>
          <w:tcPr>
            <w:tcW w:w="47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Akceptace přejímacího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řízení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2. Etapy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A2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nejpozději však 20. 12. 2019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2BFC" w:rsidRPr="00782B70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cs-CZ"/>
              </w:rPr>
            </w:pPr>
            <w:r w:rsidRPr="00782B70">
              <w:rPr>
                <w:rFonts w:ascii="Book Antiqua" w:eastAsia="Times New Roman" w:hAnsi="Book Antiqua" w:cs="Calibri"/>
                <w:b/>
                <w:color w:val="000000"/>
                <w:lang w:eastAsia="cs-CZ"/>
              </w:rPr>
              <w:t>[</w:t>
            </w:r>
            <w:r w:rsidRPr="00782B70">
              <w:rPr>
                <w:rFonts w:ascii="Book Antiqua" w:eastAsia="Times New Roman" w:hAnsi="Book Antiqua" w:cs="Calibri"/>
                <w:b/>
                <w:color w:val="000000"/>
                <w:highlight w:val="yellow"/>
                <w:lang w:eastAsia="cs-CZ"/>
              </w:rPr>
              <w:t>DOPLNÍ ÚČASTNÍK</w:t>
            </w:r>
            <w:r w:rsidRPr="00782B70">
              <w:rPr>
                <w:rFonts w:ascii="Book Antiqua" w:eastAsia="Times New Roman" w:hAnsi="Book Antiqua" w:cs="Calibri"/>
                <w:b/>
                <w:color w:val="000000"/>
                <w:lang w:eastAsia="cs-CZ"/>
              </w:rPr>
              <w:t>]</w:t>
            </w:r>
          </w:p>
        </w:tc>
        <w:bookmarkStart w:id="0" w:name="_GoBack"/>
        <w:bookmarkEnd w:id="0"/>
      </w:tr>
      <w:tr w:rsidR="00362BFC" w:rsidRPr="00602422" w:rsidTr="004A51C2">
        <w:trPr>
          <w:trHeight w:val="600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 Etapa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BFC" w:rsidRPr="00602422" w:rsidRDefault="00362BFC" w:rsidP="004A51C2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(v)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ab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Poskytnutí nezbytné součinnosti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v průběhu realizace ověřovacího provozu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1.2020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- </w:t>
            </w:r>
            <w:r w:rsidR="007E57F6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2.2020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15.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362BFC" w:rsidRPr="00602422" w:rsidTr="004A51C2">
        <w:trPr>
          <w:trHeight w:val="300"/>
        </w:trPr>
        <w:tc>
          <w:tcPr>
            <w:tcW w:w="47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362BFC" w:rsidP="004A51C2">
            <w:pPr>
              <w:spacing w:before="120" w:after="12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Akceptace přejímacího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řízení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3. Etapy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EF3026" w:rsidP="00EF30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362BFC"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62B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362BFC"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2.2020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EF3026" w:rsidP="00EF30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362BFC"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62BF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362BFC" w:rsidRPr="00602422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  <w:t>2.2020</w:t>
            </w:r>
          </w:p>
        </w:tc>
      </w:tr>
      <w:tr w:rsidR="00362BFC" w:rsidRPr="00602422" w:rsidTr="004A51C2">
        <w:trPr>
          <w:trHeight w:val="615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 Etapa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2BFC" w:rsidRPr="00602422" w:rsidRDefault="00362BFC" w:rsidP="004A51C2">
            <w:pPr>
              <w:tabs>
                <w:tab w:val="left" w:pos="317"/>
              </w:tabs>
              <w:spacing w:after="0" w:line="240" w:lineRule="auto"/>
              <w:ind w:left="317" w:hanging="317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(vi)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ab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Zajištění provozní podpory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rozvoje implementovaného 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2BFC" w:rsidRPr="00602422" w:rsidRDefault="00362BFC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01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03.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 dobu neurčitou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62BFC" w:rsidRPr="00602422" w:rsidRDefault="004C396A" w:rsidP="004A51C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</w:rPr>
            </w:pP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01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03.</w:t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2020</w:t>
            </w: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br/>
            </w:r>
            <w:r w:rsidRPr="00602422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po dobu neurčitou</w:t>
            </w:r>
          </w:p>
        </w:tc>
      </w:tr>
    </w:tbl>
    <w:p w:rsidR="00362BFC" w:rsidRDefault="00362BFC" w:rsidP="00362BF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362BFC" w:rsidRPr="00C36267" w:rsidRDefault="00362BFC" w:rsidP="00362BFC">
      <w:pPr>
        <w:tabs>
          <w:tab w:val="left" w:pos="567"/>
        </w:tabs>
        <w:spacing w:after="60" w:line="240" w:lineRule="auto"/>
        <w:ind w:left="567" w:hanging="567"/>
        <w:jc w:val="both"/>
        <w:rPr>
          <w:rFonts w:ascii="Book Antiqua" w:eastAsia="Times New Roman" w:hAnsi="Book Antiqua" w:cs="Times New Roman"/>
          <w:color w:val="000000"/>
        </w:rPr>
      </w:pPr>
      <w:r w:rsidRPr="00C36267">
        <w:rPr>
          <w:rFonts w:ascii="Book Antiqua" w:eastAsia="Times New Roman" w:hAnsi="Book Antiqua" w:cs="Times New Roman"/>
          <w:color w:val="000000"/>
        </w:rPr>
        <w:t>D =</w:t>
      </w:r>
      <w:r>
        <w:rPr>
          <w:rFonts w:ascii="Book Antiqua" w:eastAsia="Times New Roman" w:hAnsi="Book Antiqua" w:cs="Times New Roman"/>
          <w:color w:val="000000"/>
        </w:rPr>
        <w:tab/>
      </w:r>
      <w:r w:rsidRPr="00C36267">
        <w:rPr>
          <w:rFonts w:ascii="Book Antiqua" w:eastAsia="Times New Roman" w:hAnsi="Book Antiqua" w:cs="Times New Roman"/>
          <w:color w:val="000000"/>
        </w:rPr>
        <w:t xml:space="preserve"> den účinného uzavření smlouvy, předpokládaný termín </w:t>
      </w:r>
      <w:r w:rsidRPr="00C36267">
        <w:rPr>
          <w:rFonts w:ascii="Book Antiqua" w:eastAsia="Times New Roman" w:hAnsi="Book Antiqua" w:cs="Times New Roman"/>
          <w:b/>
          <w:bCs/>
          <w:color w:val="000000"/>
        </w:rPr>
        <w:t>XX.08.2019</w:t>
      </w:r>
      <w:r w:rsidRPr="00C36267">
        <w:rPr>
          <w:rFonts w:ascii="Book Antiqua" w:eastAsia="Times New Roman" w:hAnsi="Book Antiqua" w:cs="Times New Roman"/>
          <w:color w:val="000000"/>
        </w:rPr>
        <w:t>.</w:t>
      </w:r>
    </w:p>
    <w:p w:rsidR="00362BFC" w:rsidRPr="00C36267" w:rsidRDefault="00362BFC" w:rsidP="00362BFC">
      <w:pPr>
        <w:tabs>
          <w:tab w:val="left" w:pos="567"/>
        </w:tabs>
        <w:spacing w:after="60" w:line="240" w:lineRule="auto"/>
        <w:ind w:left="567" w:hanging="567"/>
        <w:jc w:val="both"/>
        <w:rPr>
          <w:rFonts w:ascii="Book Antiqua" w:eastAsia="Times New Roman" w:hAnsi="Book Antiqua" w:cs="Times New Roman"/>
          <w:color w:val="000000"/>
        </w:rPr>
      </w:pPr>
      <w:r w:rsidRPr="00C36267">
        <w:rPr>
          <w:rFonts w:ascii="Book Antiqua" w:eastAsia="Times New Roman" w:hAnsi="Book Antiqua" w:cs="Times New Roman"/>
          <w:color w:val="000000"/>
        </w:rPr>
        <w:t>A1 =</w:t>
      </w:r>
      <w:r>
        <w:rPr>
          <w:rFonts w:ascii="Book Antiqua" w:eastAsia="Times New Roman" w:hAnsi="Book Antiqua" w:cs="Times New Roman"/>
          <w:color w:val="000000"/>
        </w:rPr>
        <w:tab/>
      </w:r>
      <w:r w:rsidRPr="00C36267">
        <w:rPr>
          <w:rFonts w:ascii="Book Antiqua" w:eastAsia="Times New Roman" w:hAnsi="Book Antiqua" w:cs="Times New Roman"/>
          <w:color w:val="000000"/>
        </w:rPr>
        <w:t xml:space="preserve"> termín akceptace 1. Etapy, délka trvání </w:t>
      </w:r>
      <w:r>
        <w:rPr>
          <w:rFonts w:ascii="Book Antiqua" w:eastAsia="Times New Roman" w:hAnsi="Book Antiqua" w:cs="Times New Roman"/>
          <w:color w:val="000000"/>
        </w:rPr>
        <w:t>a</w:t>
      </w:r>
      <w:r w:rsidRPr="00C36267">
        <w:rPr>
          <w:rFonts w:ascii="Book Antiqua" w:eastAsia="Times New Roman" w:hAnsi="Book Antiqua" w:cs="Times New Roman"/>
          <w:color w:val="000000"/>
        </w:rPr>
        <w:t>kceptační</w:t>
      </w:r>
      <w:r>
        <w:rPr>
          <w:rFonts w:ascii="Book Antiqua" w:eastAsia="Times New Roman" w:hAnsi="Book Antiqua" w:cs="Times New Roman"/>
          <w:color w:val="000000"/>
        </w:rPr>
        <w:t>ho řízení etapy je minimálně 14 k</w:t>
      </w:r>
      <w:r w:rsidRPr="00C36267">
        <w:rPr>
          <w:rFonts w:ascii="Book Antiqua" w:eastAsia="Times New Roman" w:hAnsi="Book Antiqua" w:cs="Times New Roman"/>
          <w:color w:val="000000"/>
        </w:rPr>
        <w:t>alendářních dní</w:t>
      </w:r>
    </w:p>
    <w:p w:rsidR="00362BFC" w:rsidRPr="00C36267" w:rsidRDefault="00362BFC" w:rsidP="00362BFC">
      <w:pPr>
        <w:tabs>
          <w:tab w:val="left" w:pos="567"/>
        </w:tabs>
        <w:spacing w:after="60" w:line="240" w:lineRule="auto"/>
        <w:ind w:left="567" w:hanging="567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A2 =</w:t>
      </w:r>
      <w:r>
        <w:rPr>
          <w:rFonts w:ascii="Book Antiqua" w:eastAsia="Times New Roman" w:hAnsi="Book Antiqua" w:cs="Times New Roman"/>
          <w:color w:val="000000"/>
        </w:rPr>
        <w:tab/>
      </w:r>
      <w:r w:rsidRPr="00C36267">
        <w:rPr>
          <w:rFonts w:ascii="Book Antiqua" w:eastAsia="Times New Roman" w:hAnsi="Book Antiqua" w:cs="Times New Roman"/>
          <w:color w:val="000000"/>
        </w:rPr>
        <w:t>termín ak</w:t>
      </w:r>
      <w:r>
        <w:rPr>
          <w:rFonts w:ascii="Book Antiqua" w:eastAsia="Times New Roman" w:hAnsi="Book Antiqua" w:cs="Times New Roman"/>
          <w:color w:val="000000"/>
        </w:rPr>
        <w:t xml:space="preserve">ceptace </w:t>
      </w:r>
      <w:r w:rsidR="00EF3026">
        <w:rPr>
          <w:rFonts w:ascii="Book Antiqua" w:eastAsia="Times New Roman" w:hAnsi="Book Antiqua" w:cs="Times New Roman"/>
          <w:color w:val="000000"/>
        </w:rPr>
        <w:t>2</w:t>
      </w:r>
      <w:r>
        <w:rPr>
          <w:rFonts w:ascii="Book Antiqua" w:eastAsia="Times New Roman" w:hAnsi="Book Antiqua" w:cs="Times New Roman"/>
          <w:color w:val="000000"/>
        </w:rPr>
        <w:t>. Etapy, délka trvání a</w:t>
      </w:r>
      <w:r w:rsidRPr="00C36267">
        <w:rPr>
          <w:rFonts w:ascii="Book Antiqua" w:eastAsia="Times New Roman" w:hAnsi="Book Antiqua" w:cs="Times New Roman"/>
          <w:color w:val="000000"/>
        </w:rPr>
        <w:t>kceptačního řízení etapy je minimálně 14 kalendářních dní</w:t>
      </w:r>
    </w:p>
    <w:p w:rsidR="00362BFC" w:rsidRPr="00C36267" w:rsidRDefault="00362BFC" w:rsidP="00362BFC">
      <w:pPr>
        <w:tabs>
          <w:tab w:val="left" w:pos="567"/>
        </w:tabs>
        <w:spacing w:after="60" w:line="240" w:lineRule="auto"/>
        <w:ind w:left="567" w:hanging="567"/>
        <w:jc w:val="both"/>
        <w:rPr>
          <w:rFonts w:ascii="Book Antiqua" w:eastAsia="Times New Roman" w:hAnsi="Book Antiqua" w:cs="Times New Roman"/>
          <w:color w:val="000000"/>
        </w:rPr>
      </w:pPr>
      <w:r w:rsidRPr="00C36267">
        <w:rPr>
          <w:rFonts w:ascii="Book Antiqua" w:eastAsia="Times New Roman" w:hAnsi="Book Antiqua" w:cs="Times New Roman"/>
          <w:color w:val="000000"/>
        </w:rPr>
        <w:t>A3 =</w:t>
      </w:r>
      <w:r>
        <w:rPr>
          <w:rFonts w:ascii="Book Antiqua" w:eastAsia="Times New Roman" w:hAnsi="Book Antiqua" w:cs="Times New Roman"/>
          <w:color w:val="000000"/>
        </w:rPr>
        <w:tab/>
      </w:r>
      <w:r w:rsidRPr="00C36267">
        <w:rPr>
          <w:rFonts w:ascii="Book Antiqua" w:eastAsia="Times New Roman" w:hAnsi="Book Antiqua" w:cs="Times New Roman"/>
          <w:color w:val="000000"/>
        </w:rPr>
        <w:t>termín ak</w:t>
      </w:r>
      <w:r>
        <w:rPr>
          <w:rFonts w:ascii="Book Antiqua" w:eastAsia="Times New Roman" w:hAnsi="Book Antiqua" w:cs="Times New Roman"/>
          <w:color w:val="000000"/>
        </w:rPr>
        <w:t xml:space="preserve">ceptace </w:t>
      </w:r>
      <w:r w:rsidR="00EF3026">
        <w:rPr>
          <w:rFonts w:ascii="Book Antiqua" w:eastAsia="Times New Roman" w:hAnsi="Book Antiqua" w:cs="Times New Roman"/>
          <w:color w:val="000000"/>
        </w:rPr>
        <w:t>3</w:t>
      </w:r>
      <w:r>
        <w:rPr>
          <w:rFonts w:ascii="Book Antiqua" w:eastAsia="Times New Roman" w:hAnsi="Book Antiqua" w:cs="Times New Roman"/>
          <w:color w:val="000000"/>
        </w:rPr>
        <w:t>. Etapy, délka trvání a</w:t>
      </w:r>
      <w:r w:rsidRPr="00C36267">
        <w:rPr>
          <w:rFonts w:ascii="Book Antiqua" w:eastAsia="Times New Roman" w:hAnsi="Book Antiqua" w:cs="Times New Roman"/>
          <w:color w:val="000000"/>
        </w:rPr>
        <w:t>kceptačního řízení etapy je minimálně 14 kalendářních dní</w:t>
      </w:r>
    </w:p>
    <w:p w:rsidR="00362BFC" w:rsidRPr="00C36267" w:rsidRDefault="00362BFC" w:rsidP="00362BFC">
      <w:pPr>
        <w:spacing w:after="0" w:line="240" w:lineRule="auto"/>
        <w:jc w:val="both"/>
        <w:rPr>
          <w:rFonts w:ascii="Book Antiqua" w:hAnsi="Book Antiqua" w:cstheme="minorHAnsi"/>
          <w:b/>
        </w:rPr>
      </w:pPr>
      <w:r w:rsidRPr="00C36267">
        <w:rPr>
          <w:rFonts w:ascii="Book Antiqua" w:eastAsia="Times New Roman" w:hAnsi="Book Antiqua" w:cs="Times New Roman"/>
          <w:color w:val="000000"/>
        </w:rPr>
        <w:t>Dnem se pro účely této přílohy rozumí kalendářní den, není-li uvedeno jinak</w:t>
      </w:r>
      <w:r w:rsidR="006A1F19">
        <w:rPr>
          <w:rFonts w:ascii="Book Antiqua" w:eastAsia="Times New Roman" w:hAnsi="Book Antiqua" w:cs="Times New Roman"/>
          <w:color w:val="000000"/>
        </w:rPr>
        <w:t>.</w:t>
      </w:r>
    </w:p>
    <w:p w:rsidR="00362BFC" w:rsidRPr="00C36267" w:rsidRDefault="00362BFC" w:rsidP="00362BFC">
      <w:pPr>
        <w:rPr>
          <w:rFonts w:ascii="Book Antiqua" w:hAnsi="Book Antiqua" w:cstheme="minorHAnsi"/>
          <w:b/>
        </w:rPr>
      </w:pPr>
    </w:p>
    <w:p w:rsidR="003349C2" w:rsidRPr="00362BFC" w:rsidRDefault="00362BFC" w:rsidP="00362BFC">
      <w:pPr>
        <w:spacing w:line="240" w:lineRule="auto"/>
        <w:jc w:val="both"/>
        <w:rPr>
          <w:rFonts w:ascii="Book Antiqua" w:hAnsi="Book Antiqua"/>
        </w:rPr>
      </w:pPr>
      <w:r w:rsidRPr="003C0328">
        <w:rPr>
          <w:rFonts w:ascii="Book Antiqua" w:hAnsi="Book Antiqua"/>
        </w:rPr>
        <w:t>Etapa 1 až Etapa 3 bude ukončena v okamžiku, kdy Zadavatel akceptuje formalizované před</w:t>
      </w:r>
      <w:r>
        <w:rPr>
          <w:rFonts w:ascii="Book Antiqua" w:hAnsi="Book Antiqua"/>
        </w:rPr>
        <w:t xml:space="preserve">ávací řízení. Předávací řízení </w:t>
      </w:r>
      <w:r w:rsidRPr="003C0328">
        <w:rPr>
          <w:rFonts w:ascii="Book Antiqua" w:hAnsi="Book Antiqua"/>
        </w:rPr>
        <w:t xml:space="preserve">právě všech etap bude činit minimálně 14 kalendářních dní. O výsledku přejímacího řízení bude Zadavatelem a Dodavatelem sepsán písemný protokol, ve kterém budou uvedeny výsledky a případná zjištění ohledně vad či nedodělků EIS (dále jen „Předávací protokol“). Nedohodnou-li se Zadavatel a Dodavatel jinak, je Dodavatel povinen odstranit vady či nedostatky uvedené v Předávacím protokolu nejpozději do pěti (5) pracovních dnů od sepsání Předávacího protokolu. Předávací protokol bude obsahovat zhodnocení EIS, zejména z hlediska požadavků stanovených ve Smlouvě, a dále soupis zjištěných vad a nedodělků EIS. Předávací protokol bude obsahovat výslovné uvedení, zda Zadavatel Dodávku EIS přebírá či nikoliv. Řádně poskytnutou </w:t>
      </w:r>
      <w:r w:rsidR="00EF3026">
        <w:rPr>
          <w:rFonts w:ascii="Book Antiqua" w:hAnsi="Book Antiqua"/>
        </w:rPr>
        <w:t>d</w:t>
      </w:r>
      <w:r w:rsidR="00EF3026" w:rsidRPr="003C0328">
        <w:rPr>
          <w:rFonts w:ascii="Book Antiqua" w:hAnsi="Book Antiqua"/>
        </w:rPr>
        <w:t xml:space="preserve">odávku </w:t>
      </w:r>
      <w:r w:rsidRPr="003C0328">
        <w:rPr>
          <w:rFonts w:ascii="Book Antiqua" w:hAnsi="Book Antiqua"/>
        </w:rPr>
        <w:t>EIS prostou vad a nedodělků společně s veškerou a kompletní dokumentací je Zadavatel povinen převzít.</w:t>
      </w:r>
    </w:p>
    <w:sectPr w:rsidR="003349C2" w:rsidRPr="00362B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14" w:rsidRDefault="004E0C14" w:rsidP="00C66BBB">
      <w:r>
        <w:separator/>
      </w:r>
    </w:p>
  </w:endnote>
  <w:endnote w:type="continuationSeparator" w:id="0">
    <w:p w:rsidR="004E0C14" w:rsidRDefault="004E0C14" w:rsidP="00C6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14" w:rsidRDefault="004E0C14" w:rsidP="00C66BBB">
      <w:r>
        <w:separator/>
      </w:r>
    </w:p>
  </w:footnote>
  <w:footnote w:type="continuationSeparator" w:id="0">
    <w:p w:rsidR="004E0C14" w:rsidRDefault="004E0C14" w:rsidP="00C66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BBB" w:rsidRPr="00C66BBB" w:rsidRDefault="00C66BBB" w:rsidP="00C66BBB">
    <w:pPr>
      <w:pStyle w:val="Zhlav"/>
      <w:jc w:val="right"/>
      <w:rPr>
        <w:rFonts w:ascii="Book Antiqua" w:hAnsi="Book Antiqua"/>
      </w:rPr>
    </w:pPr>
    <w:r w:rsidRPr="00C66BBB">
      <w:rPr>
        <w:rFonts w:ascii="Book Antiqua" w:hAnsi="Book Antiqua"/>
      </w:rPr>
      <w:t>Příloha č. 4 Výzvy k</w:t>
    </w:r>
    <w:r w:rsidR="00362BFC">
      <w:rPr>
        <w:rFonts w:ascii="Book Antiqua" w:hAnsi="Book Antiqua"/>
      </w:rPr>
      <w:t> </w:t>
    </w:r>
    <w:r w:rsidRPr="00C66BBB">
      <w:rPr>
        <w:rFonts w:ascii="Book Antiqua" w:hAnsi="Book Antiqua"/>
      </w:rPr>
      <w:t>podání</w:t>
    </w:r>
    <w:r w:rsidR="00362BFC">
      <w:rPr>
        <w:rFonts w:ascii="Book Antiqua" w:hAnsi="Book Antiqua"/>
      </w:rPr>
      <w:br/>
    </w:r>
    <w:r w:rsidRPr="00C66BBB">
      <w:rPr>
        <w:rFonts w:ascii="Book Antiqua" w:hAnsi="Book Antiqua"/>
      </w:rPr>
      <w:t xml:space="preserve"> předběžn</w:t>
    </w:r>
    <w:r w:rsidR="00973B36">
      <w:rPr>
        <w:rFonts w:ascii="Book Antiqua" w:hAnsi="Book Antiqua"/>
      </w:rPr>
      <w:t xml:space="preserve">ých </w:t>
    </w:r>
    <w:r w:rsidRPr="00C66BBB">
      <w:rPr>
        <w:rFonts w:ascii="Book Antiqua" w:hAnsi="Book Antiqua"/>
      </w:rPr>
      <w:t>nabíd</w:t>
    </w:r>
    <w:r w:rsidR="00973B36">
      <w:rPr>
        <w:rFonts w:ascii="Book Antiqua" w:hAnsi="Book Antiqua"/>
      </w:rPr>
      <w:t>e</w:t>
    </w:r>
    <w:r w:rsidRPr="00C66BBB">
      <w:rPr>
        <w:rFonts w:ascii="Book Antiqua" w:hAnsi="Book Antiqua"/>
      </w:rPr>
      <w:t>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434E6"/>
    <w:multiLevelType w:val="hybridMultilevel"/>
    <w:tmpl w:val="9EC21A6A"/>
    <w:lvl w:ilvl="0" w:tplc="B706E02E">
      <w:start w:val="1"/>
      <w:numFmt w:val="decimal"/>
      <w:pStyle w:val="seznam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74548E"/>
    <w:multiLevelType w:val="hybridMultilevel"/>
    <w:tmpl w:val="B9AA3902"/>
    <w:lvl w:ilvl="0" w:tplc="30FC7E7C">
      <w:start w:val="1"/>
      <w:numFmt w:val="ordinal"/>
      <w:pStyle w:val="Styl51"/>
      <w:lvlText w:val="5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BB"/>
    <w:rsid w:val="00070043"/>
    <w:rsid w:val="00136DF6"/>
    <w:rsid w:val="003349C2"/>
    <w:rsid w:val="00344283"/>
    <w:rsid w:val="00362BFC"/>
    <w:rsid w:val="00362DC6"/>
    <w:rsid w:val="004405C0"/>
    <w:rsid w:val="004C396A"/>
    <w:rsid w:val="004E0C14"/>
    <w:rsid w:val="004F4A32"/>
    <w:rsid w:val="00697C4A"/>
    <w:rsid w:val="006A1F19"/>
    <w:rsid w:val="007E57F6"/>
    <w:rsid w:val="00973B36"/>
    <w:rsid w:val="00B13A6D"/>
    <w:rsid w:val="00C66BBB"/>
    <w:rsid w:val="00CE7141"/>
    <w:rsid w:val="00D910AE"/>
    <w:rsid w:val="00DC54B1"/>
    <w:rsid w:val="00E217A8"/>
    <w:rsid w:val="00E91204"/>
    <w:rsid w:val="00EF3026"/>
    <w:rsid w:val="00F1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DBC18-5B5F-4920-91B0-507F6745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BF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51">
    <w:name w:val="Styl5.1"/>
    <w:basedOn w:val="Normln"/>
    <w:next w:val="Normln"/>
    <w:qFormat/>
    <w:rsid w:val="00136DF6"/>
    <w:pPr>
      <w:numPr>
        <w:numId w:val="1"/>
      </w:numPr>
      <w:spacing w:after="120" w:line="240" w:lineRule="exact"/>
      <w:jc w:val="both"/>
    </w:pPr>
    <w:rPr>
      <w:rFonts w:ascii="Calibri" w:eastAsia="Calibri" w:hAnsi="Calibri" w:cs="Calibri"/>
    </w:rPr>
  </w:style>
  <w:style w:type="paragraph" w:customStyle="1" w:styleId="Smluvnstrany">
    <w:name w:val="Smluvní strany"/>
    <w:basedOn w:val="Odstavecseseznamem"/>
    <w:qFormat/>
    <w:rsid w:val="00DC54B1"/>
    <w:pPr>
      <w:spacing w:line="276" w:lineRule="auto"/>
      <w:ind w:left="0"/>
      <w:contextualSpacing w:val="0"/>
      <w:jc w:val="both"/>
    </w:pPr>
    <w:rPr>
      <w:rFonts w:ascii="Book Antiqua" w:hAnsi="Book Antiqua" w:cstheme="minorBidi"/>
      <w:bCs/>
      <w:iCs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DC54B1"/>
    <w:pPr>
      <w:spacing w:after="0" w:line="240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customStyle="1" w:styleId="seznam1">
    <w:name w:val="seznam 1."/>
    <w:basedOn w:val="Normln"/>
    <w:next w:val="Smluvnstrany"/>
    <w:qFormat/>
    <w:rsid w:val="00DC54B1"/>
    <w:pPr>
      <w:numPr>
        <w:numId w:val="3"/>
      </w:numPr>
      <w:spacing w:before="200" w:after="200" w:line="240" w:lineRule="exact"/>
      <w:jc w:val="both"/>
    </w:pPr>
    <w:rPr>
      <w:rFonts w:ascii="Book Antiqua" w:hAnsi="Book Antiqua"/>
      <w:b/>
      <w:bCs/>
      <w:iCs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BBB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66BBB"/>
  </w:style>
  <w:style w:type="paragraph" w:styleId="Zpat">
    <w:name w:val="footer"/>
    <w:basedOn w:val="Normln"/>
    <w:link w:val="ZpatChar"/>
    <w:uiPriority w:val="99"/>
    <w:unhideWhenUsed/>
    <w:rsid w:val="00C66B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BBB"/>
  </w:style>
  <w:style w:type="character" w:styleId="Odkaznakoment">
    <w:name w:val="annotation reference"/>
    <w:basedOn w:val="Standardnpsmoodstavce"/>
    <w:uiPriority w:val="99"/>
    <w:semiHidden/>
    <w:unhideWhenUsed/>
    <w:rsid w:val="00EF30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30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3026"/>
    <w:rPr>
      <w:rFonts w:asciiTheme="minorHAnsi" w:hAnsiTheme="minorHAnsi" w:cstheme="minorBid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0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026"/>
    <w:rPr>
      <w:rFonts w:asciiTheme="minorHAnsi" w:hAnsiTheme="minorHAnsi" w:cstheme="minorBid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Arazimova Marta</dc:creator>
  <cp:keywords/>
  <dc:description/>
  <cp:lastModifiedBy>Arazimová Marta</cp:lastModifiedBy>
  <cp:revision>2</cp:revision>
  <dcterms:created xsi:type="dcterms:W3CDTF">2019-06-18T19:57:00Z</dcterms:created>
  <dcterms:modified xsi:type="dcterms:W3CDTF">2019-06-18T19:57:00Z</dcterms:modified>
</cp:coreProperties>
</file>