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B07B" w14:textId="750272C0" w:rsidR="00D71F11" w:rsidRPr="00D71F11" w:rsidRDefault="003730E8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cs-CZ"/>
          <w14:ligatures w14:val="none"/>
        </w:rPr>
        <w:t>Příloha č. 1 – Požadavky na a</w:t>
      </w:r>
      <w:r w:rsidR="00D71F11" w:rsidRPr="00D71F11"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cs-CZ"/>
          <w14:ligatures w14:val="none"/>
        </w:rPr>
        <w:t>nalýz</w:t>
      </w:r>
      <w:r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cs-CZ"/>
          <w14:ligatures w14:val="none"/>
        </w:rPr>
        <w:t>u</w:t>
      </w:r>
      <w:r w:rsidR="00D71F11" w:rsidRPr="00D71F11">
        <w:rPr>
          <w:rFonts w:ascii="Aptos Display" w:eastAsia="Times New Roman" w:hAnsi="Aptos Display" w:cs="Segoe UI"/>
          <w:color w:val="0F4761"/>
          <w:kern w:val="0"/>
          <w:sz w:val="40"/>
          <w:szCs w:val="40"/>
          <w:lang w:eastAsia="cs-CZ"/>
          <w14:ligatures w14:val="none"/>
        </w:rPr>
        <w:t xml:space="preserve"> kybernetických rizik ERP systému v prostředí Dynamics 365  </w:t>
      </w:r>
    </w:p>
    <w:p w14:paraId="598531C7" w14:textId="14FA9CD9" w:rsidR="00D71F11" w:rsidRPr="00D71F11" w:rsidRDefault="001668CD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požaduje provedení důkladné kybernetické analýzy rizik v prostředí Dynamics 365, který je využíván jako ERP systém. Cílem je provést komplexní kybernetickou analýzu rizik jehož nezbytnou součástí je analýza prostředí, hodnocení dopadů na datová aktiva, identifikování potenciálních hrozeb a zranitelnosti, specifikace rizik a opatření k</w:t>
      </w:r>
      <w:r w:rsidR="00D71F11" w:rsidRPr="00D71F11">
        <w:rPr>
          <w:rFonts w:ascii="Arial" w:eastAsia="Times New Roman" w:hAnsi="Arial" w:cs="Arial"/>
          <w:kern w:val="0"/>
          <w:lang w:eastAsia="cs-CZ"/>
          <w14:ligatures w14:val="none"/>
        </w:rPr>
        <w:t> 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jejich eliminaci. D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ů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raz mus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b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ý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t kladen na soulad s platnou legislativou a standardy v 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Č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esk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é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republice t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ý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kaj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c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se ochrany dat, nap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ř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. obchodn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tajemstv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, osobn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í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ch </w:t>
      </w:r>
      <w:r w:rsidR="00D71F11" w:rsidRPr="00D71F11">
        <w:rPr>
          <w:rFonts w:ascii="Aptos" w:eastAsia="Times New Roman" w:hAnsi="Aptos" w:cs="Aptos"/>
          <w:kern w:val="0"/>
          <w:lang w:eastAsia="cs-CZ"/>
          <w14:ligatures w14:val="none"/>
        </w:rPr>
        <w:t>ú</w:t>
      </w:r>
      <w:r w:rsidR="00D71F11" w:rsidRPr="00D71F11">
        <w:rPr>
          <w:rFonts w:ascii="Aptos" w:eastAsia="Times New Roman" w:hAnsi="Aptos" w:cs="Segoe UI"/>
          <w:kern w:val="0"/>
          <w:lang w:eastAsia="cs-CZ"/>
          <w14:ligatures w14:val="none"/>
        </w:rPr>
        <w:t>dajů a zákonů vztahujících se k ERP podniku. </w:t>
      </w:r>
    </w:p>
    <w:p w14:paraId="65D389FD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Rozsah prostředí ERP v</w:t>
      </w:r>
      <w:r w:rsidRPr="00D71F11">
        <w:rPr>
          <w:rFonts w:ascii="Arial" w:eastAsia="Times New Roman" w:hAnsi="Arial" w:cs="Arial"/>
          <w:color w:val="0F4761"/>
          <w:kern w:val="0"/>
          <w:sz w:val="32"/>
          <w:szCs w:val="32"/>
          <w:lang w:eastAsia="cs-CZ"/>
          <w14:ligatures w14:val="none"/>
        </w:rPr>
        <w:t> </w:t>
      </w: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D365</w:t>
      </w:r>
      <w:r w:rsidRPr="00D71F11">
        <w:rPr>
          <w:rFonts w:ascii="Aptos Display" w:eastAsia="Times New Roman" w:hAnsi="Aptos Display" w:cs="Segoe UI"/>
          <w:b/>
          <w:bCs/>
          <w:color w:val="0F4761"/>
          <w:kern w:val="0"/>
          <w:sz w:val="32"/>
          <w:szCs w:val="32"/>
          <w:lang w:eastAsia="cs-CZ"/>
          <w14:ligatures w14:val="none"/>
        </w:rPr>
        <w:t xml:space="preserve"> </w:t>
      </w: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– licence: </w:t>
      </w:r>
    </w:p>
    <w:p w14:paraId="7F61A1EC" w14:textId="77777777" w:rsidR="00D71F11" w:rsidRPr="00D71F11" w:rsidRDefault="00D71F11" w:rsidP="00D71F11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Dynamics 365 Finance (Dyn365EFinance):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Zajišťuje správu finančních operací a poskytuje okamžitý přehled o finančním výkonu. Při hodnocení rizik je třeba brát v úvahu integritu dat, dodržování finančních předpisů a zabezpečení systému. </w:t>
      </w:r>
    </w:p>
    <w:p w14:paraId="5F8DD3F7" w14:textId="77777777" w:rsidR="00D71F11" w:rsidRPr="00D71F11" w:rsidRDefault="00D71F11" w:rsidP="00D71F11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Dynamics 365 </w:t>
      </w:r>
      <w:proofErr w:type="spellStart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Operations</w:t>
      </w:r>
      <w:proofErr w:type="spellEnd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 - </w:t>
      </w:r>
      <w:proofErr w:type="spellStart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Activity</w:t>
      </w:r>
      <w:proofErr w:type="spellEnd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 (Dyn365EOps-Activity):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Podporuje provozní procesy. Rizika mohou zahrnovat provozní přerušení, dostupnost systému a efektivitu výkonu. </w:t>
      </w:r>
    </w:p>
    <w:p w14:paraId="5F09A709" w14:textId="5B94E20E" w:rsidR="00D71F11" w:rsidRPr="00D71F11" w:rsidRDefault="00D71F11" w:rsidP="00D71F11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Dynamics 365 Supply </w:t>
      </w:r>
      <w:proofErr w:type="spellStart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Chain</w:t>
      </w:r>
      <w:proofErr w:type="spellEnd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 Management (Dyn365ESpplyChnMgmnt):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Optimalizuje operace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dodavatel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ského řetězce. Klíčová rizika zahrnují kontinuitu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dodavatel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ského řetězce, přesnost dat a správu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dodavatel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ů. </w:t>
      </w:r>
    </w:p>
    <w:p w14:paraId="1059EB39" w14:textId="77777777" w:rsidR="00D71F11" w:rsidRPr="00D71F11" w:rsidRDefault="00D71F11" w:rsidP="00D71F11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Dynamics 365 Team </w:t>
      </w:r>
      <w:proofErr w:type="spellStart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Members</w:t>
      </w:r>
      <w:proofErr w:type="spellEnd"/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 xml:space="preserve"> (Dyn365ETeamMembers):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Nabízí omezený přístup pro základní úkoly. Rizika jsou obecně nižší, ale zahrnují správné řízení přístupu a zvážení ochrany osobních údajů. </w:t>
      </w:r>
    </w:p>
    <w:p w14:paraId="64A1B336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Rozsah prostředí ERP v</w:t>
      </w:r>
      <w:r w:rsidRPr="00D71F11">
        <w:rPr>
          <w:rFonts w:ascii="Arial" w:eastAsia="Times New Roman" w:hAnsi="Arial" w:cs="Arial"/>
          <w:color w:val="0F4761"/>
          <w:kern w:val="0"/>
          <w:sz w:val="32"/>
          <w:szCs w:val="32"/>
          <w:lang w:eastAsia="cs-CZ"/>
          <w14:ligatures w14:val="none"/>
        </w:rPr>
        <w:t> </w:t>
      </w: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 xml:space="preserve">D365 </w:t>
      </w:r>
      <w:r w:rsidRPr="00D71F11">
        <w:rPr>
          <w:rFonts w:ascii="Aptos Display" w:eastAsia="Times New Roman" w:hAnsi="Aptos Display" w:cs="Aptos Display"/>
          <w:color w:val="0F4761"/>
          <w:kern w:val="0"/>
          <w:sz w:val="32"/>
          <w:szCs w:val="32"/>
          <w:lang w:eastAsia="cs-CZ"/>
          <w14:ligatures w14:val="none"/>
        </w:rPr>
        <w:t>–</w:t>
      </w: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 xml:space="preserve"> moduly:</w:t>
      </w:r>
      <w:r w:rsidRPr="00D71F11">
        <w:rPr>
          <w:rFonts w:ascii="Aptos Display" w:eastAsia="Times New Roman" w:hAnsi="Aptos Display" w:cs="Aptos Display"/>
          <w:color w:val="0F4761"/>
          <w:kern w:val="0"/>
          <w:sz w:val="32"/>
          <w:szCs w:val="32"/>
          <w:lang w:eastAsia="cs-CZ"/>
          <w14:ligatures w14:val="none"/>
        </w:rPr>
        <w:t> </w:t>
      </w: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45"/>
      </w:tblGrid>
      <w:tr w:rsidR="00D71F11" w:rsidRPr="00D71F11" w14:paraId="1B832122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64FFBA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D365</w:t>
            </w: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345A1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Činnosti v modulu (použitá data)</w:t>
            </w: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1F11" w:rsidRPr="00D71F11" w14:paraId="231E1307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AE1B5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Hlavní kniha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193C1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Kompletní finanční účetnictví společnosti </w:t>
            </w:r>
          </w:p>
        </w:tc>
      </w:tr>
      <w:tr w:rsidR="00D71F11" w:rsidRPr="00D71F11" w14:paraId="20DA5636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CCB0F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Daň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6DE48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Daňové účetnictví společnosti, zejména DPH </w:t>
            </w:r>
          </w:p>
        </w:tc>
      </w:tr>
      <w:tr w:rsidR="00D71F11" w:rsidRPr="00D71F11" w14:paraId="6B90CA8F" w14:textId="77777777" w:rsidTr="00D71F11">
        <w:trPr>
          <w:trHeight w:val="52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A1860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Dlouhodobý majetek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61502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Evidence movitého a nemovitého majetku společnosti, finanční hodnota majetku (pořizovací ceny, zůstatkové ceny, odpisy …) </w:t>
            </w:r>
          </w:p>
        </w:tc>
      </w:tr>
      <w:tr w:rsidR="00D71F11" w:rsidRPr="00D71F11" w14:paraId="585FB148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7D22D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Lidské zdroje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6D680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Využívána data o zaměstnancích, D365 využívá vazby na Zaměstnance ve většině ostatních modulů </w:t>
            </w:r>
          </w:p>
        </w:tc>
      </w:tr>
      <w:tr w:rsidR="00D71F11" w:rsidRPr="00D71F11" w14:paraId="51F10A52" w14:textId="77777777" w:rsidTr="00D71F11">
        <w:trPr>
          <w:trHeight w:val="52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10D9E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Pohledávky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446E9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Kompletní evidence odběratelů, vystavených dokladů na odběratele (faktury, fakturace LEPO, upomínky …), stav pohledávek celkový i za jednotlivými odběrateli </w:t>
            </w:r>
          </w:p>
        </w:tc>
      </w:tr>
      <w:tr w:rsidR="00D71F11" w:rsidRPr="00D71F11" w14:paraId="63C02B56" w14:textId="77777777" w:rsidTr="00D71F11">
        <w:trPr>
          <w:trHeight w:val="52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5D60A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Pokladna a banka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106D6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Zpracování hotovosti a bankovních operací, evidence pohybu a zůstatků v pokladnách a na bankovních účtech, V pokladně se zpracovává výplata záloh a vyúčtování pracovních cest </w:t>
            </w:r>
          </w:p>
        </w:tc>
      </w:tr>
      <w:tr w:rsidR="00D71F11" w:rsidRPr="00D71F11" w14:paraId="7C5F6390" w14:textId="77777777" w:rsidTr="00D71F11">
        <w:trPr>
          <w:trHeight w:val="52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B7C26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Rozpočtování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6ABF4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do finančního účetnictví (Hlavní kniha), zpracování rozpočtů, porovnání rozpočtů se skutečností finančního účetnictví </w:t>
            </w:r>
          </w:p>
        </w:tc>
      </w:tr>
      <w:tr w:rsidR="00D71F11" w:rsidRPr="00D71F11" w14:paraId="76FD7C79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B86CB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informací o produktech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F00C7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Převážně modul pro parametrizaci fakturovaných a nakupovaných služeb </w:t>
            </w:r>
          </w:p>
        </w:tc>
      </w:tr>
      <w:tr w:rsidR="00D71F11" w:rsidRPr="00D71F11" w14:paraId="1E10A720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D3846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zásob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4BB42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Sklady a skladové operace </w:t>
            </w:r>
          </w:p>
        </w:tc>
      </w:tr>
      <w:tr w:rsidR="00D71F11" w:rsidRPr="00D71F11" w14:paraId="351F1459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8296C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Smlouvy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A1A49" w14:textId="16007BE3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Evidence </w:t>
            </w:r>
            <w:r w:rsidR="003730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ských a odběratelských smluv, evidence plnění smluv, platnost smluv … </w:t>
            </w:r>
          </w:p>
        </w:tc>
      </w:tr>
      <w:tr w:rsidR="00D71F11" w:rsidRPr="00D71F11" w14:paraId="7595FD1E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C6C28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Správa nákladů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DFB7E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Využívána část pro skladové operace (Řízení zásob) </w:t>
            </w:r>
          </w:p>
        </w:tc>
      </w:tr>
      <w:tr w:rsidR="00D71F11" w:rsidRPr="00D71F11" w14:paraId="2B70BA9F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C5AC4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Správa výdajů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2D636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Komplexní řešení cestovních žádanek, včetně výdajů na cestovních žádankách, cestující, spolucestující … </w:t>
            </w:r>
          </w:p>
        </w:tc>
      </w:tr>
      <w:tr w:rsidR="00D71F11" w:rsidRPr="00D71F11" w14:paraId="3D4DBF19" w14:textId="77777777" w:rsidTr="00D71F11">
        <w:trPr>
          <w:trHeight w:val="27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439E9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Zásobování a zdroje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E5273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 procesu nákupu (žádanka, objednávka, schvalování ….) </w:t>
            </w:r>
          </w:p>
        </w:tc>
      </w:tr>
      <w:tr w:rsidR="00D71F11" w:rsidRPr="00D71F11" w14:paraId="02B289FD" w14:textId="77777777" w:rsidTr="00D71F11">
        <w:trPr>
          <w:trHeight w:val="5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8FA33" w14:textId="77777777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Závazky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35862" w14:textId="71C2D3FC" w:rsidR="00D71F11" w:rsidRPr="00D71F11" w:rsidRDefault="00D71F11" w:rsidP="00D71F11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Kompletní evidence </w:t>
            </w:r>
            <w:r w:rsidR="003730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ů, přijatých dokladů od </w:t>
            </w:r>
            <w:r w:rsidR="003730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Pr="00D71F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 (faktury, upomínky …), stav závazků celkový i za jednotlivé </w:t>
            </w:r>
            <w:r w:rsidR="003730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dodavatele</w:t>
            </w:r>
          </w:p>
        </w:tc>
      </w:tr>
    </w:tbl>
    <w:p w14:paraId="16644F0F" w14:textId="77777777" w:rsidR="00D71F11" w:rsidRPr="00D71F11" w:rsidRDefault="00D71F11" w:rsidP="00D71F1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275673C1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Požadované služby a dokumenty: </w:t>
      </w:r>
    </w:p>
    <w:p w14:paraId="3AA37EDE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lastRenderedPageBreak/>
        <w:t>Analýza rizik: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2D46D6A1" w14:textId="77777777" w:rsidR="00D71F11" w:rsidRPr="00D71F11" w:rsidRDefault="00D71F11" w:rsidP="00D71F11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Identifikace možných hrozeb a zranitelností v prostředí Dynamics 365. </w:t>
      </w:r>
    </w:p>
    <w:p w14:paraId="11A49903" w14:textId="77777777" w:rsidR="00D71F11" w:rsidRPr="00D71F11" w:rsidRDefault="00D71F11" w:rsidP="00D71F11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Zhodnocení dopadů těchto rizik na provoz a bezpečnost dat, dle jejich citlivosti definované podnikem. </w:t>
      </w:r>
    </w:p>
    <w:p w14:paraId="728EB63E" w14:textId="77777777" w:rsidR="00D71F11" w:rsidRPr="00D71F11" w:rsidRDefault="00D71F11" w:rsidP="00D71F11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Stanovení priorit a vážnosti jednotlivých rizik. </w:t>
      </w:r>
    </w:p>
    <w:p w14:paraId="67F26487" w14:textId="77777777" w:rsidR="00D71F11" w:rsidRPr="00D71F11" w:rsidRDefault="00D71F11" w:rsidP="00D71F11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Vytvoření výstupních dokumentů: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5907808F" w14:textId="77777777" w:rsidR="00D71F11" w:rsidRPr="00D71F11" w:rsidRDefault="00D71F11" w:rsidP="00D71F11">
      <w:pPr>
        <w:numPr>
          <w:ilvl w:val="0"/>
          <w:numId w:val="6"/>
        </w:numPr>
        <w:spacing w:after="0" w:line="240" w:lineRule="auto"/>
        <w:ind w:left="180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Zpráva o analýze rizik (Zpráva o hodnoceni rizik)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: Obsahuje shrnutí klíčových zjištění analýzy rizik v cloudovém prostředí Dynamics 365, včetně identifikovaných hrozeb, zranitelností a jejich potenciálních dopadů. Podrobné popsání metodiky provedení analýzy a vyhodnocení rizik. </w:t>
      </w:r>
    </w:p>
    <w:p w14:paraId="0FDBCEE9" w14:textId="77777777" w:rsidR="00D71F11" w:rsidRPr="00D71F11" w:rsidRDefault="00D71F11" w:rsidP="00D71F11">
      <w:pPr>
        <w:numPr>
          <w:ilvl w:val="0"/>
          <w:numId w:val="6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Seznam rizik a jejich prioritizace (Plán zvládání rizik)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: Detailní seznam identifikovaných rizik, který obsahuje jejich popis, kritičnost, pravděpodobnost výskytu a doporučené kroky pro mitigaci, včetně grafického zobrazení </w:t>
      </w:r>
      <w:proofErr w:type="spellStart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prioritizovaných</w:t>
      </w:r>
      <w:proofErr w:type="spellEnd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rizik a jejich pravděpodobnosti výskytu a dopadů. </w:t>
      </w:r>
    </w:p>
    <w:p w14:paraId="7E9D75C4" w14:textId="39F26379" w:rsidR="00D71F11" w:rsidRPr="00D71F11" w:rsidRDefault="00D71F11" w:rsidP="00D71F11">
      <w:pPr>
        <w:numPr>
          <w:ilvl w:val="0"/>
          <w:numId w:val="6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Návrh protiopatření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: Dokument popisující navržená opatření pro mitigaci identifikovaných rizik, včetně technických a organizačních opatření, která by měla být přijata. Návrh a formulace protiopatření musí být zohledněna vůči znalostem správce pečujícího o prostředí Dynamics 365 na straně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e. Protiopatření musí obsahovat minimálně následující položky: </w:t>
      </w:r>
    </w:p>
    <w:p w14:paraId="79BBD816" w14:textId="77777777" w:rsidR="00D71F11" w:rsidRPr="00D71F11" w:rsidRDefault="00D71F11" w:rsidP="00D71F11">
      <w:pPr>
        <w:numPr>
          <w:ilvl w:val="0"/>
          <w:numId w:val="7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Popis samotného protiopatření; </w:t>
      </w:r>
    </w:p>
    <w:p w14:paraId="365DB5CF" w14:textId="77777777" w:rsidR="00D71F11" w:rsidRPr="00D71F11" w:rsidRDefault="00D71F11" w:rsidP="00D71F11">
      <w:pPr>
        <w:numPr>
          <w:ilvl w:val="0"/>
          <w:numId w:val="7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Odpovědné osoby nebo týmy za implementaci protiopatření; </w:t>
      </w:r>
    </w:p>
    <w:p w14:paraId="44149CBE" w14:textId="77777777" w:rsidR="00D71F11" w:rsidRPr="00D71F11" w:rsidRDefault="00D71F11" w:rsidP="00D71F11">
      <w:pPr>
        <w:numPr>
          <w:ilvl w:val="0"/>
          <w:numId w:val="8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Doporučované termíny a trvání implementace; </w:t>
      </w:r>
    </w:p>
    <w:p w14:paraId="65CDF6FE" w14:textId="77777777" w:rsidR="00D71F11" w:rsidRPr="00D71F11" w:rsidRDefault="00D71F11" w:rsidP="00D71F11">
      <w:pPr>
        <w:numPr>
          <w:ilvl w:val="0"/>
          <w:numId w:val="8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Očekávané náklady a zdroje potřebné k implementaci; </w:t>
      </w:r>
    </w:p>
    <w:p w14:paraId="2989638A" w14:textId="77777777" w:rsidR="00D71F11" w:rsidRPr="00D71F11" w:rsidRDefault="00D71F11" w:rsidP="00D71F11">
      <w:pPr>
        <w:numPr>
          <w:ilvl w:val="0"/>
          <w:numId w:val="8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Očekávané dopady na snížení rizika; </w:t>
      </w:r>
    </w:p>
    <w:p w14:paraId="16BC62E0" w14:textId="77777777" w:rsidR="00D71F11" w:rsidRPr="00D71F11" w:rsidRDefault="00D71F11" w:rsidP="00D71F11">
      <w:pPr>
        <w:numPr>
          <w:ilvl w:val="0"/>
          <w:numId w:val="8"/>
        </w:numPr>
        <w:spacing w:after="0" w:line="240" w:lineRule="auto"/>
        <w:ind w:left="252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Metody sledování a vyhodnocování účinnosti protiopatření. </w:t>
      </w:r>
    </w:p>
    <w:p w14:paraId="5429F8A0" w14:textId="5F6E3E43" w:rsidR="00D71F11" w:rsidRPr="00D71F11" w:rsidRDefault="00D71F11" w:rsidP="00D71F11">
      <w:pPr>
        <w:numPr>
          <w:ilvl w:val="0"/>
          <w:numId w:val="9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Prohlášení o aplikovatelnosti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: Obsahuje informace o tom, zda jsou tato opatření implementována, a pokud ne, pak zdůvodnění důvodu jejich </w:t>
      </w:r>
      <w:proofErr w:type="spellStart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neimplementace</w:t>
      </w:r>
      <w:proofErr w:type="spellEnd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. Dále uvádí plánované akce a termíny pro implementaci neimplementovaných opatření. Zahrnuje také důvody pro vyloučení některých opatření, pokud jsou neaplikovatelná nebo nevhodná pro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e. </w:t>
      </w:r>
    </w:p>
    <w:p w14:paraId="6933F660" w14:textId="77777777" w:rsidR="00D71F11" w:rsidRPr="00D71F11" w:rsidRDefault="00D71F11" w:rsidP="00D71F11">
      <w:pPr>
        <w:numPr>
          <w:ilvl w:val="0"/>
          <w:numId w:val="9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Doporučení pro zlepšení bezpečnosti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: Obsahuje obecná doporučení a nejlepší postupy pro zlepšení celkové bezpečnosti cloudového prostředí Dynamics 365, která nejsou přímo spojená s identifikovanými riziky. </w:t>
      </w:r>
    </w:p>
    <w:p w14:paraId="097FC26E" w14:textId="77777777" w:rsidR="00D71F11" w:rsidRPr="00D71F11" w:rsidRDefault="00D71F11" w:rsidP="00D71F11">
      <w:pPr>
        <w:numPr>
          <w:ilvl w:val="0"/>
          <w:numId w:val="9"/>
        </w:numPr>
        <w:spacing w:after="0" w:line="240" w:lineRule="auto"/>
        <w:ind w:left="1800" w:firstLine="0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>Závěrečná zpráva (Studie bezpečnosti):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Souhrnná zpráva, která shrnuje všechny aspekty provedené analýzy rizik a poskytuje doporučení pro další kroky. </w:t>
      </w:r>
    </w:p>
    <w:p w14:paraId="0552AB9D" w14:textId="77777777" w:rsidR="00D71F11" w:rsidRPr="00D71F11" w:rsidRDefault="00D71F11" w:rsidP="00D71F11">
      <w:pPr>
        <w:numPr>
          <w:ilvl w:val="0"/>
          <w:numId w:val="9"/>
        </w:numPr>
        <w:spacing w:after="0" w:line="240" w:lineRule="auto"/>
        <w:ind w:left="180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 xml:space="preserve">Business Continuity plán: 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Obsahuje analýzu rizik, strategie kontinuity poskytování služeb a konkrétní plány a postupy pro obnovu operací po výpadku. Taktéž zahrnuje přiřazení rolí a odpovědností, zajištění zdrojů a zařízení, a plán pro pravidelné aktualizace a testování, k zajištění efektivity a účinnosti plánu v reálných situacích. </w:t>
      </w:r>
    </w:p>
    <w:p w14:paraId="4F8E5B9C" w14:textId="77777777" w:rsidR="00D71F11" w:rsidRPr="00D71F11" w:rsidRDefault="00D71F11" w:rsidP="00D71F11">
      <w:pPr>
        <w:numPr>
          <w:ilvl w:val="0"/>
          <w:numId w:val="9"/>
        </w:numPr>
        <w:spacing w:after="0" w:line="240" w:lineRule="auto"/>
        <w:ind w:left="180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b/>
          <w:bCs/>
          <w:kern w:val="0"/>
          <w:lang w:eastAsia="cs-CZ"/>
          <w14:ligatures w14:val="none"/>
        </w:rPr>
        <w:t xml:space="preserve">Disaster Recovery plán: 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Obsahuje strategii obnovy dat a systémů, včetně plánů zálohování a obnovy dat a procesů pro obnovu IT systémů a aplikací. Dále zahrnuje pravidelné testování a aktualizace, k zajištění efektivity a spolehlivosti plánu v případě potřeby. </w:t>
      </w:r>
    </w:p>
    <w:p w14:paraId="235D44A5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Zásady dodržované při analýze: </w:t>
      </w:r>
    </w:p>
    <w:p w14:paraId="4C1F20AB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Ochrana citlivých informací: </w:t>
      </w:r>
    </w:p>
    <w:p w14:paraId="613518D6" w14:textId="6C20F1EA" w:rsidR="00D71F11" w:rsidRPr="00D71F11" w:rsidRDefault="00D71F11" w:rsidP="00D71F11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Zohlednění ochrany osobních údajů, obchodního tajemství a zákonů o financování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e. </w:t>
      </w:r>
    </w:p>
    <w:p w14:paraId="4D06A5FA" w14:textId="22A7E8B7" w:rsidR="00D71F11" w:rsidRPr="00D71F11" w:rsidRDefault="00D71F11" w:rsidP="00D71F11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lastRenderedPageBreak/>
        <w:t xml:space="preserve">Veškeré výstupy analýzy musí respektovat citlivost informací dle stanov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e. </w:t>
      </w:r>
    </w:p>
    <w:p w14:paraId="131A58AA" w14:textId="1395804C" w:rsidR="00D71F11" w:rsidRPr="00D71F11" w:rsidRDefault="00D71F11" w:rsidP="00D71F11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Pro účely určení dopadu na datová aktiva bude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zhotovitel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i poskytnuta dopadová tabulka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e.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Zhotovitel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musí respektovat její citlivost. </w:t>
      </w:r>
    </w:p>
    <w:p w14:paraId="74C83A5C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 Display" w:eastAsia="Times New Roman" w:hAnsi="Aptos Display" w:cs="Segoe UI"/>
          <w:color w:val="0F4761"/>
          <w:kern w:val="0"/>
          <w:sz w:val="32"/>
          <w:szCs w:val="32"/>
          <w:lang w:eastAsia="cs-CZ"/>
          <w14:ligatures w14:val="none"/>
        </w:rPr>
        <w:t>Další požadavky: </w:t>
      </w:r>
    </w:p>
    <w:p w14:paraId="4073DC00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Dodržení termínů dle předem schváleného harmonogramu a kvality provedení analýzy a dokumentace. </w:t>
      </w:r>
    </w:p>
    <w:p w14:paraId="37CBBA27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color w:val="0F4761"/>
          <w:kern w:val="0"/>
          <w:sz w:val="28"/>
          <w:szCs w:val="28"/>
          <w:lang w:eastAsia="cs-CZ"/>
          <w14:ligatures w14:val="none"/>
        </w:rPr>
        <w:t>Požadavky na dodržení souladu s</w:t>
      </w:r>
      <w:r w:rsidRPr="00D71F11">
        <w:rPr>
          <w:rFonts w:ascii="Arial" w:eastAsia="Times New Roman" w:hAnsi="Arial" w:cs="Arial"/>
          <w:color w:val="0F4761"/>
          <w:kern w:val="0"/>
          <w:sz w:val="28"/>
          <w:szCs w:val="28"/>
          <w:lang w:eastAsia="cs-CZ"/>
          <w14:ligatures w14:val="none"/>
        </w:rPr>
        <w:t> </w:t>
      </w:r>
      <w:r w:rsidRPr="00D71F11">
        <w:rPr>
          <w:rFonts w:ascii="Aptos" w:eastAsia="Times New Roman" w:hAnsi="Aptos" w:cs="Segoe UI"/>
          <w:color w:val="0F4761"/>
          <w:kern w:val="0"/>
          <w:sz w:val="28"/>
          <w:szCs w:val="28"/>
          <w:lang w:eastAsia="cs-CZ"/>
          <w14:ligatures w14:val="none"/>
        </w:rPr>
        <w:t>platn</w:t>
      </w:r>
      <w:r w:rsidRPr="00D71F11">
        <w:rPr>
          <w:rFonts w:ascii="Aptos" w:eastAsia="Times New Roman" w:hAnsi="Aptos" w:cs="Aptos"/>
          <w:color w:val="0F4761"/>
          <w:kern w:val="0"/>
          <w:sz w:val="28"/>
          <w:szCs w:val="28"/>
          <w:lang w:eastAsia="cs-CZ"/>
          <w14:ligatures w14:val="none"/>
        </w:rPr>
        <w:t>ý</w:t>
      </w:r>
      <w:r w:rsidRPr="00D71F11">
        <w:rPr>
          <w:rFonts w:ascii="Aptos" w:eastAsia="Times New Roman" w:hAnsi="Aptos" w:cs="Segoe UI"/>
          <w:color w:val="0F4761"/>
          <w:kern w:val="0"/>
          <w:sz w:val="28"/>
          <w:szCs w:val="28"/>
          <w:lang w:eastAsia="cs-CZ"/>
          <w14:ligatures w14:val="none"/>
        </w:rPr>
        <w:t xml:space="preserve">mi standardy a legislativou </w:t>
      </w:r>
      <w:r w:rsidRPr="00D71F11">
        <w:rPr>
          <w:rFonts w:ascii="Aptos" w:eastAsia="Times New Roman" w:hAnsi="Aptos" w:cs="Aptos"/>
          <w:color w:val="0F4761"/>
          <w:kern w:val="0"/>
          <w:sz w:val="28"/>
          <w:szCs w:val="28"/>
          <w:lang w:eastAsia="cs-CZ"/>
          <w14:ligatures w14:val="none"/>
        </w:rPr>
        <w:t>Č</w:t>
      </w:r>
      <w:r w:rsidRPr="00D71F11">
        <w:rPr>
          <w:rFonts w:ascii="Aptos" w:eastAsia="Times New Roman" w:hAnsi="Aptos" w:cs="Segoe UI"/>
          <w:color w:val="0F4761"/>
          <w:kern w:val="0"/>
          <w:sz w:val="28"/>
          <w:szCs w:val="28"/>
          <w:lang w:eastAsia="cs-CZ"/>
          <w14:ligatures w14:val="none"/>
        </w:rPr>
        <w:t>R </w:t>
      </w:r>
    </w:p>
    <w:p w14:paraId="1DB12EF4" w14:textId="77777777" w:rsidR="00D71F11" w:rsidRPr="00D71F11" w:rsidRDefault="00D71F11" w:rsidP="00D71F11">
      <w:pPr>
        <w:numPr>
          <w:ilvl w:val="0"/>
          <w:numId w:val="1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Obecné nařízení o ochraně osobních údajů (GDPR):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316316BD" w14:textId="56362486" w:rsid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GDPR stanovuje přísné požadavky na ochranu osobních údajů občanů EU, včetně jejich sběru, zpracování a uchování. To zahrnuje i služby SaaS, které zpracovávají osobní údaje. </w:t>
      </w:r>
    </w:p>
    <w:p w14:paraId="5D426858" w14:textId="02DAAED1" w:rsidR="009747AA" w:rsidRPr="001760D5" w:rsidRDefault="009747AA" w:rsidP="009747AA">
      <w:pPr>
        <w:pStyle w:val="Odstavecseseznamem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u w:val="single"/>
          <w:lang w:eastAsia="cs-CZ"/>
          <w14:ligatures w14:val="none"/>
        </w:rPr>
      </w:pPr>
      <w:r>
        <w:rPr>
          <w:u w:val="single"/>
        </w:rPr>
        <w:t xml:space="preserve">Zákon </w:t>
      </w:r>
      <w:r w:rsidRPr="001760D5">
        <w:rPr>
          <w:u w:val="single"/>
        </w:rPr>
        <w:t>č. 110/2019 Sb., o zpracování osobních údajů:</w:t>
      </w:r>
    </w:p>
    <w:p w14:paraId="7623FA33" w14:textId="14D45152" w:rsidR="009747AA" w:rsidRPr="00D71F11" w:rsidRDefault="009747AA" w:rsidP="009747A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>
        <w:t>V České republice upravuje konkrétní aspekty ochrany osobních údajů, které nejsou přímo řešeny Obecným nařízením o ochraně osobních údajů (GDPR), nebo které GDPR přenechává na národní legislativě.</w:t>
      </w:r>
    </w:p>
    <w:p w14:paraId="0CF1C0CB" w14:textId="392DAB77" w:rsidR="009747AA" w:rsidRDefault="00D71F11" w:rsidP="009747AA">
      <w:pPr>
        <w:numPr>
          <w:ilvl w:val="0"/>
          <w:numId w:val="1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Zákon</w:t>
      </w:r>
      <w:r w:rsidR="009747AA">
        <w:rPr>
          <w:u w:val="single"/>
        </w:rPr>
        <w:t xml:space="preserve"> č. </w:t>
      </w:r>
      <w:r w:rsidR="009747AA" w:rsidRPr="001760D5">
        <w:rPr>
          <w:u w:val="single"/>
        </w:rPr>
        <w:t>297/2016 Sb., o službách vytvářejících důvěru pro elektronické transakce</w:t>
      </w:r>
      <w:r w:rsidR="009747AA">
        <w:rPr>
          <w:rFonts w:ascii="Aptos" w:eastAsia="Times New Roman" w:hAnsi="Aptos" w:cs="Segoe UI"/>
          <w:kern w:val="0"/>
          <w:lang w:eastAsia="cs-CZ"/>
          <w14:ligatures w14:val="none"/>
        </w:rPr>
        <w:t>:</w:t>
      </w:r>
    </w:p>
    <w:p w14:paraId="73B8A07D" w14:textId="7E3350C5" w:rsidR="009747AA" w:rsidRPr="009747AA" w:rsidRDefault="009747AA" w:rsidP="009747AA">
      <w:pPr>
        <w:spacing w:after="0" w:line="240" w:lineRule="auto"/>
        <w:ind w:left="709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>
        <w:t>V České republice upravuje právní rámec pro poskytování služeb vytvářejících důvěru v oblasti elektronických transakcí.</w:t>
      </w:r>
    </w:p>
    <w:p w14:paraId="4B85F24C" w14:textId="30DEF062" w:rsidR="00D71F11" w:rsidRPr="00D71F11" w:rsidRDefault="00D71F11" w:rsidP="009747AA">
      <w:pPr>
        <w:numPr>
          <w:ilvl w:val="0"/>
          <w:numId w:val="1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Zákon o kybernetické bezpečnosti (Zákon č. 181/2014 Sb.):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6CAD20C7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Zákon stanovuje povinnosti pro poskytovatele služeb a organizace v oblasti kybernetické bezpečnosti, což může zahrnovat i ochranu dat a služeb poskytovaných prostřednictvím SaaS. </w:t>
      </w:r>
    </w:p>
    <w:p w14:paraId="48CF63F5" w14:textId="77777777" w:rsidR="00D71F11" w:rsidRPr="00D71F11" w:rsidRDefault="00D71F11" w:rsidP="00D71F11">
      <w:pPr>
        <w:numPr>
          <w:ilvl w:val="0"/>
          <w:numId w:val="14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ISO/IEC 27017: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 </w:t>
      </w:r>
    </w:p>
    <w:p w14:paraId="573A9CF9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Standard poskytuje pokyny a doporučení pro informační bezpečnost související s cloudovými službami, s důrazem na zohlednění rizik spojených s cloud </w:t>
      </w:r>
      <w:proofErr w:type="spellStart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computingem</w:t>
      </w:r>
      <w:proofErr w:type="spellEnd"/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. </w:t>
      </w:r>
    </w:p>
    <w:p w14:paraId="7EA4D6AB" w14:textId="77777777" w:rsidR="00D71F11" w:rsidRPr="00D71F11" w:rsidRDefault="00D71F11" w:rsidP="00D71F11">
      <w:pPr>
        <w:numPr>
          <w:ilvl w:val="0"/>
          <w:numId w:val="1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ISO/IEC 27018: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 </w:t>
      </w:r>
    </w:p>
    <w:p w14:paraId="14CC52A3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Standard se zaměřuje na ochranu osobních údajů v cloudových prostředích. Poskytuje pokyny pro poskytovatele cloudových služeb, jak chránit osobní údaje zpracovávané v cloudu. </w:t>
      </w:r>
    </w:p>
    <w:p w14:paraId="7D8AFC12" w14:textId="77777777" w:rsidR="00D71F11" w:rsidRPr="00D71F11" w:rsidRDefault="00D71F11" w:rsidP="00D71F11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ISO/IEC 27001: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57F53BF8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Standard poskytuje rámec pro řízení informační bezpečnosti v organizaci. Dodržování tohoto standardu pomáhá zajistit adekvátní ochranu dat v rámci služeb SaaS. </w:t>
      </w:r>
    </w:p>
    <w:p w14:paraId="760A75A1" w14:textId="77777777" w:rsidR="00D71F11" w:rsidRPr="00D71F11" w:rsidRDefault="00D71F11" w:rsidP="00D71F11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ISO/IEC 27002: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 </w:t>
      </w:r>
    </w:p>
    <w:p w14:paraId="0A4F87D8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Standard poskytuje obecné pokyny a praktické doporučení pro zabezpečení informací, které lze aplikovat i na cloudové prostředí. </w:t>
      </w:r>
    </w:p>
    <w:p w14:paraId="281B21BE" w14:textId="77777777" w:rsidR="00D71F11" w:rsidRPr="00D71F11" w:rsidRDefault="00D71F11" w:rsidP="00D71F11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Segoe UI"/>
          <w:kern w:val="0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u w:val="single"/>
          <w:lang w:eastAsia="cs-CZ"/>
          <w14:ligatures w14:val="none"/>
        </w:rPr>
        <w:t>ISO/IEC 27005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33EA394F" w14:textId="77777777" w:rsidR="00D71F11" w:rsidRPr="00D71F11" w:rsidRDefault="00D71F11" w:rsidP="00D71F1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Standard poskytuje rámec pro identifikaci, hodnocení a řízení rizik spojených s informačními aktivy organizace. </w:t>
      </w:r>
    </w:p>
    <w:p w14:paraId="3BA569E2" w14:textId="47C285A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V souladu s mezinárodními standardy a doporučeními týkajícími se bezpečnosti cloudových služeb, včetně normy ISO/IEC 27001, ISO/IEC 27017 a ISO/IEC 27018, požadujeme, aby potenciální </w:t>
      </w:r>
      <w:r w:rsidR="003730E8">
        <w:rPr>
          <w:rFonts w:ascii="Aptos" w:eastAsia="Times New Roman" w:hAnsi="Aptos" w:cs="Segoe UI"/>
          <w:kern w:val="0"/>
          <w:lang w:eastAsia="cs-CZ"/>
          <w14:ligatures w14:val="none"/>
        </w:rPr>
        <w:t>zhotovitel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 navrhl protiopatření, která budou sloužit k mitigaci identifikovaných rizik v prostředí Dynamics 365. </w:t>
      </w:r>
    </w:p>
    <w:p w14:paraId="53DBE94E" w14:textId="5E90B2B4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 xml:space="preserve">Důležitým aspektem navrhovaných protiopatření je, aby byla srozumitelná a proveditelná i pro správce </w:t>
      </w:r>
      <w:r w:rsidR="001668CD">
        <w:rPr>
          <w:rFonts w:ascii="Aptos" w:eastAsia="Times New Roman" w:hAnsi="Aptos" w:cs="Segoe UI"/>
          <w:kern w:val="0"/>
          <w:lang w:eastAsia="cs-CZ"/>
          <w14:ligatures w14:val="none"/>
        </w:rPr>
        <w:t>objednatel</w:t>
      </w: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e, kteří mají základní znalosti prostředí Dynamics 365. To znamená, že navržená opatření by měla být přizpůsobena tak, aby byla snadno implementovatelná a udržovatelná bez nutnosti pokročilých technických znalostí. </w:t>
      </w:r>
    </w:p>
    <w:p w14:paraId="369225E2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1FC4330F" w14:textId="77777777" w:rsidR="00D71F11" w:rsidRPr="00D71F11" w:rsidRDefault="00D71F11" w:rsidP="00D71F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D71F11">
        <w:rPr>
          <w:rFonts w:ascii="Aptos" w:eastAsia="Times New Roman" w:hAnsi="Aptos" w:cs="Segoe UI"/>
          <w:kern w:val="0"/>
          <w:lang w:eastAsia="cs-CZ"/>
          <w14:ligatures w14:val="none"/>
        </w:rPr>
        <w:t> </w:t>
      </w:r>
    </w:p>
    <w:p w14:paraId="344D3DCA" w14:textId="77777777" w:rsidR="00AF7163" w:rsidRDefault="00AF7163"/>
    <w:sectPr w:rsidR="00AF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C072F"/>
    <w:multiLevelType w:val="multilevel"/>
    <w:tmpl w:val="7A603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6A2775"/>
    <w:multiLevelType w:val="multilevel"/>
    <w:tmpl w:val="FD9E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9E3B56"/>
    <w:multiLevelType w:val="multilevel"/>
    <w:tmpl w:val="12047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965EB"/>
    <w:multiLevelType w:val="multilevel"/>
    <w:tmpl w:val="581CA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29E1A97"/>
    <w:multiLevelType w:val="multilevel"/>
    <w:tmpl w:val="7046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151D70"/>
    <w:multiLevelType w:val="multilevel"/>
    <w:tmpl w:val="FBF0A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53E96"/>
    <w:multiLevelType w:val="multilevel"/>
    <w:tmpl w:val="791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CE0A69"/>
    <w:multiLevelType w:val="multilevel"/>
    <w:tmpl w:val="324E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300D12"/>
    <w:multiLevelType w:val="multilevel"/>
    <w:tmpl w:val="3F20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085B65"/>
    <w:multiLevelType w:val="multilevel"/>
    <w:tmpl w:val="E9F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439C"/>
    <w:multiLevelType w:val="multilevel"/>
    <w:tmpl w:val="176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91D71"/>
    <w:multiLevelType w:val="multilevel"/>
    <w:tmpl w:val="845E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B77BF7"/>
    <w:multiLevelType w:val="multilevel"/>
    <w:tmpl w:val="2DA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B372C8"/>
    <w:multiLevelType w:val="multilevel"/>
    <w:tmpl w:val="8AC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806378"/>
    <w:multiLevelType w:val="multilevel"/>
    <w:tmpl w:val="72443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194722"/>
    <w:multiLevelType w:val="multilevel"/>
    <w:tmpl w:val="36C6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5665BA"/>
    <w:multiLevelType w:val="multilevel"/>
    <w:tmpl w:val="BB3C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427AD"/>
    <w:multiLevelType w:val="multilevel"/>
    <w:tmpl w:val="C5A2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303114">
    <w:abstractNumId w:val="12"/>
  </w:num>
  <w:num w:numId="2" w16cid:durableId="99449864">
    <w:abstractNumId w:val="9"/>
  </w:num>
  <w:num w:numId="3" w16cid:durableId="1613970681">
    <w:abstractNumId w:val="14"/>
  </w:num>
  <w:num w:numId="4" w16cid:durableId="1363050008">
    <w:abstractNumId w:val="10"/>
  </w:num>
  <w:num w:numId="5" w16cid:durableId="1331130923">
    <w:abstractNumId w:val="8"/>
  </w:num>
  <w:num w:numId="6" w16cid:durableId="1366104360">
    <w:abstractNumId w:val="3"/>
  </w:num>
  <w:num w:numId="7" w16cid:durableId="37974696">
    <w:abstractNumId w:val="2"/>
  </w:num>
  <w:num w:numId="8" w16cid:durableId="1434014482">
    <w:abstractNumId w:val="5"/>
  </w:num>
  <w:num w:numId="9" w16cid:durableId="596444675">
    <w:abstractNumId w:val="0"/>
  </w:num>
  <w:num w:numId="10" w16cid:durableId="1399788843">
    <w:abstractNumId w:val="1"/>
  </w:num>
  <w:num w:numId="11" w16cid:durableId="1632401747">
    <w:abstractNumId w:val="6"/>
  </w:num>
  <w:num w:numId="12" w16cid:durableId="812407595">
    <w:abstractNumId w:val="15"/>
  </w:num>
  <w:num w:numId="13" w16cid:durableId="445731641">
    <w:abstractNumId w:val="11"/>
  </w:num>
  <w:num w:numId="14" w16cid:durableId="1872760758">
    <w:abstractNumId w:val="16"/>
  </w:num>
  <w:num w:numId="15" w16cid:durableId="111366968">
    <w:abstractNumId w:val="17"/>
  </w:num>
  <w:num w:numId="16" w16cid:durableId="804202697">
    <w:abstractNumId w:val="13"/>
  </w:num>
  <w:num w:numId="17" w16cid:durableId="1965572388">
    <w:abstractNumId w:val="7"/>
  </w:num>
  <w:num w:numId="18" w16cid:durableId="92248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11"/>
    <w:rsid w:val="000C7C6D"/>
    <w:rsid w:val="001668CD"/>
    <w:rsid w:val="003730E8"/>
    <w:rsid w:val="00400650"/>
    <w:rsid w:val="004069B1"/>
    <w:rsid w:val="00484AB7"/>
    <w:rsid w:val="007C4CF7"/>
    <w:rsid w:val="008A21DC"/>
    <w:rsid w:val="009747AA"/>
    <w:rsid w:val="00A61C41"/>
    <w:rsid w:val="00AF7163"/>
    <w:rsid w:val="00D71F11"/>
    <w:rsid w:val="00E2736D"/>
    <w:rsid w:val="00E94D46"/>
    <w:rsid w:val="00E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124"/>
  <w15:chartTrackingRefBased/>
  <w15:docId w15:val="{7CC053C3-DABD-42BF-BA68-8AC7E44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F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F1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D7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D71F11"/>
  </w:style>
  <w:style w:type="character" w:customStyle="1" w:styleId="eop">
    <w:name w:val="eop"/>
    <w:basedOn w:val="Standardnpsmoodstavce"/>
    <w:rsid w:val="00D71F11"/>
  </w:style>
  <w:style w:type="paragraph" w:styleId="Textbubliny">
    <w:name w:val="Balloon Text"/>
    <w:basedOn w:val="Normln"/>
    <w:link w:val="TextbublinyChar"/>
    <w:uiPriority w:val="99"/>
    <w:semiHidden/>
    <w:unhideWhenUsed/>
    <w:rsid w:val="0097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7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94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1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7588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Zimmerová</dc:creator>
  <cp:keywords/>
  <dc:description/>
  <cp:lastModifiedBy>Lenka Zimmerová</cp:lastModifiedBy>
  <cp:revision>2</cp:revision>
  <dcterms:created xsi:type="dcterms:W3CDTF">2024-08-26T14:07:00Z</dcterms:created>
  <dcterms:modified xsi:type="dcterms:W3CDTF">2024-08-26T14:07:00Z</dcterms:modified>
</cp:coreProperties>
</file>