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ECB6" w14:textId="2ADCBD13" w:rsidR="00961B9F" w:rsidRPr="00961B9F" w:rsidRDefault="00961B9F" w:rsidP="00961B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0" w:line="280" w:lineRule="atLeast"/>
        <w:jc w:val="both"/>
        <w:rPr>
          <w:rFonts w:ascii="Arial" w:eastAsia="Times New Roman" w:hAnsi="Arial" w:cs="Arial"/>
          <w:b/>
          <w:caps/>
          <w:kern w:val="0"/>
          <w:sz w:val="20"/>
          <w:szCs w:val="20"/>
          <w14:ligatures w14:val="none"/>
        </w:rPr>
      </w:pPr>
      <w:bookmarkStart w:id="0" w:name="_Hlk132553821"/>
      <w:r w:rsidRPr="00961B9F">
        <w:rPr>
          <w:rFonts w:ascii="Arial" w:eastAsia="Times New Roman" w:hAnsi="Arial" w:cs="Arial"/>
          <w:b/>
          <w:caps/>
          <w:kern w:val="0"/>
          <w:sz w:val="20"/>
          <w:szCs w:val="20"/>
          <w14:ligatures w14:val="none"/>
        </w:rPr>
        <w:t>Příloha č.</w:t>
      </w:r>
      <w:r w:rsidR="00C70024">
        <w:rPr>
          <w:rFonts w:ascii="Arial" w:eastAsia="Times New Roman" w:hAnsi="Arial" w:cs="Arial"/>
          <w:b/>
          <w:caps/>
          <w:kern w:val="0"/>
          <w:sz w:val="20"/>
          <w:szCs w:val="20"/>
          <w14:ligatures w14:val="none"/>
        </w:rPr>
        <w:t>4</w:t>
      </w:r>
    </w:p>
    <w:bookmarkEnd w:id="0"/>
    <w:p w14:paraId="61969F78" w14:textId="77777777" w:rsidR="00961B9F" w:rsidRPr="000C08D8" w:rsidRDefault="00961B9F" w:rsidP="00961B9F">
      <w:pPr>
        <w:jc w:val="center"/>
        <w:rPr>
          <w:sz w:val="14"/>
          <w:szCs w:val="14"/>
        </w:rPr>
      </w:pPr>
    </w:p>
    <w:p w14:paraId="34E149D9" w14:textId="77777777" w:rsidR="001B62D9" w:rsidRDefault="001B62D9" w:rsidP="00961B9F">
      <w:pPr>
        <w:pStyle w:val="Bezmezer"/>
        <w:jc w:val="center"/>
        <w:rPr>
          <w:rFonts w:ascii="Calibri" w:eastAsia="Times New Roman" w:hAnsi="Calibri" w:cs="Times New Roman"/>
          <w:sz w:val="40"/>
          <w:szCs w:val="36"/>
        </w:rPr>
      </w:pPr>
    </w:p>
    <w:p w14:paraId="4BC2464E" w14:textId="364CA1A0" w:rsidR="00961B9F" w:rsidRPr="00961B9F" w:rsidRDefault="00961B9F" w:rsidP="00961B9F">
      <w:pPr>
        <w:pStyle w:val="Bezmezer"/>
        <w:jc w:val="center"/>
        <w:rPr>
          <w:rFonts w:ascii="Calibri" w:eastAsia="Times New Roman" w:hAnsi="Calibri" w:cs="Times New Roman"/>
          <w:sz w:val="40"/>
          <w:szCs w:val="36"/>
        </w:rPr>
      </w:pPr>
      <w:r w:rsidRPr="00961B9F">
        <w:rPr>
          <w:rFonts w:ascii="Calibri" w:eastAsia="Times New Roman" w:hAnsi="Calibri" w:cs="Times New Roman"/>
          <w:sz w:val="40"/>
          <w:szCs w:val="36"/>
        </w:rPr>
        <w:t xml:space="preserve">SMLOUVA O </w:t>
      </w:r>
      <w:proofErr w:type="gramStart"/>
      <w:r w:rsidRPr="00961B9F">
        <w:rPr>
          <w:rFonts w:ascii="Calibri" w:eastAsia="Times New Roman" w:hAnsi="Calibri" w:cs="Times New Roman"/>
          <w:sz w:val="40"/>
          <w:szCs w:val="36"/>
        </w:rPr>
        <w:t>DÍLO</w:t>
      </w:r>
      <w:r>
        <w:rPr>
          <w:rFonts w:ascii="Calibri" w:eastAsia="Times New Roman" w:hAnsi="Calibri" w:cs="Times New Roman"/>
          <w:sz w:val="40"/>
          <w:szCs w:val="36"/>
        </w:rPr>
        <w:t xml:space="preserve"> - návrh</w:t>
      </w:r>
      <w:proofErr w:type="gramEnd"/>
    </w:p>
    <w:p w14:paraId="3A8B49B4" w14:textId="27ECF91D" w:rsidR="00961B9F" w:rsidRPr="00961B9F" w:rsidRDefault="00961B9F" w:rsidP="00961B9F">
      <w:pPr>
        <w:jc w:val="center"/>
        <w:rPr>
          <w:rFonts w:ascii="Calibri" w:eastAsia="Times New Roman" w:hAnsi="Calibri" w:cs="Times New Roman"/>
          <w:kern w:val="0"/>
          <w:sz w:val="40"/>
          <w:szCs w:val="36"/>
          <w14:ligatures w14:val="none"/>
        </w:rPr>
      </w:pPr>
      <w:r w:rsidRPr="00961B9F">
        <w:rPr>
          <w:rFonts w:ascii="Calibri" w:eastAsia="Times New Roman" w:hAnsi="Calibri" w:cs="Times New Roman"/>
          <w:kern w:val="0"/>
          <w:sz w:val="40"/>
          <w:szCs w:val="36"/>
          <w14:ligatures w14:val="none"/>
        </w:rPr>
        <w:t>NA VYTVOŘENÍ PROJEKTOVÉ DOKUMENTACE A POSKYTNUTÍ</w:t>
      </w:r>
      <w:r>
        <w:rPr>
          <w:rFonts w:ascii="Calibri" w:eastAsia="Times New Roman" w:hAnsi="Calibri" w:cs="Times New Roman"/>
          <w:kern w:val="0"/>
          <w:sz w:val="40"/>
          <w:szCs w:val="36"/>
          <w14:ligatures w14:val="none"/>
        </w:rPr>
        <w:t xml:space="preserve"> </w:t>
      </w:r>
      <w:r w:rsidRPr="00961B9F">
        <w:rPr>
          <w:rFonts w:ascii="Calibri" w:eastAsia="Times New Roman" w:hAnsi="Calibri" w:cs="Times New Roman"/>
          <w:kern w:val="0"/>
          <w:sz w:val="40"/>
          <w:szCs w:val="36"/>
          <w14:ligatures w14:val="none"/>
        </w:rPr>
        <w:t>SOUVISEJÍCÍCH SLUŽEB</w:t>
      </w:r>
    </w:p>
    <w:p w14:paraId="0C9740B5" w14:textId="77777777" w:rsidR="00961B9F" w:rsidRDefault="00961B9F" w:rsidP="00961B9F">
      <w:pPr>
        <w:spacing w:after="0" w:line="276" w:lineRule="auto"/>
        <w:jc w:val="center"/>
      </w:pPr>
      <w:r>
        <w:t>(dále jen „smlouva“)</w:t>
      </w:r>
    </w:p>
    <w:p w14:paraId="4316AD15" w14:textId="4D28C62F" w:rsidR="00961B9F" w:rsidRDefault="00961B9F" w:rsidP="00961B9F">
      <w:pPr>
        <w:spacing w:after="0" w:line="276" w:lineRule="auto"/>
        <w:jc w:val="center"/>
      </w:pPr>
      <w:r>
        <w:t>uzavřená níže uvedeného dne, měsíce a roku</w:t>
      </w:r>
      <w:r w:rsidR="000C08D8">
        <w:t xml:space="preserve"> </w:t>
      </w:r>
      <w:r>
        <w:t>podle § 1746 odst. 2 zákona č. 89/2012 Sb., občanský zákoník,</w:t>
      </w:r>
      <w:r w:rsidR="000C08D8">
        <w:t xml:space="preserve"> </w:t>
      </w:r>
      <w:r>
        <w:t>(dále jen „občanský zákoník“)</w:t>
      </w:r>
    </w:p>
    <w:p w14:paraId="665B3037" w14:textId="77777777" w:rsidR="00961B9F" w:rsidRDefault="00961B9F" w:rsidP="00961B9F">
      <w:pPr>
        <w:spacing w:after="0" w:line="276" w:lineRule="auto"/>
      </w:pPr>
    </w:p>
    <w:p w14:paraId="57FAEA00" w14:textId="1AEBE274" w:rsidR="00961B9F" w:rsidRPr="00961B9F" w:rsidRDefault="00961B9F" w:rsidP="00961B9F">
      <w:pPr>
        <w:spacing w:after="0" w:line="276" w:lineRule="auto"/>
        <w:jc w:val="center"/>
        <w:rPr>
          <w:b/>
          <w:bCs/>
        </w:rPr>
      </w:pPr>
      <w:r w:rsidRPr="00961B9F">
        <w:rPr>
          <w:b/>
          <w:bCs/>
        </w:rPr>
        <w:t>mezi smluvními stranami</w:t>
      </w:r>
    </w:p>
    <w:p w14:paraId="14A9E50F" w14:textId="77777777" w:rsidR="00961B9F" w:rsidRDefault="00961B9F" w:rsidP="00961B9F">
      <w:pPr>
        <w:spacing w:after="0" w:line="276" w:lineRule="auto"/>
      </w:pPr>
    </w:p>
    <w:p w14:paraId="4FEFE701" w14:textId="53559109" w:rsidR="00961B9F" w:rsidRDefault="00961B9F" w:rsidP="00961B9F">
      <w:pPr>
        <w:spacing w:after="0" w:line="276" w:lineRule="auto"/>
      </w:pPr>
      <w:r>
        <w:t>Objednatelem</w:t>
      </w:r>
    </w:p>
    <w:p w14:paraId="417DE582" w14:textId="6DAE5228" w:rsidR="00961B9F" w:rsidRPr="00961B9F" w:rsidRDefault="00961B9F" w:rsidP="00961B9F">
      <w:pPr>
        <w:spacing w:after="0" w:line="276" w:lineRule="auto"/>
        <w:rPr>
          <w:b/>
          <w:bCs/>
        </w:rPr>
      </w:pPr>
      <w:r w:rsidRPr="00961B9F">
        <w:rPr>
          <w:b/>
          <w:bCs/>
        </w:rPr>
        <w:t xml:space="preserve">Obec </w:t>
      </w:r>
      <w:r w:rsidR="001363B6">
        <w:rPr>
          <w:b/>
          <w:bCs/>
        </w:rPr>
        <w:t>Horosedly</w:t>
      </w:r>
    </w:p>
    <w:p w14:paraId="15DA8565" w14:textId="5BBF6EEC" w:rsidR="00961B9F" w:rsidRDefault="00961B9F" w:rsidP="00961B9F">
      <w:pPr>
        <w:spacing w:after="0" w:line="276" w:lineRule="auto"/>
      </w:pPr>
      <w:r>
        <w:t xml:space="preserve">Sídlo: </w:t>
      </w:r>
      <w:r w:rsidR="00182D58" w:rsidRPr="00182D58">
        <w:t>Horosedly 21, 398 04 Čimelice</w:t>
      </w:r>
    </w:p>
    <w:p w14:paraId="7B3C2D02" w14:textId="15E08F53" w:rsidR="00961B9F" w:rsidRDefault="00961B9F" w:rsidP="00961B9F">
      <w:pPr>
        <w:spacing w:after="0" w:line="276" w:lineRule="auto"/>
      </w:pPr>
      <w:r>
        <w:t xml:space="preserve">Zastoupený: </w:t>
      </w:r>
      <w:r w:rsidR="00C35A58">
        <w:t>Ladou Haškovou</w:t>
      </w:r>
      <w:r>
        <w:t>, starostkou</w:t>
      </w:r>
    </w:p>
    <w:p w14:paraId="4E97A434" w14:textId="1BBE5B5F" w:rsidR="00961B9F" w:rsidRDefault="00961B9F" w:rsidP="00961B9F">
      <w:pPr>
        <w:spacing w:after="0" w:line="276" w:lineRule="auto"/>
      </w:pPr>
      <w:r>
        <w:t xml:space="preserve">V technických záležitostech oprávněn jednat: </w:t>
      </w:r>
      <w:r w:rsidR="00022AF1">
        <w:t>Jakub Vodňanský tel: 602 340 546</w:t>
      </w:r>
    </w:p>
    <w:p w14:paraId="0AA50742" w14:textId="5E2E970F" w:rsidR="00961B9F" w:rsidRDefault="00961B9F" w:rsidP="00961B9F">
      <w:pPr>
        <w:spacing w:after="0" w:line="276" w:lineRule="auto"/>
      </w:pPr>
      <w:r>
        <w:t xml:space="preserve">e-mail: </w:t>
      </w:r>
      <w:hyperlink r:id="rId7" w:history="1">
        <w:r w:rsidR="00B9450C" w:rsidRPr="00B543AA">
          <w:rPr>
            <w:rStyle w:val="Hypertextovodkaz"/>
          </w:rPr>
          <w:t>podatelna@horosedly.cz</w:t>
        </w:r>
      </w:hyperlink>
      <w:r w:rsidR="00B9450C">
        <w:t xml:space="preserve"> </w:t>
      </w:r>
    </w:p>
    <w:p w14:paraId="78143495" w14:textId="0CBFD69E" w:rsidR="00961B9F" w:rsidRDefault="00961B9F" w:rsidP="00961B9F">
      <w:pPr>
        <w:spacing w:after="0" w:line="276" w:lineRule="auto"/>
      </w:pPr>
      <w:r>
        <w:t xml:space="preserve">tel.: </w:t>
      </w:r>
      <w:r w:rsidR="00B9450C" w:rsidRPr="00B9450C">
        <w:t>724 192 166</w:t>
      </w:r>
    </w:p>
    <w:p w14:paraId="3A322E84" w14:textId="75E3D271" w:rsidR="00961B9F" w:rsidRDefault="00961B9F" w:rsidP="00961B9F">
      <w:pPr>
        <w:spacing w:after="0" w:line="276" w:lineRule="auto"/>
      </w:pPr>
      <w:r>
        <w:t xml:space="preserve">Bankovní spojení: </w:t>
      </w:r>
      <w:r w:rsidRPr="00961B9F">
        <w:t>Č</w:t>
      </w:r>
      <w:r w:rsidR="000301FA">
        <w:t>SOB</w:t>
      </w:r>
      <w:r w:rsidRPr="00961B9F">
        <w:t xml:space="preserve"> </w:t>
      </w:r>
    </w:p>
    <w:p w14:paraId="322F577E" w14:textId="776B2D88" w:rsidR="00961B9F" w:rsidRDefault="00961B9F" w:rsidP="00961B9F">
      <w:pPr>
        <w:spacing w:after="0" w:line="276" w:lineRule="auto"/>
      </w:pPr>
      <w:r>
        <w:t xml:space="preserve">Číslo účtu: </w:t>
      </w:r>
      <w:r w:rsidR="00BD0259" w:rsidRPr="00BD0259">
        <w:t>308243076</w:t>
      </w:r>
      <w:r w:rsidRPr="00961B9F">
        <w:t xml:space="preserve"> / </w:t>
      </w:r>
      <w:r w:rsidR="000301FA" w:rsidRPr="000301FA">
        <w:t>0300</w:t>
      </w:r>
    </w:p>
    <w:p w14:paraId="5D3C58EF" w14:textId="61113251" w:rsidR="00961B9F" w:rsidRDefault="00961B9F" w:rsidP="00961B9F">
      <w:pPr>
        <w:spacing w:after="0" w:line="276" w:lineRule="auto"/>
      </w:pPr>
      <w:r>
        <w:t xml:space="preserve">IČO/DIČ: </w:t>
      </w:r>
      <w:r w:rsidR="00771D24" w:rsidRPr="00771D24">
        <w:t xml:space="preserve">00583961 </w:t>
      </w:r>
      <w:r>
        <w:t>/</w:t>
      </w:r>
      <w:r w:rsidRPr="00961B9F">
        <w:t xml:space="preserve"> CZ</w:t>
      </w:r>
      <w:r w:rsidR="00BD0259" w:rsidRPr="00BD0259">
        <w:t xml:space="preserve"> 00583961</w:t>
      </w:r>
    </w:p>
    <w:p w14:paraId="6F2CB2B2" w14:textId="77777777" w:rsidR="00961B9F" w:rsidRDefault="00961B9F" w:rsidP="00961B9F">
      <w:pPr>
        <w:spacing w:after="0" w:line="276" w:lineRule="auto"/>
      </w:pPr>
      <w:r>
        <w:t>a</w:t>
      </w:r>
    </w:p>
    <w:p w14:paraId="20D049C2" w14:textId="77777777" w:rsidR="00961B9F" w:rsidRDefault="00961B9F" w:rsidP="00961B9F">
      <w:pPr>
        <w:spacing w:after="0" w:line="276" w:lineRule="auto"/>
      </w:pPr>
      <w:r>
        <w:t>Zhotovitelem</w:t>
      </w:r>
    </w:p>
    <w:p w14:paraId="71AA4AF3" w14:textId="22FB3D81" w:rsidR="00961B9F" w:rsidRPr="00961B9F" w:rsidRDefault="00961B9F" w:rsidP="00961B9F">
      <w:pPr>
        <w:spacing w:after="0" w:line="276" w:lineRule="auto"/>
        <w:rPr>
          <w:b/>
          <w:bCs/>
        </w:rPr>
      </w:pPr>
      <w:r w:rsidRPr="006B4B1E">
        <w:rPr>
          <w:b/>
          <w:bCs/>
          <w:highlight w:val="yellow"/>
        </w:rPr>
        <w:t>……………………….</w:t>
      </w:r>
    </w:p>
    <w:p w14:paraId="2D0A4450" w14:textId="053B4228" w:rsidR="00961B9F" w:rsidRDefault="00961B9F" w:rsidP="00961B9F">
      <w:pPr>
        <w:spacing w:after="0" w:line="276" w:lineRule="auto"/>
      </w:pPr>
      <w:r>
        <w:t xml:space="preserve">Sídlo: </w:t>
      </w:r>
      <w:r w:rsidRPr="006B4B1E">
        <w:rPr>
          <w:highlight w:val="yellow"/>
        </w:rPr>
        <w:t>…………………………</w:t>
      </w:r>
      <w:proofErr w:type="gramStart"/>
      <w:r w:rsidRPr="006B4B1E">
        <w:rPr>
          <w:highlight w:val="yellow"/>
        </w:rPr>
        <w:t>…….</w:t>
      </w:r>
      <w:proofErr w:type="gramEnd"/>
      <w:r w:rsidRPr="006B4B1E">
        <w:rPr>
          <w:highlight w:val="yellow"/>
        </w:rPr>
        <w:t>.</w:t>
      </w:r>
    </w:p>
    <w:p w14:paraId="7DEB8A99" w14:textId="4C05A289" w:rsidR="00961B9F" w:rsidRDefault="00961B9F" w:rsidP="00961B9F">
      <w:pPr>
        <w:spacing w:after="0" w:line="276" w:lineRule="auto"/>
      </w:pPr>
      <w:r>
        <w:t xml:space="preserve">Zastoupený: </w:t>
      </w:r>
      <w:r w:rsidRPr="006B4B1E">
        <w:rPr>
          <w:highlight w:val="yellow"/>
        </w:rPr>
        <w:t>……………………………</w:t>
      </w:r>
      <w:proofErr w:type="gramStart"/>
      <w:r w:rsidRPr="006B4B1E">
        <w:rPr>
          <w:highlight w:val="yellow"/>
        </w:rPr>
        <w:t>…….</w:t>
      </w:r>
      <w:proofErr w:type="gramEnd"/>
      <w:r w:rsidRPr="006B4B1E">
        <w:rPr>
          <w:highlight w:val="yellow"/>
        </w:rPr>
        <w:t>.</w:t>
      </w:r>
    </w:p>
    <w:p w14:paraId="5031121B" w14:textId="6460C613" w:rsidR="00961B9F" w:rsidRDefault="00961B9F" w:rsidP="00961B9F">
      <w:pPr>
        <w:spacing w:after="0" w:line="276" w:lineRule="auto"/>
      </w:pPr>
      <w:r>
        <w:t xml:space="preserve">Ve smluvních záležitostech oprávněn jednat: </w:t>
      </w:r>
      <w:r w:rsidRPr="006B4B1E">
        <w:rPr>
          <w:highlight w:val="yellow"/>
        </w:rPr>
        <w:t>………………………………….</w:t>
      </w:r>
    </w:p>
    <w:p w14:paraId="1384E90C" w14:textId="4227CE12" w:rsidR="00961B9F" w:rsidRDefault="00961B9F" w:rsidP="00961B9F">
      <w:pPr>
        <w:spacing w:after="0" w:line="276" w:lineRule="auto"/>
      </w:pPr>
      <w:r>
        <w:t>V technických záležitostech oprávněn jednat: ……………………………………………</w:t>
      </w:r>
    </w:p>
    <w:p w14:paraId="6CED1C97" w14:textId="6B7E41B5" w:rsidR="00961B9F" w:rsidRDefault="00961B9F" w:rsidP="00961B9F">
      <w:pPr>
        <w:spacing w:after="0" w:line="276" w:lineRule="auto"/>
      </w:pPr>
      <w:r>
        <w:t xml:space="preserve">e-mail: </w:t>
      </w:r>
      <w:r w:rsidRPr="000243CA">
        <w:rPr>
          <w:highlight w:val="yellow"/>
        </w:rPr>
        <w:t>………………………</w:t>
      </w:r>
      <w:proofErr w:type="gramStart"/>
      <w:r w:rsidRPr="000243CA">
        <w:rPr>
          <w:highlight w:val="yellow"/>
        </w:rPr>
        <w:t>…….</w:t>
      </w:r>
      <w:proofErr w:type="gramEnd"/>
      <w:r w:rsidRPr="000243CA">
        <w:rPr>
          <w:highlight w:val="yellow"/>
        </w:rPr>
        <w:t>.</w:t>
      </w:r>
    </w:p>
    <w:p w14:paraId="5F6EC5A3" w14:textId="72D21ABC" w:rsidR="00961B9F" w:rsidRDefault="00961B9F" w:rsidP="00961B9F">
      <w:pPr>
        <w:spacing w:after="0" w:line="276" w:lineRule="auto"/>
      </w:pPr>
      <w:r>
        <w:t xml:space="preserve">tel.: </w:t>
      </w:r>
      <w:r w:rsidRPr="000243CA">
        <w:rPr>
          <w:highlight w:val="yellow"/>
        </w:rPr>
        <w:t>…………………………………</w:t>
      </w:r>
      <w:proofErr w:type="gramStart"/>
      <w:r w:rsidRPr="000243CA">
        <w:rPr>
          <w:highlight w:val="yellow"/>
        </w:rPr>
        <w:t>…….</w:t>
      </w:r>
      <w:proofErr w:type="gramEnd"/>
      <w:r w:rsidRPr="000243CA">
        <w:rPr>
          <w:highlight w:val="yellow"/>
        </w:rPr>
        <w:t>.</w:t>
      </w:r>
    </w:p>
    <w:p w14:paraId="37A0F6ED" w14:textId="1E2E4AA5" w:rsidR="00961B9F" w:rsidRDefault="00961B9F" w:rsidP="00961B9F">
      <w:pPr>
        <w:spacing w:after="0" w:line="276" w:lineRule="auto"/>
      </w:pPr>
      <w:r>
        <w:t xml:space="preserve">Bankovní spojení: </w:t>
      </w:r>
      <w:r w:rsidRPr="000243CA">
        <w:rPr>
          <w:highlight w:val="yellow"/>
        </w:rPr>
        <w:t>……………………………</w:t>
      </w:r>
      <w:proofErr w:type="gramStart"/>
      <w:r w:rsidRPr="000243CA">
        <w:rPr>
          <w:highlight w:val="yellow"/>
        </w:rPr>
        <w:t>…….</w:t>
      </w:r>
      <w:proofErr w:type="gramEnd"/>
      <w:r w:rsidRPr="000243CA">
        <w:rPr>
          <w:highlight w:val="yellow"/>
        </w:rPr>
        <w:t>.</w:t>
      </w:r>
    </w:p>
    <w:p w14:paraId="352DAD7A" w14:textId="27059CF5" w:rsidR="00961B9F" w:rsidRDefault="00961B9F" w:rsidP="00961B9F">
      <w:pPr>
        <w:spacing w:after="0" w:line="276" w:lineRule="auto"/>
      </w:pPr>
      <w:r>
        <w:t xml:space="preserve">Číslo účtu: </w:t>
      </w:r>
      <w:r w:rsidRPr="000243CA">
        <w:rPr>
          <w:highlight w:val="yellow"/>
        </w:rPr>
        <w:t>………………………………….</w:t>
      </w:r>
    </w:p>
    <w:p w14:paraId="3464F0D2" w14:textId="7AF42B75" w:rsidR="00961B9F" w:rsidRDefault="00961B9F" w:rsidP="00961B9F">
      <w:pPr>
        <w:spacing w:after="0" w:line="276" w:lineRule="auto"/>
      </w:pPr>
      <w:r>
        <w:t xml:space="preserve">IČO/DIČ: </w:t>
      </w:r>
      <w:r w:rsidRPr="000243CA">
        <w:rPr>
          <w:highlight w:val="yellow"/>
        </w:rPr>
        <w:t>……………………………………………….</w:t>
      </w:r>
    </w:p>
    <w:p w14:paraId="1F77776A" w14:textId="32346B47" w:rsidR="00961B9F" w:rsidRDefault="00961B9F" w:rsidP="00961B9F">
      <w:pPr>
        <w:spacing w:after="0" w:line="276" w:lineRule="auto"/>
      </w:pPr>
      <w:r>
        <w:t xml:space="preserve">Společnost je zapsaná v obchodním rejstříku vedeném u </w:t>
      </w:r>
      <w:r w:rsidRPr="000243CA">
        <w:rPr>
          <w:highlight w:val="yellow"/>
        </w:rPr>
        <w:t>…………………………</w:t>
      </w:r>
      <w:proofErr w:type="gramStart"/>
      <w:r w:rsidRPr="000243CA">
        <w:rPr>
          <w:highlight w:val="yellow"/>
        </w:rPr>
        <w:t>…….</w:t>
      </w:r>
      <w:proofErr w:type="gramEnd"/>
      <w:r>
        <w:t xml:space="preserve">, oddíl </w:t>
      </w:r>
      <w:r w:rsidRPr="000243CA">
        <w:rPr>
          <w:highlight w:val="yellow"/>
        </w:rPr>
        <w:t>………</w:t>
      </w:r>
      <w:proofErr w:type="gramStart"/>
      <w:r w:rsidRPr="000243CA">
        <w:rPr>
          <w:highlight w:val="yellow"/>
        </w:rPr>
        <w:t>…….</w:t>
      </w:r>
      <w:proofErr w:type="gramEnd"/>
      <w:r w:rsidRPr="000243CA">
        <w:rPr>
          <w:highlight w:val="yellow"/>
        </w:rPr>
        <w:t>.</w:t>
      </w:r>
      <w:r>
        <w:t>, vložka</w:t>
      </w:r>
    </w:p>
    <w:p w14:paraId="452CF027" w14:textId="4E86BA15" w:rsidR="00961B9F" w:rsidRDefault="00961B9F" w:rsidP="00961B9F">
      <w:pPr>
        <w:spacing w:after="0" w:line="276" w:lineRule="auto"/>
      </w:pPr>
      <w:r w:rsidRPr="000243CA">
        <w:rPr>
          <w:highlight w:val="yellow"/>
        </w:rPr>
        <w:t>…………..</w:t>
      </w:r>
    </w:p>
    <w:p w14:paraId="02AB2E33" w14:textId="77777777" w:rsidR="001B62D9" w:rsidRDefault="001B62D9" w:rsidP="00961B9F">
      <w:pPr>
        <w:spacing w:after="0" w:line="276" w:lineRule="auto"/>
      </w:pPr>
    </w:p>
    <w:p w14:paraId="04708397" w14:textId="77777777" w:rsidR="00CB6CA1" w:rsidRDefault="00CB6CA1" w:rsidP="00961B9F">
      <w:pPr>
        <w:spacing w:after="0" w:line="276" w:lineRule="auto"/>
      </w:pPr>
    </w:p>
    <w:p w14:paraId="018E755F" w14:textId="77777777" w:rsidR="00CB6CA1" w:rsidRDefault="00CB6CA1" w:rsidP="00961B9F">
      <w:pPr>
        <w:spacing w:after="0" w:line="276" w:lineRule="auto"/>
      </w:pPr>
    </w:p>
    <w:p w14:paraId="2320B20D" w14:textId="77777777" w:rsidR="00CB6CA1" w:rsidRDefault="00CB6CA1" w:rsidP="00961B9F">
      <w:pPr>
        <w:spacing w:after="0" w:line="276" w:lineRule="auto"/>
      </w:pPr>
    </w:p>
    <w:p w14:paraId="408ADD4C" w14:textId="77777777" w:rsidR="001B62D9" w:rsidRDefault="001B62D9" w:rsidP="00961B9F">
      <w:pPr>
        <w:spacing w:after="0" w:line="276" w:lineRule="auto"/>
      </w:pPr>
    </w:p>
    <w:p w14:paraId="7EC73761" w14:textId="77777777" w:rsidR="00961B9F" w:rsidRDefault="00961B9F" w:rsidP="00961B9F">
      <w:pPr>
        <w:spacing w:after="0" w:line="276" w:lineRule="auto"/>
      </w:pPr>
    </w:p>
    <w:p w14:paraId="02231EAE" w14:textId="61ECBE8E" w:rsidR="00961B9F" w:rsidRPr="00961B9F" w:rsidRDefault="00961B9F" w:rsidP="000C08D8">
      <w:pPr>
        <w:spacing w:after="0" w:line="276" w:lineRule="auto"/>
        <w:jc w:val="center"/>
        <w:rPr>
          <w:b/>
          <w:bCs/>
        </w:rPr>
      </w:pPr>
      <w:r>
        <w:lastRenderedPageBreak/>
        <w:t> </w:t>
      </w:r>
      <w:r w:rsidRPr="00961B9F">
        <w:rPr>
          <w:b/>
          <w:bCs/>
        </w:rPr>
        <w:t>Čl. I</w:t>
      </w:r>
    </w:p>
    <w:p w14:paraId="185CAF63" w14:textId="77777777" w:rsidR="00961B9F" w:rsidRPr="00961B9F" w:rsidRDefault="00961B9F" w:rsidP="00961B9F">
      <w:pPr>
        <w:spacing w:after="0" w:line="276" w:lineRule="auto"/>
        <w:jc w:val="center"/>
        <w:rPr>
          <w:b/>
          <w:bCs/>
        </w:rPr>
      </w:pPr>
      <w:r w:rsidRPr="00961B9F">
        <w:rPr>
          <w:b/>
          <w:bCs/>
        </w:rPr>
        <w:t>Předmět smlouvy</w:t>
      </w:r>
    </w:p>
    <w:p w14:paraId="4623DAA2" w14:textId="76333FB6" w:rsidR="00961B9F" w:rsidRDefault="00961B9F" w:rsidP="00477733">
      <w:pPr>
        <w:pStyle w:val="Odstavecseseznamem"/>
        <w:numPr>
          <w:ilvl w:val="0"/>
          <w:numId w:val="1"/>
        </w:numPr>
        <w:spacing w:after="0" w:line="276" w:lineRule="auto"/>
        <w:ind w:left="284"/>
        <w:jc w:val="both"/>
      </w:pPr>
      <w:r>
        <w:t>Předmětem smlouvy je:</w:t>
      </w:r>
    </w:p>
    <w:p w14:paraId="49D72E62" w14:textId="116158CB" w:rsidR="00FC450E" w:rsidRPr="00FC450E" w:rsidRDefault="00FC450E" w:rsidP="00FC450E">
      <w:pPr>
        <w:spacing w:after="157" w:line="250" w:lineRule="auto"/>
        <w:ind w:left="-15" w:right="-15"/>
        <w:jc w:val="both"/>
        <w:rPr>
          <w:rFonts w:eastAsia="Calibri" w:cs="Calibri"/>
          <w:color w:val="000000"/>
          <w:sz w:val="24"/>
          <w:szCs w:val="24"/>
          <w:lang w:eastAsia="cs-CZ"/>
        </w:rPr>
      </w:pPr>
      <w:r w:rsidRPr="00FC450E">
        <w:rPr>
          <w:rFonts w:eastAsia="Calibri" w:cs="Calibri"/>
          <w:color w:val="000000"/>
          <w:sz w:val="24"/>
          <w:szCs w:val="24"/>
          <w:lang w:eastAsia="cs-CZ"/>
        </w:rPr>
        <w:t xml:space="preserve">zpracování projektové dokumentace v rozsahu potřebném pro podání žádosti o povolení záměru stavby dle § 13 stavebního zákona č. 283/2021 Sb., včetně všech potřebných náležitostí, podkladů a účasti ve správním řízení. </w:t>
      </w:r>
    </w:p>
    <w:p w14:paraId="5F1B4DAD" w14:textId="77777777" w:rsidR="00FC450E" w:rsidRPr="00FC450E" w:rsidRDefault="00FC450E" w:rsidP="00FC450E">
      <w:pPr>
        <w:spacing w:after="0"/>
        <w:ind w:right="-17"/>
        <w:jc w:val="both"/>
        <w:rPr>
          <w:rFonts w:eastAsia="Calibri" w:cs="Calibri"/>
          <w:color w:val="000000"/>
          <w:sz w:val="24"/>
          <w:szCs w:val="24"/>
          <w:lang w:eastAsia="cs-CZ"/>
        </w:rPr>
      </w:pPr>
      <w:r w:rsidRPr="00FC450E">
        <w:rPr>
          <w:rFonts w:eastAsia="Calibri" w:cs="Calibri"/>
          <w:color w:val="000000"/>
          <w:sz w:val="24"/>
          <w:szCs w:val="24"/>
          <w:lang w:eastAsia="cs-CZ"/>
        </w:rPr>
        <w:t>Zakázka zahrnuje zejména tyto činnosti:</w:t>
      </w:r>
    </w:p>
    <w:p w14:paraId="357FCB27" w14:textId="77777777" w:rsidR="00FC450E" w:rsidRPr="00FC450E" w:rsidRDefault="00FC450E" w:rsidP="00FC450E">
      <w:pPr>
        <w:numPr>
          <w:ilvl w:val="0"/>
          <w:numId w:val="28"/>
        </w:numPr>
        <w:spacing w:after="0" w:line="276" w:lineRule="auto"/>
        <w:ind w:right="-17"/>
        <w:jc w:val="both"/>
        <w:rPr>
          <w:rFonts w:eastAsia="Calibri" w:cs="Calibri"/>
          <w:color w:val="000000"/>
          <w:sz w:val="24"/>
          <w:szCs w:val="24"/>
          <w:lang w:eastAsia="cs-CZ"/>
        </w:rPr>
      </w:pPr>
      <w:r w:rsidRPr="00FC450E">
        <w:rPr>
          <w:rFonts w:eastAsia="Calibri" w:cs="Calibri"/>
          <w:color w:val="000000"/>
          <w:sz w:val="24"/>
          <w:szCs w:val="24"/>
          <w:lang w:eastAsia="cs-CZ"/>
        </w:rPr>
        <w:t>Vypracování projektové dokumentace pro účely veřejnoprávního projednání, tj. k vydání rozhodnutí opravňujícího investora ke stavbě (např. územní souhlas, stavební povolení nebo jiný souhlas podle stavebního zákona),</w:t>
      </w:r>
    </w:p>
    <w:p w14:paraId="02A160D4" w14:textId="77777777" w:rsidR="00FC450E" w:rsidRPr="00FC450E" w:rsidRDefault="00FC450E" w:rsidP="00FC450E">
      <w:pPr>
        <w:numPr>
          <w:ilvl w:val="0"/>
          <w:numId w:val="28"/>
        </w:numPr>
        <w:spacing w:after="0" w:line="276" w:lineRule="auto"/>
        <w:ind w:right="-17"/>
        <w:jc w:val="both"/>
        <w:rPr>
          <w:rFonts w:eastAsia="Calibri" w:cs="Calibri"/>
          <w:color w:val="000000"/>
          <w:sz w:val="24"/>
          <w:szCs w:val="24"/>
          <w:lang w:eastAsia="cs-CZ"/>
        </w:rPr>
      </w:pPr>
      <w:r w:rsidRPr="00FC450E">
        <w:rPr>
          <w:rFonts w:eastAsia="Calibri" w:cs="Calibri"/>
          <w:color w:val="000000"/>
          <w:sz w:val="24"/>
          <w:szCs w:val="24"/>
          <w:lang w:eastAsia="cs-CZ"/>
        </w:rPr>
        <w:t>Zajištění souhlasů vlastníků dotčených pozemků se stavebním záměrem,</w:t>
      </w:r>
    </w:p>
    <w:p w14:paraId="040C4756" w14:textId="77777777" w:rsidR="00FC450E" w:rsidRPr="00FC450E" w:rsidRDefault="00FC450E" w:rsidP="00FC450E">
      <w:pPr>
        <w:numPr>
          <w:ilvl w:val="0"/>
          <w:numId w:val="28"/>
        </w:numPr>
        <w:spacing w:after="0" w:line="276" w:lineRule="auto"/>
        <w:ind w:right="-17"/>
        <w:jc w:val="both"/>
        <w:rPr>
          <w:rFonts w:eastAsia="Calibri" w:cs="Calibri"/>
          <w:color w:val="000000"/>
          <w:sz w:val="24"/>
          <w:szCs w:val="24"/>
          <w:lang w:eastAsia="cs-CZ"/>
        </w:rPr>
      </w:pPr>
      <w:r w:rsidRPr="00FC450E">
        <w:rPr>
          <w:rFonts w:eastAsia="Calibri" w:cs="Calibri"/>
          <w:color w:val="000000"/>
          <w:sz w:val="24"/>
          <w:szCs w:val="24"/>
          <w:lang w:eastAsia="cs-CZ"/>
        </w:rPr>
        <w:t>Zajištění správního řízení a povolení stavby včetně:</w:t>
      </w:r>
    </w:p>
    <w:p w14:paraId="66196910" w14:textId="77777777" w:rsidR="00FC450E" w:rsidRPr="00FC450E" w:rsidRDefault="00FC450E" w:rsidP="00FC450E">
      <w:pPr>
        <w:numPr>
          <w:ilvl w:val="1"/>
          <w:numId w:val="28"/>
        </w:numPr>
        <w:spacing w:after="0" w:line="276" w:lineRule="auto"/>
        <w:ind w:right="-17"/>
        <w:jc w:val="both"/>
        <w:rPr>
          <w:rFonts w:eastAsia="Calibri" w:cs="Calibri"/>
          <w:color w:val="000000"/>
          <w:sz w:val="24"/>
          <w:szCs w:val="24"/>
          <w:lang w:eastAsia="cs-CZ"/>
        </w:rPr>
      </w:pPr>
      <w:r w:rsidRPr="00FC450E">
        <w:rPr>
          <w:rFonts w:eastAsia="Calibri" w:cs="Calibri"/>
          <w:color w:val="000000"/>
          <w:sz w:val="24"/>
          <w:szCs w:val="24"/>
          <w:lang w:eastAsia="cs-CZ"/>
        </w:rPr>
        <w:t>vypracování příslušných žádostí,</w:t>
      </w:r>
    </w:p>
    <w:p w14:paraId="77E06BD5" w14:textId="77777777" w:rsidR="00FC450E" w:rsidRPr="00FC450E" w:rsidRDefault="00FC450E" w:rsidP="00FC450E">
      <w:pPr>
        <w:numPr>
          <w:ilvl w:val="1"/>
          <w:numId w:val="28"/>
        </w:numPr>
        <w:spacing w:after="0" w:line="276" w:lineRule="auto"/>
        <w:ind w:right="-17"/>
        <w:jc w:val="both"/>
        <w:rPr>
          <w:rFonts w:eastAsia="Calibri" w:cs="Calibri"/>
          <w:color w:val="000000"/>
          <w:sz w:val="24"/>
          <w:szCs w:val="24"/>
          <w:lang w:eastAsia="cs-CZ"/>
        </w:rPr>
      </w:pPr>
      <w:r w:rsidRPr="00FC450E">
        <w:rPr>
          <w:rFonts w:eastAsia="Calibri" w:cs="Calibri"/>
          <w:color w:val="000000"/>
          <w:sz w:val="24"/>
          <w:szCs w:val="24"/>
          <w:lang w:eastAsia="cs-CZ"/>
        </w:rPr>
        <w:t>účasti projektanta na jednáních,</w:t>
      </w:r>
    </w:p>
    <w:p w14:paraId="7795C3E9" w14:textId="77777777" w:rsidR="00FC450E" w:rsidRPr="00FC450E" w:rsidRDefault="00FC450E" w:rsidP="00FC450E">
      <w:pPr>
        <w:numPr>
          <w:ilvl w:val="1"/>
          <w:numId w:val="28"/>
        </w:numPr>
        <w:spacing w:after="0" w:line="276" w:lineRule="auto"/>
        <w:ind w:right="-17"/>
        <w:jc w:val="both"/>
        <w:rPr>
          <w:rFonts w:eastAsia="Calibri" w:cs="Calibri"/>
          <w:color w:val="000000"/>
          <w:sz w:val="24"/>
          <w:szCs w:val="24"/>
          <w:lang w:eastAsia="cs-CZ"/>
        </w:rPr>
      </w:pPr>
      <w:r w:rsidRPr="00FC450E">
        <w:rPr>
          <w:rFonts w:eastAsia="Calibri" w:cs="Calibri"/>
          <w:color w:val="000000"/>
          <w:sz w:val="24"/>
          <w:szCs w:val="24"/>
          <w:lang w:eastAsia="cs-CZ"/>
        </w:rPr>
        <w:t>spolupráce s příslušnými orgány veřejné správy,</w:t>
      </w:r>
    </w:p>
    <w:p w14:paraId="4789B376" w14:textId="77777777" w:rsidR="00FC450E" w:rsidRPr="00FC450E" w:rsidRDefault="00FC450E" w:rsidP="00FC450E">
      <w:pPr>
        <w:numPr>
          <w:ilvl w:val="0"/>
          <w:numId w:val="28"/>
        </w:numPr>
        <w:spacing w:after="0" w:line="276" w:lineRule="auto"/>
        <w:ind w:right="-17"/>
        <w:jc w:val="both"/>
        <w:rPr>
          <w:rFonts w:eastAsia="Calibri" w:cs="Calibri"/>
          <w:color w:val="000000"/>
          <w:sz w:val="24"/>
          <w:szCs w:val="24"/>
          <w:lang w:eastAsia="cs-CZ"/>
        </w:rPr>
      </w:pPr>
      <w:r w:rsidRPr="00FC450E">
        <w:rPr>
          <w:rFonts w:eastAsia="Calibri" w:cs="Calibri"/>
          <w:color w:val="000000"/>
          <w:sz w:val="24"/>
          <w:szCs w:val="24"/>
          <w:lang w:eastAsia="cs-CZ"/>
        </w:rPr>
        <w:t>Zpracování rozšířené dokumentace pro realizaci stavby, obsahující zejména:</w:t>
      </w:r>
    </w:p>
    <w:p w14:paraId="08B68C6A" w14:textId="77777777" w:rsidR="00FC450E" w:rsidRPr="00FC450E" w:rsidRDefault="00FC450E" w:rsidP="00FC450E">
      <w:pPr>
        <w:numPr>
          <w:ilvl w:val="1"/>
          <w:numId w:val="28"/>
        </w:numPr>
        <w:spacing w:after="0" w:line="276" w:lineRule="auto"/>
        <w:ind w:right="-17"/>
        <w:jc w:val="both"/>
        <w:rPr>
          <w:rFonts w:eastAsia="Calibri" w:cs="Calibri"/>
          <w:color w:val="000000"/>
          <w:sz w:val="24"/>
          <w:szCs w:val="24"/>
          <w:lang w:eastAsia="cs-CZ"/>
        </w:rPr>
      </w:pPr>
      <w:r w:rsidRPr="00FC450E">
        <w:rPr>
          <w:rFonts w:eastAsia="Calibri" w:cs="Calibri"/>
          <w:color w:val="000000"/>
          <w:sz w:val="24"/>
          <w:szCs w:val="24"/>
          <w:lang w:eastAsia="cs-CZ"/>
        </w:rPr>
        <w:t>odhad nákladů stavby (rozpočet),</w:t>
      </w:r>
    </w:p>
    <w:p w14:paraId="5E356A1D" w14:textId="77777777" w:rsidR="00FC450E" w:rsidRPr="00FC450E" w:rsidRDefault="00FC450E" w:rsidP="00FC450E">
      <w:pPr>
        <w:numPr>
          <w:ilvl w:val="1"/>
          <w:numId w:val="28"/>
        </w:numPr>
        <w:spacing w:after="0" w:line="276" w:lineRule="auto"/>
        <w:ind w:right="-17"/>
        <w:jc w:val="both"/>
        <w:rPr>
          <w:rFonts w:eastAsia="Calibri" w:cs="Calibri"/>
          <w:color w:val="000000"/>
          <w:sz w:val="24"/>
          <w:szCs w:val="24"/>
          <w:lang w:eastAsia="cs-CZ"/>
        </w:rPr>
      </w:pPr>
      <w:r w:rsidRPr="00FC450E">
        <w:rPr>
          <w:rFonts w:eastAsia="Calibri" w:cs="Calibri"/>
          <w:color w:val="000000"/>
          <w:sz w:val="24"/>
          <w:szCs w:val="24"/>
          <w:lang w:eastAsia="cs-CZ"/>
        </w:rPr>
        <w:t>elektronickou verzi projektové dokumentace,</w:t>
      </w:r>
    </w:p>
    <w:p w14:paraId="4234CFCC" w14:textId="77777777" w:rsidR="00FC450E" w:rsidRDefault="00FC450E" w:rsidP="00FC450E">
      <w:pPr>
        <w:numPr>
          <w:ilvl w:val="1"/>
          <w:numId w:val="28"/>
        </w:numPr>
        <w:spacing w:after="0" w:line="276" w:lineRule="auto"/>
        <w:ind w:right="-17"/>
        <w:jc w:val="both"/>
        <w:rPr>
          <w:rFonts w:eastAsia="Calibri" w:cs="Calibri"/>
          <w:color w:val="000000"/>
          <w:sz w:val="24"/>
          <w:szCs w:val="24"/>
          <w:lang w:eastAsia="cs-CZ"/>
        </w:rPr>
      </w:pPr>
      <w:r w:rsidRPr="00FC450E">
        <w:rPr>
          <w:rFonts w:eastAsia="Calibri" w:cs="Calibri"/>
          <w:color w:val="000000"/>
          <w:sz w:val="24"/>
          <w:szCs w:val="24"/>
          <w:lang w:eastAsia="cs-CZ"/>
        </w:rPr>
        <w:t>případné doplnění podle požadavků zadavatele.</w:t>
      </w:r>
    </w:p>
    <w:p w14:paraId="13EB92BC" w14:textId="282F6B99" w:rsidR="002B62E1" w:rsidRPr="00725154" w:rsidRDefault="002B62E1" w:rsidP="002B62E1">
      <w:pPr>
        <w:pStyle w:val="Normlnweb"/>
        <w:numPr>
          <w:ilvl w:val="0"/>
          <w:numId w:val="1"/>
        </w:numPr>
        <w:ind w:left="284"/>
        <w:jc w:val="both"/>
        <w:rPr>
          <w:rFonts w:asciiTheme="minorHAnsi" w:eastAsia="Calibri" w:hAnsiTheme="minorHAnsi" w:cs="Calibri"/>
          <w:color w:val="000000"/>
          <w:kern w:val="2"/>
          <w14:ligatures w14:val="standardContextual"/>
        </w:rPr>
      </w:pPr>
      <w:r w:rsidRPr="00725154">
        <w:rPr>
          <w:rFonts w:asciiTheme="minorHAnsi" w:eastAsia="Calibri" w:hAnsiTheme="minorHAnsi" w:cs="Calibri"/>
          <w:color w:val="000000"/>
          <w:kern w:val="2"/>
          <w14:ligatures w14:val="standardContextual"/>
        </w:rPr>
        <w:t>Zhotovitel bere na vědomí, že trasování kabelového vedení veřejného osvětlení musí být, v maximální možné míře, koordinováno s plánovaným výkopem distribuční společnosti EGD, jehož cílem je uložení elektrického vedení do země (tzv. zasíťování).</w:t>
      </w:r>
      <w:r w:rsidR="00DC77F6" w:rsidRPr="00725154">
        <w:rPr>
          <w:rFonts w:asciiTheme="minorHAnsi" w:eastAsia="Calibri" w:hAnsiTheme="minorHAnsi" w:cs="Calibri"/>
          <w:color w:val="000000"/>
          <w:kern w:val="2"/>
          <w14:ligatures w14:val="standardContextual"/>
        </w:rPr>
        <w:t xml:space="preserve"> </w:t>
      </w:r>
      <w:r w:rsidRPr="00725154">
        <w:rPr>
          <w:rFonts w:asciiTheme="minorHAnsi" w:eastAsia="Calibri" w:hAnsiTheme="minorHAnsi" w:cs="Calibri"/>
          <w:color w:val="000000"/>
          <w:kern w:val="2"/>
          <w14:ligatures w14:val="standardContextual"/>
        </w:rPr>
        <w:t>Zhotovitel je povinen zohlednit tuto skutečnost při zpracování projektové dokumentace a navrhnout trasu kabelového vedení veřejného osvětlení tak, aby vedla v souběhu s výkopem stavby EGD, pokud to umožňují místní podmínky a technické možnosti.</w:t>
      </w:r>
      <w:r w:rsidR="00725154">
        <w:rPr>
          <w:rFonts w:asciiTheme="minorHAnsi" w:eastAsia="Calibri" w:hAnsiTheme="minorHAnsi" w:cs="Calibri"/>
          <w:color w:val="000000"/>
          <w:kern w:val="2"/>
          <w14:ligatures w14:val="standardContextual"/>
        </w:rPr>
        <w:t xml:space="preserve"> </w:t>
      </w:r>
      <w:r w:rsidRPr="00725154">
        <w:rPr>
          <w:rFonts w:asciiTheme="minorHAnsi" w:eastAsia="Calibri" w:hAnsiTheme="minorHAnsi" w:cs="Calibri"/>
          <w:color w:val="000000"/>
          <w:kern w:val="2"/>
          <w14:ligatures w14:val="standardContextual"/>
        </w:rPr>
        <w:t>Zhotovitel se rovněž zavazuje provést potřebnou součinnost se zástupcem EGD, zejména projednat souběh tras a využít dostupnou dokumentaci k dané stavbě, je-li zadavatelem poskytnuta.</w:t>
      </w:r>
    </w:p>
    <w:p w14:paraId="0631DF3B" w14:textId="77777777" w:rsidR="00961B9F" w:rsidRPr="00477733" w:rsidRDefault="00961B9F" w:rsidP="00477733">
      <w:pPr>
        <w:spacing w:after="0" w:line="276" w:lineRule="auto"/>
        <w:jc w:val="center"/>
        <w:rPr>
          <w:b/>
          <w:bCs/>
        </w:rPr>
      </w:pPr>
      <w:r w:rsidRPr="00477733">
        <w:rPr>
          <w:b/>
          <w:bCs/>
        </w:rPr>
        <w:t>Čl. II</w:t>
      </w:r>
    </w:p>
    <w:p w14:paraId="1344A3CF" w14:textId="1C8DD0C7" w:rsidR="00FF35D8" w:rsidRPr="00CB0F60" w:rsidRDefault="00FF35D8" w:rsidP="00CB0F60">
      <w:pPr>
        <w:spacing w:after="0" w:line="276" w:lineRule="auto"/>
        <w:jc w:val="center"/>
        <w:rPr>
          <w:b/>
          <w:bCs/>
        </w:rPr>
      </w:pPr>
      <w:r w:rsidRPr="00CB0F60">
        <w:rPr>
          <w:b/>
          <w:bCs/>
        </w:rPr>
        <w:t>Doba plnění</w:t>
      </w:r>
    </w:p>
    <w:p w14:paraId="19FAA472" w14:textId="77777777" w:rsidR="00CB0F60" w:rsidRDefault="00CB0F60" w:rsidP="00FF35D8">
      <w:pPr>
        <w:spacing w:after="0" w:line="276" w:lineRule="auto"/>
        <w:jc w:val="both"/>
      </w:pPr>
    </w:p>
    <w:p w14:paraId="607F9DEF" w14:textId="459184F3" w:rsidR="00FF35D8" w:rsidRDefault="00FF35D8" w:rsidP="00FF35D8">
      <w:pPr>
        <w:pStyle w:val="Odstavecseseznamem"/>
        <w:numPr>
          <w:ilvl w:val="0"/>
          <w:numId w:val="13"/>
        </w:numPr>
        <w:spacing w:after="0" w:line="276" w:lineRule="auto"/>
        <w:ind w:left="426"/>
        <w:jc w:val="both"/>
      </w:pPr>
      <w:r>
        <w:t>Dílo bude provedeno v termínech dle požadavku objednatele a odsouhlasených</w:t>
      </w:r>
      <w:r w:rsidR="00CB0F60">
        <w:t xml:space="preserve"> </w:t>
      </w:r>
      <w:r>
        <w:t>zhotovitelem takto:</w:t>
      </w:r>
    </w:p>
    <w:p w14:paraId="557D6F1B" w14:textId="77777777" w:rsidR="001665A4" w:rsidRDefault="001665A4" w:rsidP="001665A4">
      <w:pPr>
        <w:pStyle w:val="Odstavecseseznamem"/>
        <w:spacing w:after="0" w:line="276" w:lineRule="auto"/>
        <w:ind w:left="426"/>
        <w:jc w:val="both"/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557"/>
      </w:tblGrid>
      <w:tr w:rsidR="001665A4" w14:paraId="5C10F364" w14:textId="77777777" w:rsidTr="00076393">
        <w:trPr>
          <w:trHeight w:val="505"/>
        </w:trPr>
        <w:tc>
          <w:tcPr>
            <w:tcW w:w="4961" w:type="dxa"/>
            <w:shd w:val="clear" w:color="auto" w:fill="D0CECE"/>
            <w:vAlign w:val="center"/>
          </w:tcPr>
          <w:p w14:paraId="154B0E84" w14:textId="77777777" w:rsidR="001665A4" w:rsidRPr="00C707E7" w:rsidRDefault="001665A4" w:rsidP="00076393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707E7">
              <w:rPr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2557" w:type="dxa"/>
            <w:shd w:val="clear" w:color="auto" w:fill="D0CECE"/>
            <w:vAlign w:val="center"/>
          </w:tcPr>
          <w:p w14:paraId="7B78959F" w14:textId="77777777" w:rsidR="001665A4" w:rsidRPr="00C707E7" w:rsidRDefault="001665A4" w:rsidP="00076393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707E7">
              <w:rPr>
                <w:b/>
                <w:bCs/>
                <w:sz w:val="24"/>
                <w:szCs w:val="24"/>
              </w:rPr>
              <w:t>Termín</w:t>
            </w:r>
          </w:p>
        </w:tc>
      </w:tr>
      <w:tr w:rsidR="001665A4" w14:paraId="74C23BF2" w14:textId="77777777" w:rsidTr="00076393">
        <w:tc>
          <w:tcPr>
            <w:tcW w:w="4961" w:type="dxa"/>
          </w:tcPr>
          <w:p w14:paraId="11561C45" w14:textId="77777777" w:rsidR="001665A4" w:rsidRDefault="001665A4" w:rsidP="00076393">
            <w:pPr>
              <w:spacing w:after="0" w:line="240" w:lineRule="auto"/>
              <w:jc w:val="both"/>
            </w:pPr>
            <w:r>
              <w:t>Zahájení plnění díla</w:t>
            </w:r>
          </w:p>
        </w:tc>
        <w:tc>
          <w:tcPr>
            <w:tcW w:w="2557" w:type="dxa"/>
            <w:vAlign w:val="center"/>
          </w:tcPr>
          <w:p w14:paraId="2F874DD9" w14:textId="77777777" w:rsidR="001665A4" w:rsidRDefault="001665A4" w:rsidP="00076393">
            <w:pPr>
              <w:spacing w:after="0" w:line="240" w:lineRule="auto"/>
              <w:jc w:val="center"/>
            </w:pPr>
            <w:r>
              <w:t>po podpisu smlouvy o dílo</w:t>
            </w:r>
          </w:p>
        </w:tc>
      </w:tr>
      <w:tr w:rsidR="001665A4" w14:paraId="00EF66F1" w14:textId="77777777" w:rsidTr="00076393">
        <w:tc>
          <w:tcPr>
            <w:tcW w:w="4961" w:type="dxa"/>
          </w:tcPr>
          <w:p w14:paraId="5A82A301" w14:textId="77777777" w:rsidR="001665A4" w:rsidRDefault="001665A4" w:rsidP="00076393">
            <w:pPr>
              <w:spacing w:after="0" w:line="240" w:lineRule="auto"/>
              <w:jc w:val="both"/>
            </w:pPr>
            <w:r w:rsidRPr="00953AD4">
              <w:t>Vyhotovení projektové dokumentace pro veřejnoprávní projednání (pro účely vydání rozhodnutí opravňujícího ke stavbě)</w:t>
            </w:r>
          </w:p>
        </w:tc>
        <w:tc>
          <w:tcPr>
            <w:tcW w:w="2557" w:type="dxa"/>
            <w:vAlign w:val="center"/>
          </w:tcPr>
          <w:p w14:paraId="60B45360" w14:textId="77777777" w:rsidR="001665A4" w:rsidRPr="00B779EB" w:rsidRDefault="001665A4" w:rsidP="00076393">
            <w:pPr>
              <w:spacing w:after="0" w:line="240" w:lineRule="auto"/>
              <w:jc w:val="center"/>
            </w:pPr>
            <w:r w:rsidRPr="00B779EB">
              <w:t xml:space="preserve">do </w:t>
            </w:r>
            <w:r>
              <w:t>3</w:t>
            </w:r>
            <w:r w:rsidRPr="00B779EB">
              <w:t xml:space="preserve"> měsíců po podepsání smlouvy</w:t>
            </w:r>
          </w:p>
        </w:tc>
      </w:tr>
      <w:tr w:rsidR="001665A4" w14:paraId="3267AA6F" w14:textId="77777777" w:rsidTr="00076393">
        <w:tc>
          <w:tcPr>
            <w:tcW w:w="4961" w:type="dxa"/>
          </w:tcPr>
          <w:p w14:paraId="7B4CCF97" w14:textId="77777777" w:rsidR="001665A4" w:rsidRDefault="001665A4" w:rsidP="00076393">
            <w:pPr>
              <w:spacing w:after="0" w:line="240" w:lineRule="auto"/>
              <w:jc w:val="both"/>
            </w:pPr>
            <w:r w:rsidRPr="00953AD4">
              <w:t>Zajištění potřebných souhlasů vlastníků dotčených pozemků, podání žádosti o povolení záměru stavby dle stavebního zákona a součinnost při správním řízení do vydání rozhodnutí</w:t>
            </w:r>
          </w:p>
        </w:tc>
        <w:tc>
          <w:tcPr>
            <w:tcW w:w="2557" w:type="dxa"/>
            <w:vAlign w:val="center"/>
          </w:tcPr>
          <w:p w14:paraId="4CC4BBDB" w14:textId="77777777" w:rsidR="001665A4" w:rsidRPr="00B779EB" w:rsidRDefault="001665A4" w:rsidP="00076393">
            <w:pPr>
              <w:spacing w:after="0" w:line="240" w:lineRule="auto"/>
              <w:jc w:val="center"/>
            </w:pPr>
            <w:r>
              <w:t>v</w:t>
            </w:r>
            <w:r w:rsidRPr="00953AD4">
              <w:t xml:space="preserve"> rámci zpracování projektové dokumentace (tj. do </w:t>
            </w:r>
            <w:r>
              <w:t>3</w:t>
            </w:r>
            <w:r w:rsidRPr="00953AD4">
              <w:t xml:space="preserve"> </w:t>
            </w:r>
            <w:r>
              <w:t>měsíců</w:t>
            </w:r>
            <w:r w:rsidRPr="00953AD4">
              <w:t xml:space="preserve"> od podpisu smlouvy); délka </w:t>
            </w:r>
            <w:r w:rsidRPr="00953AD4">
              <w:lastRenderedPageBreak/>
              <w:t>správního řízení je závislá na příslušném správním orgánu</w:t>
            </w:r>
          </w:p>
        </w:tc>
      </w:tr>
      <w:tr w:rsidR="001665A4" w14:paraId="27BA9D43" w14:textId="77777777" w:rsidTr="00076393">
        <w:tc>
          <w:tcPr>
            <w:tcW w:w="4961" w:type="dxa"/>
          </w:tcPr>
          <w:p w14:paraId="4E02310D" w14:textId="77777777" w:rsidR="001665A4" w:rsidRDefault="001665A4" w:rsidP="00076393">
            <w:pPr>
              <w:spacing w:after="0" w:line="240" w:lineRule="auto"/>
              <w:jc w:val="both"/>
            </w:pPr>
            <w:r>
              <w:lastRenderedPageBreak/>
              <w:t>Vyhotovení rozšířené dokumentace pro realizaci stavby, obsahující zejména:</w:t>
            </w:r>
          </w:p>
          <w:p w14:paraId="45209990" w14:textId="77777777" w:rsidR="001665A4" w:rsidRDefault="001665A4" w:rsidP="001665A4">
            <w:pPr>
              <w:numPr>
                <w:ilvl w:val="0"/>
                <w:numId w:val="29"/>
              </w:numPr>
              <w:spacing w:after="0" w:line="240" w:lineRule="auto"/>
            </w:pPr>
            <w:r>
              <w:t>odhad nákladů stavby (rozpočet),</w:t>
            </w:r>
          </w:p>
          <w:p w14:paraId="0EAFFAFD" w14:textId="77777777" w:rsidR="001665A4" w:rsidRDefault="001665A4" w:rsidP="001665A4">
            <w:pPr>
              <w:numPr>
                <w:ilvl w:val="0"/>
                <w:numId w:val="29"/>
              </w:numPr>
              <w:spacing w:after="0" w:line="240" w:lineRule="auto"/>
            </w:pPr>
            <w:r>
              <w:t>elektronickou verzi projektové dokumentace,</w:t>
            </w:r>
          </w:p>
          <w:p w14:paraId="103C6EF1" w14:textId="77777777" w:rsidR="001665A4" w:rsidRDefault="001665A4" w:rsidP="001665A4">
            <w:pPr>
              <w:numPr>
                <w:ilvl w:val="0"/>
                <w:numId w:val="29"/>
              </w:numPr>
              <w:spacing w:after="0" w:line="240" w:lineRule="auto"/>
            </w:pPr>
            <w:r>
              <w:t>případné doplnění podle požadavků zadavatele.</w:t>
            </w:r>
          </w:p>
        </w:tc>
        <w:tc>
          <w:tcPr>
            <w:tcW w:w="2557" w:type="dxa"/>
            <w:vAlign w:val="center"/>
          </w:tcPr>
          <w:p w14:paraId="7978BB69" w14:textId="77777777" w:rsidR="001665A4" w:rsidRPr="00B779EB" w:rsidRDefault="001665A4" w:rsidP="00076393">
            <w:pPr>
              <w:spacing w:after="0" w:line="240" w:lineRule="auto"/>
              <w:jc w:val="center"/>
            </w:pPr>
            <w:r w:rsidRPr="00B779EB">
              <w:t xml:space="preserve">do </w:t>
            </w:r>
            <w:r>
              <w:t>1</w:t>
            </w:r>
            <w:r w:rsidRPr="00B779EB">
              <w:t xml:space="preserve"> měsíc</w:t>
            </w:r>
            <w:r>
              <w:t>e</w:t>
            </w:r>
            <w:r w:rsidRPr="00B779EB">
              <w:t xml:space="preserve"> </w:t>
            </w:r>
            <w:r>
              <w:t>o</w:t>
            </w:r>
            <w:r w:rsidRPr="00953AD4">
              <w:t>d nabytí právní moci rozhodnutí opravňujícího ke stavbě</w:t>
            </w:r>
          </w:p>
        </w:tc>
      </w:tr>
    </w:tbl>
    <w:p w14:paraId="63D32AD8" w14:textId="77777777" w:rsidR="001665A4" w:rsidRDefault="001665A4" w:rsidP="001665A4">
      <w:pPr>
        <w:spacing w:after="0" w:line="276" w:lineRule="auto"/>
        <w:jc w:val="both"/>
      </w:pPr>
    </w:p>
    <w:p w14:paraId="1F857903" w14:textId="63A2EA3D" w:rsidR="002835B2" w:rsidRDefault="00FF35D8" w:rsidP="00CB6CA1">
      <w:pPr>
        <w:pStyle w:val="Odstavecseseznamem"/>
        <w:numPr>
          <w:ilvl w:val="0"/>
          <w:numId w:val="13"/>
        </w:numPr>
        <w:spacing w:after="0" w:line="276" w:lineRule="auto"/>
        <w:ind w:left="426" w:hanging="426"/>
        <w:jc w:val="both"/>
      </w:pPr>
      <w:r>
        <w:t>Termíny mohou být upraveny v návaznosti na nové požadavky objednatele, a to</w:t>
      </w:r>
      <w:r w:rsidR="002835B2">
        <w:t xml:space="preserve"> </w:t>
      </w:r>
      <w:r>
        <w:t>písemným dodatkem k této smlouvě vypracovaným na základě dohody smluvních stran.</w:t>
      </w:r>
    </w:p>
    <w:p w14:paraId="6399643B" w14:textId="769A22AC" w:rsidR="00FF35D8" w:rsidRDefault="00FF35D8" w:rsidP="002835B2">
      <w:pPr>
        <w:pStyle w:val="Odstavecseseznamem"/>
        <w:numPr>
          <w:ilvl w:val="0"/>
          <w:numId w:val="13"/>
        </w:numPr>
        <w:spacing w:after="0" w:line="276" w:lineRule="auto"/>
        <w:ind w:left="426" w:hanging="426"/>
        <w:jc w:val="both"/>
      </w:pPr>
      <w:r>
        <w:t xml:space="preserve">Pokud zhotovitel během plnění </w:t>
      </w:r>
      <w:r w:rsidRPr="004379F1">
        <w:t xml:space="preserve">zjistí </w:t>
      </w:r>
      <w:r w:rsidR="00022AF1" w:rsidRPr="004379F1">
        <w:t xml:space="preserve">zásadní </w:t>
      </w:r>
      <w:r w:rsidRPr="004379F1">
        <w:t>okolnosti</w:t>
      </w:r>
      <w:r>
        <w:t>, které brání včasnému předání díla,</w:t>
      </w:r>
      <w:r w:rsidR="002835B2">
        <w:t xml:space="preserve"> </w:t>
      </w:r>
      <w:r>
        <w:t>musí bez zbytečného odkladu písemně uvědomit objednatele o předpokládaném zpoždění,</w:t>
      </w:r>
      <w:r w:rsidR="002835B2">
        <w:t xml:space="preserve"> </w:t>
      </w:r>
      <w:r>
        <w:t>jeho pravděpodobném trvání a příčině.</w:t>
      </w:r>
    </w:p>
    <w:p w14:paraId="42FCD619" w14:textId="77777777" w:rsidR="002835B2" w:rsidRDefault="002835B2" w:rsidP="00FF35D8">
      <w:pPr>
        <w:spacing w:after="0" w:line="276" w:lineRule="auto"/>
        <w:jc w:val="both"/>
      </w:pPr>
    </w:p>
    <w:p w14:paraId="6AB56641" w14:textId="4C20B5F0" w:rsidR="002835B2" w:rsidRDefault="002835B2" w:rsidP="002835B2">
      <w:pPr>
        <w:spacing w:after="0" w:line="276" w:lineRule="auto"/>
        <w:jc w:val="center"/>
        <w:rPr>
          <w:b/>
          <w:bCs/>
        </w:rPr>
      </w:pPr>
      <w:r w:rsidRPr="002835B2">
        <w:rPr>
          <w:b/>
          <w:bCs/>
        </w:rPr>
        <w:t>Čl. I</w:t>
      </w:r>
      <w:r>
        <w:rPr>
          <w:b/>
          <w:bCs/>
        </w:rPr>
        <w:t>I</w:t>
      </w:r>
      <w:r w:rsidRPr="002835B2">
        <w:rPr>
          <w:b/>
          <w:bCs/>
        </w:rPr>
        <w:t>I</w:t>
      </w:r>
    </w:p>
    <w:p w14:paraId="0EA725A5" w14:textId="6F42A4B3" w:rsidR="00FF35D8" w:rsidRPr="002835B2" w:rsidRDefault="00FF35D8" w:rsidP="002835B2">
      <w:pPr>
        <w:spacing w:after="0" w:line="276" w:lineRule="auto"/>
        <w:jc w:val="center"/>
        <w:rPr>
          <w:b/>
          <w:bCs/>
        </w:rPr>
      </w:pPr>
      <w:r w:rsidRPr="002835B2">
        <w:rPr>
          <w:b/>
          <w:bCs/>
        </w:rPr>
        <w:t xml:space="preserve"> Cena díla</w:t>
      </w:r>
    </w:p>
    <w:p w14:paraId="3D5BE83C" w14:textId="57772C3E" w:rsidR="00FF35D8" w:rsidRDefault="00FF35D8" w:rsidP="00B754D4">
      <w:pPr>
        <w:pStyle w:val="Odstavecseseznamem"/>
        <w:numPr>
          <w:ilvl w:val="0"/>
          <w:numId w:val="14"/>
        </w:numPr>
        <w:spacing w:after="0" w:line="276" w:lineRule="auto"/>
        <w:ind w:left="426" w:hanging="426"/>
      </w:pPr>
      <w:r w:rsidRPr="002835B2">
        <w:t>Strany se dohodly na ceně díla takto:</w:t>
      </w:r>
    </w:p>
    <w:p w14:paraId="79C6B682" w14:textId="790464FC" w:rsidR="00737AE6" w:rsidRDefault="008D4230" w:rsidP="00737AE6">
      <w:pPr>
        <w:spacing w:after="0" w:line="276" w:lineRule="auto"/>
      </w:pPr>
      <w:r w:rsidRPr="008D4230">
        <w:t>Cena nezahrnuje správní poplatky a poplatky za SoSBVB</w:t>
      </w:r>
      <w:r w:rsidR="00F07095">
        <w:t xml:space="preserve"> (</w:t>
      </w:r>
      <w:r w:rsidR="00F07095" w:rsidRPr="00770737">
        <w:rPr>
          <w:rFonts w:eastAsia="Calibri" w:cs="Calibri"/>
          <w:color w:val="000000"/>
          <w:sz w:val="24"/>
          <w:szCs w:val="24"/>
          <w:lang w:eastAsia="cs-CZ"/>
        </w:rPr>
        <w:t>smlouvy o smlouvách budoucích na věcná břemena</w:t>
      </w:r>
      <w:r w:rsidR="00F07095">
        <w:rPr>
          <w:rFonts w:eastAsia="Calibri" w:cs="Calibri"/>
          <w:color w:val="000000"/>
          <w:sz w:val="24"/>
          <w:szCs w:val="24"/>
          <w:lang w:eastAsia="cs-CZ"/>
        </w:rPr>
        <w:t>)</w:t>
      </w:r>
      <w:r w:rsidRPr="008D4230">
        <w:t>, které budou hrazeny dle skutečnosti.</w:t>
      </w:r>
    </w:p>
    <w:p w14:paraId="2BF67C59" w14:textId="77777777" w:rsidR="00737AE6" w:rsidRDefault="00737AE6" w:rsidP="00737AE6">
      <w:pPr>
        <w:spacing w:after="0" w:line="276" w:lineRule="auto"/>
      </w:pPr>
    </w:p>
    <w:p w14:paraId="596683BB" w14:textId="77777777" w:rsidR="00B754D4" w:rsidRPr="001A447A" w:rsidRDefault="00B754D4" w:rsidP="00FF35D8">
      <w:pPr>
        <w:spacing w:after="0" w:line="276" w:lineRule="auto"/>
        <w:jc w:val="both"/>
        <w:rPr>
          <w:sz w:val="4"/>
          <w:szCs w:val="4"/>
        </w:rPr>
      </w:pPr>
    </w:p>
    <w:tbl>
      <w:tblPr>
        <w:tblStyle w:val="Mkatabulky"/>
        <w:tblW w:w="9078" w:type="dxa"/>
        <w:tblInd w:w="562" w:type="dxa"/>
        <w:tblLook w:val="04A0" w:firstRow="1" w:lastRow="0" w:firstColumn="1" w:lastColumn="0" w:noHBand="0" w:noVBand="1"/>
      </w:tblPr>
      <w:tblGrid>
        <w:gridCol w:w="6521"/>
        <w:gridCol w:w="2557"/>
      </w:tblGrid>
      <w:tr w:rsidR="005A5BB5" w14:paraId="173D53AE" w14:textId="77777777" w:rsidTr="00BC545F">
        <w:trPr>
          <w:trHeight w:val="445"/>
        </w:trPr>
        <w:tc>
          <w:tcPr>
            <w:tcW w:w="6521" w:type="dxa"/>
            <w:shd w:val="clear" w:color="auto" w:fill="D0CECE" w:themeFill="background2" w:themeFillShade="E6"/>
            <w:vAlign w:val="center"/>
          </w:tcPr>
          <w:p w14:paraId="3AEC3C0E" w14:textId="77777777" w:rsidR="005A5BB5" w:rsidRPr="0075543D" w:rsidRDefault="005A5BB5" w:rsidP="00BC545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5543D">
              <w:rPr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2557" w:type="dxa"/>
            <w:shd w:val="clear" w:color="auto" w:fill="D0CECE" w:themeFill="background2" w:themeFillShade="E6"/>
            <w:vAlign w:val="center"/>
          </w:tcPr>
          <w:p w14:paraId="13C8BE68" w14:textId="0950D8E3" w:rsidR="005A5BB5" w:rsidRPr="0075543D" w:rsidRDefault="00B927E8" w:rsidP="00BC545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</w:t>
            </w:r>
          </w:p>
        </w:tc>
      </w:tr>
      <w:tr w:rsidR="0070288E" w14:paraId="387792AB" w14:textId="77777777" w:rsidTr="00B8762B">
        <w:tc>
          <w:tcPr>
            <w:tcW w:w="6521" w:type="dxa"/>
          </w:tcPr>
          <w:p w14:paraId="5A73D01E" w14:textId="29E6048A" w:rsidR="0070288E" w:rsidRPr="0085251E" w:rsidRDefault="00021905" w:rsidP="0070288E">
            <w:pPr>
              <w:spacing w:before="120" w:after="120" w:line="276" w:lineRule="auto"/>
              <w:jc w:val="both"/>
            </w:pPr>
            <w:r w:rsidRPr="00021905">
              <w:t>Vyhotovení projektové dokumentace pro veřejnoprávní projednání (pro účely vydání povolení záměru stavby)</w:t>
            </w:r>
          </w:p>
        </w:tc>
        <w:tc>
          <w:tcPr>
            <w:tcW w:w="2557" w:type="dxa"/>
            <w:vAlign w:val="center"/>
          </w:tcPr>
          <w:p w14:paraId="2803E511" w14:textId="775601D4" w:rsidR="0070288E" w:rsidRPr="00FD3603" w:rsidRDefault="0070288E" w:rsidP="0070288E">
            <w:pPr>
              <w:spacing w:line="276" w:lineRule="auto"/>
              <w:jc w:val="center"/>
              <w:rPr>
                <w:rFonts w:ascii="Verdana" w:hAnsi="Verdana" w:cs="Verdana"/>
                <w:kern w:val="0"/>
                <w:sz w:val="20"/>
                <w:szCs w:val="20"/>
                <w:highlight w:val="yellow"/>
              </w:rPr>
            </w:pPr>
            <w:r w:rsidRPr="00FD3603">
              <w:rPr>
                <w:rFonts w:ascii="Verdana" w:hAnsi="Verdana" w:cs="Verdana"/>
                <w:kern w:val="0"/>
                <w:sz w:val="20"/>
                <w:szCs w:val="20"/>
                <w:highlight w:val="yellow"/>
              </w:rPr>
              <w:t>______</w:t>
            </w:r>
            <w:proofErr w:type="gramStart"/>
            <w:r w:rsidRPr="00FD3603">
              <w:rPr>
                <w:rFonts w:ascii="Verdana" w:hAnsi="Verdana" w:cs="Verdana"/>
                <w:kern w:val="0"/>
                <w:sz w:val="20"/>
                <w:szCs w:val="20"/>
                <w:highlight w:val="yellow"/>
              </w:rPr>
              <w:t>_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,-</w:t>
            </w:r>
            <w:proofErr w:type="gramEnd"/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Kč</w:t>
            </w:r>
          </w:p>
        </w:tc>
      </w:tr>
      <w:tr w:rsidR="00F8771B" w14:paraId="2BF05D8F" w14:textId="77777777" w:rsidTr="00B8762B">
        <w:tc>
          <w:tcPr>
            <w:tcW w:w="6521" w:type="dxa"/>
          </w:tcPr>
          <w:p w14:paraId="070582D5" w14:textId="26D0FBEF" w:rsidR="00F8771B" w:rsidRPr="0085251E" w:rsidRDefault="00860D2F" w:rsidP="00BC545F">
            <w:pPr>
              <w:spacing w:before="120" w:after="120" w:line="276" w:lineRule="auto"/>
              <w:jc w:val="both"/>
            </w:pPr>
            <w:r w:rsidRPr="00860D2F">
              <w:t>Inženýrská činnost pro zajištění souhlasů vlastníků, podání žádosti a součinnost ve správním řízení</w:t>
            </w:r>
          </w:p>
        </w:tc>
        <w:tc>
          <w:tcPr>
            <w:tcW w:w="2557" w:type="dxa"/>
            <w:vAlign w:val="center"/>
          </w:tcPr>
          <w:p w14:paraId="7978D781" w14:textId="7D9D36D5" w:rsidR="00F8771B" w:rsidRDefault="00FD3603" w:rsidP="00B8762B">
            <w:pPr>
              <w:spacing w:line="276" w:lineRule="auto"/>
              <w:jc w:val="center"/>
            </w:pPr>
            <w:r w:rsidRPr="00FD3603">
              <w:rPr>
                <w:rFonts w:ascii="Verdana" w:hAnsi="Verdana" w:cs="Verdana"/>
                <w:kern w:val="0"/>
                <w:sz w:val="20"/>
                <w:szCs w:val="20"/>
                <w:highlight w:val="yellow"/>
              </w:rPr>
              <w:t>______</w:t>
            </w:r>
            <w:proofErr w:type="gramStart"/>
            <w:r w:rsidRPr="00FD3603">
              <w:rPr>
                <w:rFonts w:ascii="Verdana" w:hAnsi="Verdana" w:cs="Verdana"/>
                <w:kern w:val="0"/>
                <w:sz w:val="20"/>
                <w:szCs w:val="20"/>
                <w:highlight w:val="yellow"/>
              </w:rPr>
              <w:t>_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,-</w:t>
            </w:r>
            <w:proofErr w:type="gramEnd"/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Kč</w:t>
            </w:r>
          </w:p>
        </w:tc>
      </w:tr>
      <w:tr w:rsidR="00FD3603" w14:paraId="6447AECD" w14:textId="77777777" w:rsidTr="006B3BF8">
        <w:trPr>
          <w:trHeight w:val="1468"/>
        </w:trPr>
        <w:tc>
          <w:tcPr>
            <w:tcW w:w="6521" w:type="dxa"/>
          </w:tcPr>
          <w:p w14:paraId="605510D5" w14:textId="77777777" w:rsidR="006B3BF8" w:rsidRDefault="006B3BF8" w:rsidP="006B3BF8">
            <w:pPr>
              <w:jc w:val="both"/>
            </w:pPr>
            <w:r>
              <w:t>Vyhotovení rozšířené dokumentace pro realizaci stavby, obsahující zejména:</w:t>
            </w:r>
          </w:p>
          <w:p w14:paraId="3A73B6B6" w14:textId="77777777" w:rsidR="006B3BF8" w:rsidRDefault="006B3BF8" w:rsidP="006B3BF8">
            <w:pPr>
              <w:numPr>
                <w:ilvl w:val="0"/>
                <w:numId w:val="29"/>
              </w:numPr>
            </w:pPr>
            <w:r>
              <w:t>odhad nákladů stavby (rozpočet),</w:t>
            </w:r>
          </w:p>
          <w:p w14:paraId="50B10562" w14:textId="77777777" w:rsidR="006B3BF8" w:rsidRDefault="006B3BF8" w:rsidP="006B3BF8">
            <w:pPr>
              <w:numPr>
                <w:ilvl w:val="0"/>
                <w:numId w:val="29"/>
              </w:numPr>
            </w:pPr>
            <w:r>
              <w:t>elektronickou verzi projektové dokumentace,</w:t>
            </w:r>
          </w:p>
          <w:p w14:paraId="0497345B" w14:textId="0FFF501C" w:rsidR="00FD3603" w:rsidRDefault="006B3BF8" w:rsidP="006B3BF8">
            <w:pPr>
              <w:numPr>
                <w:ilvl w:val="0"/>
                <w:numId w:val="29"/>
              </w:numPr>
            </w:pPr>
            <w:r>
              <w:t>případné doplnění podle požadavků zadavatele.</w:t>
            </w:r>
          </w:p>
        </w:tc>
        <w:tc>
          <w:tcPr>
            <w:tcW w:w="2557" w:type="dxa"/>
            <w:vAlign w:val="center"/>
          </w:tcPr>
          <w:p w14:paraId="37C03896" w14:textId="150C7FC3" w:rsidR="00FD3603" w:rsidRDefault="00FD3603" w:rsidP="00FD3603">
            <w:pPr>
              <w:spacing w:line="276" w:lineRule="auto"/>
              <w:jc w:val="center"/>
            </w:pPr>
            <w:r w:rsidRPr="00EC693C">
              <w:rPr>
                <w:rFonts w:ascii="Verdana" w:hAnsi="Verdana" w:cs="Verdana"/>
                <w:kern w:val="0"/>
                <w:sz w:val="20"/>
                <w:szCs w:val="20"/>
                <w:highlight w:val="yellow"/>
              </w:rPr>
              <w:t>______</w:t>
            </w:r>
            <w:proofErr w:type="gramStart"/>
            <w:r w:rsidRPr="00EC693C">
              <w:rPr>
                <w:rFonts w:ascii="Verdana" w:hAnsi="Verdana" w:cs="Verdana"/>
                <w:kern w:val="0"/>
                <w:sz w:val="20"/>
                <w:szCs w:val="20"/>
                <w:highlight w:val="yellow"/>
              </w:rPr>
              <w:t>_</w:t>
            </w:r>
            <w:r w:rsidRPr="00EC693C">
              <w:rPr>
                <w:rFonts w:ascii="Verdana" w:hAnsi="Verdana" w:cs="Verdana"/>
                <w:kern w:val="0"/>
                <w:sz w:val="20"/>
                <w:szCs w:val="20"/>
              </w:rPr>
              <w:t>,-</w:t>
            </w:r>
            <w:proofErr w:type="gramEnd"/>
            <w:r w:rsidRPr="00EC693C">
              <w:rPr>
                <w:rFonts w:ascii="Verdana" w:hAnsi="Verdana" w:cs="Verdana"/>
                <w:kern w:val="0"/>
                <w:sz w:val="20"/>
                <w:szCs w:val="20"/>
              </w:rPr>
              <w:t xml:space="preserve"> Kč</w:t>
            </w:r>
          </w:p>
        </w:tc>
      </w:tr>
      <w:tr w:rsidR="00865F80" w14:paraId="57AD5494" w14:textId="77777777" w:rsidTr="00865F80">
        <w:tc>
          <w:tcPr>
            <w:tcW w:w="6521" w:type="dxa"/>
            <w:shd w:val="clear" w:color="auto" w:fill="DEEAF6" w:themeFill="accent5" w:themeFillTint="33"/>
          </w:tcPr>
          <w:p w14:paraId="42F41B89" w14:textId="1720175C" w:rsidR="00865F80" w:rsidRDefault="00865F80" w:rsidP="00865F80">
            <w:pPr>
              <w:spacing w:before="120" w:after="120" w:line="276" w:lineRule="auto"/>
              <w:jc w:val="both"/>
            </w:pPr>
            <w:r w:rsidRPr="00682CF0">
              <w:rPr>
                <w:rFonts w:ascii="Verdana-Bold" w:hAnsi="Verdana-Bold" w:cs="Verdana-Bold"/>
                <w:b/>
                <w:bCs/>
                <w:kern w:val="0"/>
                <w:sz w:val="24"/>
                <w:szCs w:val="24"/>
              </w:rPr>
              <w:t xml:space="preserve">Cena celkem bez DPH </w:t>
            </w:r>
          </w:p>
        </w:tc>
        <w:tc>
          <w:tcPr>
            <w:tcW w:w="2557" w:type="dxa"/>
            <w:shd w:val="clear" w:color="auto" w:fill="DEEAF6" w:themeFill="accent5" w:themeFillTint="33"/>
            <w:vAlign w:val="center"/>
          </w:tcPr>
          <w:p w14:paraId="29D1260C" w14:textId="560EDFA1" w:rsidR="00865F80" w:rsidRDefault="00865F80" w:rsidP="00865F80">
            <w:pPr>
              <w:spacing w:line="276" w:lineRule="auto"/>
              <w:jc w:val="center"/>
            </w:pPr>
            <w:r w:rsidRPr="00865F80">
              <w:rPr>
                <w:rFonts w:ascii="Verdana-Bold" w:hAnsi="Verdana-Bold" w:cs="Verdana-Bold"/>
                <w:b/>
                <w:bCs/>
                <w:kern w:val="0"/>
                <w:sz w:val="24"/>
                <w:szCs w:val="24"/>
                <w:highlight w:val="yellow"/>
              </w:rPr>
              <w:t>______</w:t>
            </w:r>
            <w:proofErr w:type="gramStart"/>
            <w:r w:rsidRPr="00865F80">
              <w:rPr>
                <w:rFonts w:ascii="Verdana-Bold" w:hAnsi="Verdana-Bold" w:cs="Verdana-Bold"/>
                <w:b/>
                <w:bCs/>
                <w:kern w:val="0"/>
                <w:sz w:val="24"/>
                <w:szCs w:val="24"/>
                <w:highlight w:val="yellow"/>
              </w:rPr>
              <w:t>_</w:t>
            </w:r>
            <w:r w:rsidRPr="00682CF0">
              <w:rPr>
                <w:rFonts w:ascii="Verdana-Bold" w:hAnsi="Verdana-Bold" w:cs="Verdana-Bold"/>
                <w:b/>
                <w:bCs/>
                <w:kern w:val="0"/>
                <w:sz w:val="24"/>
                <w:szCs w:val="24"/>
              </w:rPr>
              <w:t>,-</w:t>
            </w:r>
            <w:proofErr w:type="gramEnd"/>
            <w:r w:rsidRPr="00682CF0">
              <w:rPr>
                <w:rFonts w:ascii="Verdana-Bold" w:hAnsi="Verdana-Bold" w:cs="Verdana-Bold"/>
                <w:b/>
                <w:bCs/>
                <w:kern w:val="0"/>
                <w:sz w:val="24"/>
                <w:szCs w:val="24"/>
              </w:rPr>
              <w:t xml:space="preserve"> Kč</w:t>
            </w:r>
          </w:p>
        </w:tc>
      </w:tr>
      <w:tr w:rsidR="00865F80" w14:paraId="4B3F4F00" w14:textId="77777777" w:rsidTr="00865F80">
        <w:tc>
          <w:tcPr>
            <w:tcW w:w="6521" w:type="dxa"/>
            <w:shd w:val="clear" w:color="auto" w:fill="DEEAF6" w:themeFill="accent5" w:themeFillTint="33"/>
          </w:tcPr>
          <w:p w14:paraId="571CFD97" w14:textId="452CD5BA" w:rsidR="00865F80" w:rsidRDefault="00865F80" w:rsidP="00865F80">
            <w:pPr>
              <w:spacing w:before="120" w:after="120" w:line="276" w:lineRule="auto"/>
              <w:jc w:val="both"/>
            </w:pPr>
            <w:r w:rsidRPr="00682CF0">
              <w:rPr>
                <w:rFonts w:ascii="Verdana" w:hAnsi="Verdana" w:cs="Verdana"/>
                <w:kern w:val="0"/>
                <w:sz w:val="24"/>
                <w:szCs w:val="24"/>
              </w:rPr>
              <w:t xml:space="preserve">DPH 21 % </w:t>
            </w:r>
          </w:p>
        </w:tc>
        <w:tc>
          <w:tcPr>
            <w:tcW w:w="2557" w:type="dxa"/>
            <w:shd w:val="clear" w:color="auto" w:fill="DEEAF6" w:themeFill="accent5" w:themeFillTint="33"/>
            <w:vAlign w:val="center"/>
          </w:tcPr>
          <w:p w14:paraId="0E39675F" w14:textId="13A60D37" w:rsidR="00865F80" w:rsidRDefault="00865F80" w:rsidP="00865F80">
            <w:pPr>
              <w:spacing w:line="276" w:lineRule="auto"/>
              <w:jc w:val="center"/>
            </w:pPr>
            <w:r w:rsidRPr="00865F80">
              <w:rPr>
                <w:rFonts w:ascii="Verdana" w:hAnsi="Verdana" w:cs="Verdana"/>
                <w:kern w:val="0"/>
                <w:sz w:val="24"/>
                <w:szCs w:val="24"/>
                <w:highlight w:val="yellow"/>
              </w:rPr>
              <w:t>______</w:t>
            </w:r>
            <w:proofErr w:type="gramStart"/>
            <w:r w:rsidRPr="00865F80">
              <w:rPr>
                <w:rFonts w:ascii="Verdana" w:hAnsi="Verdana" w:cs="Verdana"/>
                <w:kern w:val="0"/>
                <w:sz w:val="24"/>
                <w:szCs w:val="24"/>
                <w:highlight w:val="yellow"/>
              </w:rPr>
              <w:t>_</w:t>
            </w:r>
            <w:r w:rsidRPr="00682CF0">
              <w:rPr>
                <w:rFonts w:ascii="Verdana" w:hAnsi="Verdana" w:cs="Verdana"/>
                <w:kern w:val="0"/>
                <w:sz w:val="24"/>
                <w:szCs w:val="24"/>
              </w:rPr>
              <w:t>,-</w:t>
            </w:r>
            <w:proofErr w:type="gramEnd"/>
            <w:r w:rsidRPr="00682CF0">
              <w:rPr>
                <w:rFonts w:ascii="Verdana" w:hAnsi="Verdana" w:cs="Verdana"/>
                <w:kern w:val="0"/>
                <w:sz w:val="24"/>
                <w:szCs w:val="24"/>
              </w:rPr>
              <w:t xml:space="preserve"> Kč</w:t>
            </w:r>
          </w:p>
        </w:tc>
      </w:tr>
      <w:tr w:rsidR="00865F80" w14:paraId="13357D32" w14:textId="77777777" w:rsidTr="00865F80">
        <w:tc>
          <w:tcPr>
            <w:tcW w:w="6521" w:type="dxa"/>
            <w:shd w:val="clear" w:color="auto" w:fill="DEEAF6" w:themeFill="accent5" w:themeFillTint="33"/>
          </w:tcPr>
          <w:p w14:paraId="12CDA824" w14:textId="641007FA" w:rsidR="00865F80" w:rsidRDefault="00865F80" w:rsidP="00865F80">
            <w:pPr>
              <w:spacing w:before="120" w:after="120" w:line="276" w:lineRule="auto"/>
              <w:jc w:val="both"/>
            </w:pPr>
            <w:r w:rsidRPr="00682CF0">
              <w:rPr>
                <w:rFonts w:ascii="Verdana" w:hAnsi="Verdana" w:cs="Verdana"/>
                <w:kern w:val="0"/>
                <w:sz w:val="24"/>
                <w:szCs w:val="24"/>
              </w:rPr>
              <w:t xml:space="preserve">Cena celkem včetně DPH </w:t>
            </w:r>
          </w:p>
        </w:tc>
        <w:tc>
          <w:tcPr>
            <w:tcW w:w="2557" w:type="dxa"/>
            <w:shd w:val="clear" w:color="auto" w:fill="DEEAF6" w:themeFill="accent5" w:themeFillTint="33"/>
            <w:vAlign w:val="center"/>
          </w:tcPr>
          <w:p w14:paraId="76B830CF" w14:textId="6455B5C5" w:rsidR="00865F80" w:rsidRDefault="00865F80" w:rsidP="00865F80">
            <w:pPr>
              <w:spacing w:line="276" w:lineRule="auto"/>
              <w:jc w:val="center"/>
            </w:pPr>
            <w:r w:rsidRPr="00865F80">
              <w:rPr>
                <w:rFonts w:ascii="Verdana" w:hAnsi="Verdana" w:cs="Verdana"/>
                <w:kern w:val="0"/>
                <w:sz w:val="24"/>
                <w:szCs w:val="24"/>
                <w:highlight w:val="yellow"/>
              </w:rPr>
              <w:t>______</w:t>
            </w:r>
            <w:proofErr w:type="gramStart"/>
            <w:r w:rsidRPr="00865F80">
              <w:rPr>
                <w:rFonts w:ascii="Verdana" w:hAnsi="Verdana" w:cs="Verdana"/>
                <w:kern w:val="0"/>
                <w:sz w:val="24"/>
                <w:szCs w:val="24"/>
                <w:highlight w:val="yellow"/>
              </w:rPr>
              <w:t>_</w:t>
            </w:r>
            <w:r w:rsidRPr="00682CF0">
              <w:rPr>
                <w:rFonts w:ascii="Verdana" w:hAnsi="Verdana" w:cs="Verdana"/>
                <w:kern w:val="0"/>
                <w:sz w:val="24"/>
                <w:szCs w:val="24"/>
              </w:rPr>
              <w:t>,-</w:t>
            </w:r>
            <w:proofErr w:type="gramEnd"/>
            <w:r w:rsidRPr="00682CF0">
              <w:rPr>
                <w:rFonts w:ascii="Verdana" w:hAnsi="Verdana" w:cs="Verdana"/>
                <w:kern w:val="0"/>
                <w:sz w:val="24"/>
                <w:szCs w:val="24"/>
              </w:rPr>
              <w:t xml:space="preserve"> Kč</w:t>
            </w:r>
          </w:p>
        </w:tc>
      </w:tr>
    </w:tbl>
    <w:p w14:paraId="1DFEEF36" w14:textId="77777777" w:rsidR="00BC545F" w:rsidRDefault="00BC545F" w:rsidP="00FF35D8">
      <w:pPr>
        <w:spacing w:after="0" w:line="276" w:lineRule="auto"/>
        <w:jc w:val="both"/>
      </w:pPr>
    </w:p>
    <w:p w14:paraId="08F161F9" w14:textId="77777777" w:rsidR="00865F80" w:rsidRDefault="00FF35D8" w:rsidP="00865F80">
      <w:pPr>
        <w:pStyle w:val="Odstavecseseznamem"/>
        <w:numPr>
          <w:ilvl w:val="0"/>
          <w:numId w:val="14"/>
        </w:numPr>
        <w:spacing w:after="0" w:line="276" w:lineRule="auto"/>
        <w:ind w:left="426" w:hanging="426"/>
        <w:jc w:val="both"/>
      </w:pPr>
      <w:r>
        <w:t>Cena díla je nejvýše přípustná a obsahuje veškeré nezbytné náklady k úplné a řádné</w:t>
      </w:r>
      <w:r w:rsidR="00865F80">
        <w:t xml:space="preserve"> </w:t>
      </w:r>
      <w:r>
        <w:t>realizaci díla.</w:t>
      </w:r>
    </w:p>
    <w:p w14:paraId="7DEBFE74" w14:textId="514E3517" w:rsidR="00FF35D8" w:rsidRDefault="00FF35D8" w:rsidP="00FF35D8">
      <w:pPr>
        <w:pStyle w:val="Odstavecseseznamem"/>
        <w:numPr>
          <w:ilvl w:val="0"/>
          <w:numId w:val="14"/>
        </w:numPr>
        <w:spacing w:after="0" w:line="276" w:lineRule="auto"/>
        <w:ind w:left="426" w:hanging="426"/>
        <w:jc w:val="both"/>
      </w:pPr>
      <w:r>
        <w:t>Cena se může změnit písemnou dohodou obou smluvních stran, v případě změny</w:t>
      </w:r>
      <w:r w:rsidR="00865F80">
        <w:t xml:space="preserve"> </w:t>
      </w:r>
      <w:r>
        <w:t>technického řešení vyvolaného objednatelem či novými skutečnostmi, které nebylo možno</w:t>
      </w:r>
      <w:r w:rsidR="007D432A">
        <w:t xml:space="preserve"> </w:t>
      </w:r>
      <w:r>
        <w:t>předpokládat při podpisu smlouvy.</w:t>
      </w:r>
    </w:p>
    <w:p w14:paraId="14D3A0A2" w14:textId="77777777" w:rsidR="007D432A" w:rsidRDefault="007D432A" w:rsidP="007D432A">
      <w:pPr>
        <w:spacing w:after="0" w:line="276" w:lineRule="auto"/>
        <w:jc w:val="both"/>
      </w:pPr>
    </w:p>
    <w:p w14:paraId="15C6318F" w14:textId="49503841" w:rsidR="007D432A" w:rsidRPr="007D432A" w:rsidRDefault="007D432A" w:rsidP="007D432A">
      <w:pPr>
        <w:pStyle w:val="Odstavecseseznamem"/>
        <w:spacing w:after="0" w:line="276" w:lineRule="auto"/>
        <w:jc w:val="center"/>
        <w:rPr>
          <w:b/>
          <w:bCs/>
        </w:rPr>
      </w:pPr>
      <w:r w:rsidRPr="007D432A">
        <w:rPr>
          <w:b/>
          <w:bCs/>
        </w:rPr>
        <w:lastRenderedPageBreak/>
        <w:t>Čl. I</w:t>
      </w:r>
      <w:r w:rsidR="00680657">
        <w:rPr>
          <w:b/>
          <w:bCs/>
        </w:rPr>
        <w:t>V</w:t>
      </w:r>
    </w:p>
    <w:p w14:paraId="618D9310" w14:textId="72E945D6" w:rsidR="00FF35D8" w:rsidRPr="007D432A" w:rsidRDefault="007D432A" w:rsidP="007D432A">
      <w:pPr>
        <w:spacing w:after="0" w:line="276" w:lineRule="auto"/>
        <w:jc w:val="center"/>
        <w:rPr>
          <w:b/>
          <w:bCs/>
        </w:rPr>
      </w:pPr>
      <w:r w:rsidRPr="007D432A">
        <w:rPr>
          <w:b/>
          <w:bCs/>
        </w:rPr>
        <w:t xml:space="preserve">               </w:t>
      </w:r>
      <w:r w:rsidR="00FF35D8" w:rsidRPr="007D432A">
        <w:rPr>
          <w:b/>
          <w:bCs/>
        </w:rPr>
        <w:t>Platební podmínky</w:t>
      </w:r>
    </w:p>
    <w:p w14:paraId="25F4E0AB" w14:textId="77777777" w:rsidR="007D432A" w:rsidRPr="008A2361" w:rsidRDefault="007D432A" w:rsidP="00FF35D8">
      <w:pPr>
        <w:spacing w:after="0" w:line="276" w:lineRule="auto"/>
        <w:jc w:val="both"/>
        <w:rPr>
          <w:sz w:val="12"/>
          <w:szCs w:val="12"/>
        </w:rPr>
      </w:pPr>
    </w:p>
    <w:p w14:paraId="0F4FAE73" w14:textId="100C81A9" w:rsidR="00FF35D8" w:rsidRDefault="00FF35D8" w:rsidP="003A681D">
      <w:pPr>
        <w:pStyle w:val="Odstavecseseznamem"/>
        <w:numPr>
          <w:ilvl w:val="0"/>
          <w:numId w:val="15"/>
        </w:numPr>
        <w:spacing w:before="120" w:after="120" w:line="276" w:lineRule="auto"/>
        <w:ind w:left="426" w:hanging="426"/>
        <w:jc w:val="both"/>
      </w:pPr>
      <w:r>
        <w:t>Objednatel nebude poskytovat zálohy.</w:t>
      </w:r>
    </w:p>
    <w:p w14:paraId="58135C30" w14:textId="77777777" w:rsidR="009A21E2" w:rsidRPr="009A21E2" w:rsidRDefault="009A21E2" w:rsidP="009A21E2">
      <w:pPr>
        <w:pStyle w:val="Odstavecseseznamem"/>
        <w:spacing w:before="120" w:after="120" w:line="276" w:lineRule="auto"/>
        <w:ind w:left="426"/>
        <w:jc w:val="both"/>
        <w:rPr>
          <w:sz w:val="10"/>
          <w:szCs w:val="10"/>
        </w:rPr>
      </w:pPr>
    </w:p>
    <w:p w14:paraId="26E96B78" w14:textId="7401B4E3" w:rsidR="00452AFD" w:rsidRDefault="00452AFD" w:rsidP="00452AFD">
      <w:pPr>
        <w:pStyle w:val="Odstavecseseznamem"/>
        <w:numPr>
          <w:ilvl w:val="0"/>
          <w:numId w:val="15"/>
        </w:numPr>
        <w:spacing w:before="120" w:after="120" w:line="276" w:lineRule="auto"/>
        <w:ind w:left="426"/>
        <w:jc w:val="both"/>
      </w:pPr>
      <w:r>
        <w:t xml:space="preserve">Provedené práce budou zhotovitelem fakturovány po částech, odpovídajících jednotlivým etapám plnění dle článku </w:t>
      </w:r>
      <w:r w:rsidR="004C79C1">
        <w:t>II</w:t>
      </w:r>
      <w:r>
        <w:t xml:space="preserve"> této smlouvy, nebo dle vzájemné dohody smluvních stran.</w:t>
      </w:r>
    </w:p>
    <w:p w14:paraId="6F564B5A" w14:textId="64B0CCBF" w:rsidR="00452AFD" w:rsidRDefault="00452AFD" w:rsidP="000750DF">
      <w:pPr>
        <w:pStyle w:val="Odstavecseseznamem"/>
        <w:numPr>
          <w:ilvl w:val="0"/>
          <w:numId w:val="15"/>
        </w:numPr>
        <w:spacing w:before="120" w:after="120" w:line="276" w:lineRule="auto"/>
        <w:ind w:left="426"/>
        <w:jc w:val="both"/>
      </w:pPr>
      <w:r>
        <w:t>Splatnost faktur činí 21 dnů ode dne jejich doručení objednateli. Objednatel je oprávněn fakturu bez řádných náležitostí vrátit zpět k doplnění – v takovém případě začne běžet nová lhůta splatnosti ode dne doručení opravené faktury.</w:t>
      </w:r>
    </w:p>
    <w:p w14:paraId="68911DBA" w14:textId="77777777" w:rsidR="00745739" w:rsidRDefault="00745739" w:rsidP="00745739">
      <w:pPr>
        <w:pStyle w:val="Odstavecseseznamem"/>
      </w:pPr>
    </w:p>
    <w:p w14:paraId="57EE35C1" w14:textId="77777777" w:rsidR="00745739" w:rsidRDefault="00745739" w:rsidP="00745739">
      <w:pPr>
        <w:pStyle w:val="Odstavecseseznamem"/>
        <w:spacing w:before="120" w:after="120" w:line="276" w:lineRule="auto"/>
        <w:ind w:left="426"/>
        <w:jc w:val="both"/>
      </w:pPr>
    </w:p>
    <w:p w14:paraId="4BA30A5B" w14:textId="258AFCDE" w:rsidR="00745739" w:rsidRPr="007D432A" w:rsidRDefault="00745739" w:rsidP="00745739">
      <w:pPr>
        <w:pStyle w:val="Odstavecseseznamem"/>
        <w:spacing w:after="0" w:line="276" w:lineRule="auto"/>
        <w:jc w:val="center"/>
        <w:rPr>
          <w:b/>
          <w:bCs/>
        </w:rPr>
      </w:pPr>
      <w:r w:rsidRPr="007D432A">
        <w:rPr>
          <w:b/>
          <w:bCs/>
        </w:rPr>
        <w:t xml:space="preserve">Čl. </w:t>
      </w:r>
      <w:r>
        <w:rPr>
          <w:b/>
          <w:bCs/>
        </w:rPr>
        <w:t>V</w:t>
      </w:r>
    </w:p>
    <w:p w14:paraId="48D10FB0" w14:textId="0E77D767" w:rsidR="00745739" w:rsidRDefault="00745739" w:rsidP="00745739">
      <w:pPr>
        <w:spacing w:after="0" w:line="276" w:lineRule="auto"/>
        <w:jc w:val="center"/>
        <w:rPr>
          <w:b/>
          <w:bCs/>
        </w:rPr>
      </w:pPr>
      <w:r w:rsidRPr="007D432A">
        <w:rPr>
          <w:b/>
          <w:bCs/>
        </w:rPr>
        <w:t xml:space="preserve">               </w:t>
      </w:r>
      <w:r>
        <w:rPr>
          <w:b/>
          <w:bCs/>
        </w:rPr>
        <w:t>Spolupráce při provádění díla</w:t>
      </w:r>
    </w:p>
    <w:p w14:paraId="10D9722C" w14:textId="65D5229B" w:rsidR="00753131" w:rsidRDefault="00985958" w:rsidP="0097356D">
      <w:pPr>
        <w:pStyle w:val="Odstavecseseznamem"/>
        <w:numPr>
          <w:ilvl w:val="0"/>
          <w:numId w:val="30"/>
        </w:numPr>
        <w:spacing w:before="120" w:after="0" w:line="276" w:lineRule="auto"/>
        <w:ind w:left="426"/>
        <w:jc w:val="both"/>
      </w:pPr>
      <w:r w:rsidRPr="00985958">
        <w:t>Zhotovitel a objednatel se zavazují poskytovat si potřebnou součinnost tak, aby bylo dílo řádně a včas splněno. Komunikace bude probíhat převážně elektronicky (e-mail, telefon, datová schránka). Kontrolní jednání se uskuteční dle potřeby na základě dohody stran.</w:t>
      </w:r>
    </w:p>
    <w:p w14:paraId="1534A8BE" w14:textId="77777777" w:rsidR="00985958" w:rsidRDefault="00985958" w:rsidP="00753131">
      <w:pPr>
        <w:spacing w:before="120" w:after="0" w:line="276" w:lineRule="auto"/>
        <w:jc w:val="both"/>
      </w:pPr>
    </w:p>
    <w:p w14:paraId="18DE3B07" w14:textId="60138FA9" w:rsidR="00753131" w:rsidRPr="007D432A" w:rsidRDefault="00753131" w:rsidP="00753131">
      <w:pPr>
        <w:pStyle w:val="Odstavecseseznamem"/>
        <w:spacing w:after="0" w:line="276" w:lineRule="auto"/>
        <w:jc w:val="center"/>
        <w:rPr>
          <w:b/>
          <w:bCs/>
        </w:rPr>
      </w:pPr>
      <w:r w:rsidRPr="007D432A">
        <w:rPr>
          <w:b/>
          <w:bCs/>
        </w:rPr>
        <w:t xml:space="preserve">Čl. </w:t>
      </w:r>
      <w:r>
        <w:rPr>
          <w:b/>
          <w:bCs/>
        </w:rPr>
        <w:t>V</w:t>
      </w:r>
      <w:r w:rsidR="00680657">
        <w:rPr>
          <w:b/>
          <w:bCs/>
        </w:rPr>
        <w:t>I</w:t>
      </w:r>
    </w:p>
    <w:p w14:paraId="4CA7A457" w14:textId="6E808E3E" w:rsidR="00FF35D8" w:rsidRDefault="00B917AC" w:rsidP="00753131">
      <w:pPr>
        <w:pStyle w:val="Odstavecseseznamem"/>
        <w:spacing w:after="0" w:line="276" w:lineRule="auto"/>
        <w:jc w:val="center"/>
        <w:rPr>
          <w:b/>
          <w:bCs/>
        </w:rPr>
      </w:pPr>
      <w:r>
        <w:rPr>
          <w:b/>
          <w:bCs/>
        </w:rPr>
        <w:t>Odpovědnost a záruky</w:t>
      </w:r>
    </w:p>
    <w:p w14:paraId="055B8F6E" w14:textId="77777777" w:rsidR="00F12777" w:rsidRPr="001575EF" w:rsidRDefault="00F12777" w:rsidP="00753131">
      <w:pPr>
        <w:pStyle w:val="Odstavecseseznamem"/>
        <w:spacing w:after="0" w:line="276" w:lineRule="auto"/>
        <w:jc w:val="center"/>
        <w:rPr>
          <w:b/>
          <w:bCs/>
          <w:sz w:val="12"/>
          <w:szCs w:val="12"/>
        </w:rPr>
      </w:pPr>
    </w:p>
    <w:p w14:paraId="30645242" w14:textId="105C07DC" w:rsidR="00BD2564" w:rsidRDefault="00F12777" w:rsidP="0097356D">
      <w:pPr>
        <w:pStyle w:val="Odstavecseseznamem"/>
        <w:numPr>
          <w:ilvl w:val="0"/>
          <w:numId w:val="31"/>
        </w:numPr>
        <w:spacing w:after="0" w:line="276" w:lineRule="auto"/>
        <w:ind w:left="426"/>
        <w:jc w:val="both"/>
      </w:pPr>
      <w:r w:rsidRPr="00F12777">
        <w:t>Zhotovitel odpovídá za to, že dílo bude provedeno řádně, v souladu s právními předpisy a účelem smlouvy. Na projektovou dokumentaci a inženýrskou činnost poskytuje zhotovitel záruku až do doby nabytí právní moci povolení záměru a v případě dokumentace pro provedení stavby až do okamžiku, kdy bude dokumentace bezvadně využita pro realizaci stavby. Objednatel je povinen vady uplatnit písemně bez zbytečného odkladu po jejich zjištění.</w:t>
      </w:r>
    </w:p>
    <w:p w14:paraId="7593A0B7" w14:textId="77777777" w:rsidR="001575EF" w:rsidRDefault="001575EF" w:rsidP="00BD2564">
      <w:pPr>
        <w:spacing w:after="0" w:line="276" w:lineRule="auto"/>
        <w:jc w:val="both"/>
      </w:pPr>
    </w:p>
    <w:p w14:paraId="6D4111CD" w14:textId="697B3D61" w:rsidR="00A43135" w:rsidRPr="007D432A" w:rsidRDefault="00A43135" w:rsidP="00A43135">
      <w:pPr>
        <w:pStyle w:val="Odstavecseseznamem"/>
        <w:spacing w:after="0" w:line="276" w:lineRule="auto"/>
        <w:jc w:val="center"/>
        <w:rPr>
          <w:b/>
          <w:bCs/>
        </w:rPr>
      </w:pPr>
      <w:r w:rsidRPr="007D432A">
        <w:rPr>
          <w:b/>
          <w:bCs/>
        </w:rPr>
        <w:t xml:space="preserve">Čl. </w:t>
      </w:r>
      <w:r>
        <w:rPr>
          <w:b/>
          <w:bCs/>
        </w:rPr>
        <w:t>VI</w:t>
      </w:r>
      <w:r w:rsidR="00680657">
        <w:rPr>
          <w:b/>
          <w:bCs/>
        </w:rPr>
        <w:t>I</w:t>
      </w:r>
    </w:p>
    <w:p w14:paraId="7864569E" w14:textId="599B80EC" w:rsidR="00FF35D8" w:rsidRPr="00A43135" w:rsidRDefault="00A43135" w:rsidP="00A43135">
      <w:pPr>
        <w:spacing w:after="0" w:line="276" w:lineRule="auto"/>
        <w:jc w:val="center"/>
        <w:rPr>
          <w:b/>
          <w:bCs/>
        </w:rPr>
      </w:pPr>
      <w:r w:rsidRPr="00A43135">
        <w:rPr>
          <w:b/>
          <w:bCs/>
        </w:rPr>
        <w:t xml:space="preserve">             </w:t>
      </w:r>
      <w:r w:rsidR="00FF35D8" w:rsidRPr="00A43135">
        <w:rPr>
          <w:b/>
          <w:bCs/>
        </w:rPr>
        <w:t>Smluvní pokuty, odpovědnost za škody</w:t>
      </w:r>
    </w:p>
    <w:p w14:paraId="2F5BB1A2" w14:textId="77777777" w:rsidR="00E627F5" w:rsidRDefault="0097356D" w:rsidP="00E627F5">
      <w:pPr>
        <w:pStyle w:val="Odstavecseseznamem"/>
        <w:numPr>
          <w:ilvl w:val="0"/>
          <w:numId w:val="32"/>
        </w:numPr>
        <w:spacing w:before="120" w:after="240" w:line="276" w:lineRule="auto"/>
        <w:ind w:left="425" w:hanging="357"/>
        <w:jc w:val="both"/>
      </w:pPr>
      <w:r>
        <w:t>V případě prodlení s peněžitým plněním má oprávněná strana nárok na smluvní pokutu ve výši 0,02 % z dlužné částky za každý den prodlení.</w:t>
      </w:r>
    </w:p>
    <w:p w14:paraId="00AFD27B" w14:textId="6A9061A3" w:rsidR="0097356D" w:rsidRDefault="0097356D" w:rsidP="00E627F5">
      <w:pPr>
        <w:pStyle w:val="Odstavecseseznamem"/>
        <w:numPr>
          <w:ilvl w:val="0"/>
          <w:numId w:val="32"/>
        </w:numPr>
        <w:spacing w:before="120" w:after="240" w:line="276" w:lineRule="auto"/>
        <w:ind w:left="425" w:hanging="357"/>
        <w:jc w:val="both"/>
      </w:pPr>
      <w:r>
        <w:t>Za prodlení zhotovitele s dokončením díla má objednatel nárok na smluvní pokutu ve výši 0,</w:t>
      </w:r>
      <w:r w:rsidR="00D4454D">
        <w:t>1</w:t>
      </w:r>
      <w:r>
        <w:t xml:space="preserve"> % z ceny díla za každý den prodlení.</w:t>
      </w:r>
    </w:p>
    <w:p w14:paraId="1BAF251F" w14:textId="77777777" w:rsidR="0097356D" w:rsidRDefault="0097356D" w:rsidP="00E627F5">
      <w:pPr>
        <w:pStyle w:val="Odstavecseseznamem"/>
        <w:numPr>
          <w:ilvl w:val="0"/>
          <w:numId w:val="32"/>
        </w:numPr>
        <w:spacing w:before="120" w:after="240" w:line="276" w:lineRule="auto"/>
        <w:ind w:left="425" w:hanging="357"/>
        <w:jc w:val="both"/>
      </w:pPr>
      <w:r>
        <w:t>Smluvní pokuty jsou splatné do 30 dnů od doručení výzvy k jejich zaplacení.</w:t>
      </w:r>
    </w:p>
    <w:p w14:paraId="6FE1E893" w14:textId="2A07A193" w:rsidR="005947BF" w:rsidRDefault="0097356D" w:rsidP="00E627F5">
      <w:pPr>
        <w:pStyle w:val="Odstavecseseznamem"/>
        <w:numPr>
          <w:ilvl w:val="0"/>
          <w:numId w:val="32"/>
        </w:numPr>
        <w:spacing w:before="120" w:after="240" w:line="276" w:lineRule="auto"/>
        <w:ind w:left="425" w:hanging="357"/>
        <w:jc w:val="both"/>
      </w:pPr>
      <w:r>
        <w:t>Zhotovitel odpovídá za škody způsobené při plnění smlouvy a je povinen mít sjednáno odpovídající pojištění profesní odpovědnosti.</w:t>
      </w:r>
    </w:p>
    <w:p w14:paraId="27E7D1C0" w14:textId="37EE9D29" w:rsidR="005947BF" w:rsidRPr="007D432A" w:rsidRDefault="005947BF" w:rsidP="005947BF">
      <w:pPr>
        <w:pStyle w:val="Odstavecseseznamem"/>
        <w:spacing w:after="0" w:line="276" w:lineRule="auto"/>
        <w:jc w:val="center"/>
        <w:rPr>
          <w:b/>
          <w:bCs/>
        </w:rPr>
      </w:pPr>
      <w:r w:rsidRPr="007D432A">
        <w:rPr>
          <w:b/>
          <w:bCs/>
        </w:rPr>
        <w:t xml:space="preserve">Čl. </w:t>
      </w:r>
      <w:r>
        <w:rPr>
          <w:b/>
          <w:bCs/>
        </w:rPr>
        <w:t>VII</w:t>
      </w:r>
      <w:r w:rsidR="00680657">
        <w:rPr>
          <w:b/>
          <w:bCs/>
        </w:rPr>
        <w:t>I</w:t>
      </w:r>
    </w:p>
    <w:p w14:paraId="08305BB6" w14:textId="77777777" w:rsidR="005947BF" w:rsidRPr="005947BF" w:rsidRDefault="00FF35D8" w:rsidP="005947BF">
      <w:pPr>
        <w:pStyle w:val="Odstavecseseznamem"/>
        <w:spacing w:after="0" w:line="276" w:lineRule="auto"/>
        <w:ind w:left="426"/>
        <w:jc w:val="center"/>
        <w:rPr>
          <w:b/>
          <w:bCs/>
        </w:rPr>
      </w:pPr>
      <w:r w:rsidRPr="005947BF">
        <w:rPr>
          <w:b/>
          <w:bCs/>
        </w:rPr>
        <w:t>Prohlášení zhotovitele</w:t>
      </w:r>
    </w:p>
    <w:p w14:paraId="61CE5E09" w14:textId="77777777" w:rsidR="005947BF" w:rsidRDefault="005947BF" w:rsidP="00E627F5">
      <w:pPr>
        <w:pStyle w:val="Odstavecseseznamem"/>
        <w:spacing w:after="0" w:line="276" w:lineRule="auto"/>
        <w:ind w:left="426"/>
        <w:jc w:val="center"/>
      </w:pPr>
    </w:p>
    <w:p w14:paraId="6C5C1B9A" w14:textId="77777777" w:rsidR="00E627F5" w:rsidRDefault="00E627F5" w:rsidP="00E627F5">
      <w:pPr>
        <w:pStyle w:val="Odstavecseseznamem"/>
        <w:numPr>
          <w:ilvl w:val="0"/>
          <w:numId w:val="34"/>
        </w:numPr>
        <w:spacing w:after="0" w:line="276" w:lineRule="auto"/>
        <w:ind w:left="426"/>
        <w:jc w:val="both"/>
      </w:pPr>
      <w:r>
        <w:t>Zhotovitel prohlašuje, že je oprávněn vykonávat činnost odpovídající předmětu této smlouvy a je pro tuto činnost dostatečně odborně způsobilý.</w:t>
      </w:r>
    </w:p>
    <w:p w14:paraId="52D1AAE5" w14:textId="18B17ED9" w:rsidR="00B84BCF" w:rsidRDefault="00E627F5" w:rsidP="00E627F5">
      <w:pPr>
        <w:pStyle w:val="Odstavecseseznamem"/>
        <w:numPr>
          <w:ilvl w:val="0"/>
          <w:numId w:val="34"/>
        </w:numPr>
        <w:spacing w:after="0" w:line="276" w:lineRule="auto"/>
        <w:ind w:left="426"/>
        <w:jc w:val="both"/>
      </w:pPr>
      <w:r>
        <w:t>V případě využití poddodavatelů zajistí zhotovitel, aby tito disponovali příslušným oprávněním a kvalifikací.</w:t>
      </w:r>
    </w:p>
    <w:p w14:paraId="2CEAD078" w14:textId="77777777" w:rsidR="009B3F38" w:rsidRDefault="009B3F38" w:rsidP="00E627F5">
      <w:pPr>
        <w:pStyle w:val="Odstavecseseznamem"/>
        <w:spacing w:after="0" w:line="276" w:lineRule="auto"/>
        <w:ind w:left="426"/>
        <w:jc w:val="both"/>
      </w:pPr>
    </w:p>
    <w:p w14:paraId="0BA044E7" w14:textId="7D476F07" w:rsidR="00680657" w:rsidRPr="007D432A" w:rsidRDefault="00680657" w:rsidP="00680657">
      <w:pPr>
        <w:pStyle w:val="Odstavecseseznamem"/>
        <w:spacing w:after="0" w:line="276" w:lineRule="auto"/>
        <w:jc w:val="center"/>
        <w:rPr>
          <w:b/>
          <w:bCs/>
        </w:rPr>
      </w:pPr>
      <w:r w:rsidRPr="007D432A">
        <w:rPr>
          <w:b/>
          <w:bCs/>
        </w:rPr>
        <w:t xml:space="preserve">Čl. </w:t>
      </w:r>
      <w:r>
        <w:rPr>
          <w:b/>
          <w:bCs/>
        </w:rPr>
        <w:t>IX</w:t>
      </w:r>
    </w:p>
    <w:p w14:paraId="41CB0F5F" w14:textId="77777777" w:rsidR="00680657" w:rsidRPr="00680657" w:rsidRDefault="00FF35D8" w:rsidP="00680657">
      <w:pPr>
        <w:pStyle w:val="Odstavecseseznamem"/>
        <w:spacing w:after="0" w:line="276" w:lineRule="auto"/>
        <w:ind w:left="426"/>
        <w:jc w:val="center"/>
        <w:rPr>
          <w:b/>
          <w:bCs/>
        </w:rPr>
      </w:pPr>
      <w:r w:rsidRPr="00680657">
        <w:rPr>
          <w:b/>
          <w:bCs/>
        </w:rPr>
        <w:lastRenderedPageBreak/>
        <w:t>Odstoupení od smlouvy</w:t>
      </w:r>
    </w:p>
    <w:p w14:paraId="6932E5F7" w14:textId="77777777" w:rsidR="00680657" w:rsidRDefault="00680657" w:rsidP="00680657">
      <w:pPr>
        <w:pStyle w:val="Odstavecseseznamem"/>
        <w:spacing w:after="0" w:line="276" w:lineRule="auto"/>
        <w:ind w:left="426"/>
        <w:jc w:val="both"/>
      </w:pPr>
    </w:p>
    <w:p w14:paraId="325CCA83" w14:textId="77777777" w:rsidR="00CC4194" w:rsidRDefault="00CC4194" w:rsidP="00CC4194">
      <w:pPr>
        <w:pStyle w:val="Odstavecseseznamem"/>
        <w:numPr>
          <w:ilvl w:val="0"/>
          <w:numId w:val="35"/>
        </w:numPr>
        <w:spacing w:after="0" w:line="276" w:lineRule="auto"/>
        <w:ind w:left="426"/>
        <w:jc w:val="both"/>
      </w:pPr>
      <w:r>
        <w:t>Každá smluvní strana může od smlouvy odstoupit v případě podstatného porušení povinností druhou stranou, a to po předchozím písemném upozornění a poskytnutí přiměřené lhůty k nápravě.</w:t>
      </w:r>
    </w:p>
    <w:p w14:paraId="09A45C96" w14:textId="77777777" w:rsidR="00CC4194" w:rsidRDefault="00CC4194" w:rsidP="00CC4194">
      <w:pPr>
        <w:pStyle w:val="Odstavecseseznamem"/>
        <w:numPr>
          <w:ilvl w:val="0"/>
          <w:numId w:val="35"/>
        </w:numPr>
        <w:spacing w:after="0" w:line="276" w:lineRule="auto"/>
        <w:ind w:left="426"/>
        <w:jc w:val="both"/>
      </w:pPr>
      <w:r>
        <w:t>Objednatel může odstoupit zejména v případě, že zhotovitel upadl do insolvence nebo je v prodlení s plněním delším než 30 dnů.</w:t>
      </w:r>
    </w:p>
    <w:p w14:paraId="01809746" w14:textId="77777777" w:rsidR="00CC4194" w:rsidRDefault="00CC4194" w:rsidP="00CC4194">
      <w:pPr>
        <w:spacing w:after="0" w:line="276" w:lineRule="auto"/>
        <w:ind w:left="426"/>
        <w:jc w:val="both"/>
      </w:pPr>
    </w:p>
    <w:p w14:paraId="3D38156C" w14:textId="77777777" w:rsidR="00CC4194" w:rsidRDefault="00CC4194" w:rsidP="00CC4194">
      <w:pPr>
        <w:pStyle w:val="Odstavecseseznamem"/>
        <w:numPr>
          <w:ilvl w:val="0"/>
          <w:numId w:val="35"/>
        </w:numPr>
        <w:spacing w:after="0" w:line="276" w:lineRule="auto"/>
        <w:ind w:left="426"/>
        <w:jc w:val="both"/>
      </w:pPr>
      <w:r>
        <w:t>Zhotovitel může odstoupit zejména v případě, že je objednatel v prodlení s platbou delším než 60 dnů.</w:t>
      </w:r>
    </w:p>
    <w:p w14:paraId="5E894641" w14:textId="66A6C19B" w:rsidR="00680657" w:rsidRDefault="00CC4194" w:rsidP="00CC4194">
      <w:pPr>
        <w:pStyle w:val="Odstavecseseznamem"/>
        <w:numPr>
          <w:ilvl w:val="0"/>
          <w:numId w:val="35"/>
        </w:numPr>
        <w:spacing w:after="0" w:line="276" w:lineRule="auto"/>
        <w:ind w:left="426"/>
        <w:jc w:val="both"/>
      </w:pPr>
      <w:r>
        <w:t>Odstoupením od smlouvy nezanikají nároky na náhradu škody a sjednané smluvní pokuty. Objednatel uhradí zhotoviteli i práce řádně dokončené a převzaté ke dni odstoupení.</w:t>
      </w:r>
    </w:p>
    <w:p w14:paraId="71A08FBA" w14:textId="77777777" w:rsidR="00CC4194" w:rsidRDefault="00CC4194" w:rsidP="00680657">
      <w:pPr>
        <w:pStyle w:val="Odstavecseseznamem"/>
        <w:spacing w:after="0" w:line="276" w:lineRule="auto"/>
        <w:jc w:val="center"/>
        <w:rPr>
          <w:b/>
          <w:bCs/>
        </w:rPr>
      </w:pPr>
    </w:p>
    <w:p w14:paraId="4F203E10" w14:textId="7FEAE6AE" w:rsidR="00680657" w:rsidRPr="007D432A" w:rsidRDefault="00680657" w:rsidP="00680657">
      <w:pPr>
        <w:pStyle w:val="Odstavecseseznamem"/>
        <w:spacing w:after="0" w:line="276" w:lineRule="auto"/>
        <w:jc w:val="center"/>
        <w:rPr>
          <w:b/>
          <w:bCs/>
        </w:rPr>
      </w:pPr>
      <w:r w:rsidRPr="007D432A">
        <w:rPr>
          <w:b/>
          <w:bCs/>
        </w:rPr>
        <w:t xml:space="preserve">Čl. </w:t>
      </w:r>
      <w:r>
        <w:rPr>
          <w:b/>
          <w:bCs/>
        </w:rPr>
        <w:t>X</w:t>
      </w:r>
    </w:p>
    <w:p w14:paraId="137FABD1" w14:textId="39CE49B0" w:rsidR="00FF35D8" w:rsidRDefault="00680657" w:rsidP="00680657">
      <w:pPr>
        <w:spacing w:after="0" w:line="276" w:lineRule="auto"/>
        <w:jc w:val="center"/>
        <w:rPr>
          <w:b/>
          <w:bCs/>
        </w:rPr>
      </w:pPr>
      <w:r w:rsidRPr="00680657">
        <w:rPr>
          <w:b/>
          <w:bCs/>
        </w:rPr>
        <w:t xml:space="preserve">               </w:t>
      </w:r>
      <w:r w:rsidR="00FF35D8" w:rsidRPr="00680657">
        <w:rPr>
          <w:b/>
          <w:bCs/>
        </w:rPr>
        <w:t>Závěrečná ujednání</w:t>
      </w:r>
    </w:p>
    <w:p w14:paraId="661D4E6F" w14:textId="77777777" w:rsidR="00680657" w:rsidRPr="00680657" w:rsidRDefault="00680657" w:rsidP="00680657">
      <w:pPr>
        <w:spacing w:after="0" w:line="276" w:lineRule="auto"/>
        <w:jc w:val="center"/>
        <w:rPr>
          <w:b/>
          <w:bCs/>
        </w:rPr>
      </w:pPr>
    </w:p>
    <w:p w14:paraId="13832372" w14:textId="77777777" w:rsidR="00ED5740" w:rsidRDefault="00FF35D8" w:rsidP="00FF35D8">
      <w:pPr>
        <w:pStyle w:val="Odstavecseseznamem"/>
        <w:numPr>
          <w:ilvl w:val="0"/>
          <w:numId w:val="27"/>
        </w:numPr>
        <w:spacing w:after="0" w:line="276" w:lineRule="auto"/>
        <w:ind w:left="567" w:hanging="425"/>
        <w:jc w:val="both"/>
      </w:pPr>
      <w:r>
        <w:t>Smlouva nabývá platnosti a účinnosti podpisem smluvních stran. Vyhotovuje se ve</w:t>
      </w:r>
      <w:r w:rsidR="00680657">
        <w:t xml:space="preserve"> </w:t>
      </w:r>
      <w:r>
        <w:t>dvou stejnopisech, z nichž každá ze smluvních stran obdrží jedno potvrzené vyhotovení.</w:t>
      </w:r>
    </w:p>
    <w:p w14:paraId="0EF32B5A" w14:textId="16A44E55" w:rsidR="00ED5740" w:rsidRDefault="00FF35D8" w:rsidP="00ED5740">
      <w:pPr>
        <w:pStyle w:val="Odstavecseseznamem"/>
        <w:numPr>
          <w:ilvl w:val="0"/>
          <w:numId w:val="27"/>
        </w:numPr>
        <w:spacing w:after="0" w:line="276" w:lineRule="auto"/>
        <w:ind w:left="567" w:hanging="425"/>
        <w:jc w:val="both"/>
      </w:pPr>
      <w:r>
        <w:t>Smluvní strany níže svým podpisem stvrzují, že si smlouvu před jejím podpisem</w:t>
      </w:r>
      <w:r w:rsidR="00ED5740">
        <w:t xml:space="preserve"> </w:t>
      </w:r>
      <w:r>
        <w:t>přečetly, s jejím obsahem souhlasí, a tato je sepsána podle jejich pravé a skutečné vůle,</w:t>
      </w:r>
      <w:r w:rsidR="00ED5740">
        <w:t xml:space="preserve"> </w:t>
      </w:r>
      <w:r>
        <w:t>srozumitelně a určitě, nikoli v tísni za nápadně nevýhodných podmínek.</w:t>
      </w:r>
    </w:p>
    <w:p w14:paraId="2740D40D" w14:textId="2B46EC6B" w:rsidR="00ED5740" w:rsidRDefault="00FF35D8" w:rsidP="00ED5740">
      <w:pPr>
        <w:pStyle w:val="Odstavecseseznamem"/>
        <w:numPr>
          <w:ilvl w:val="0"/>
          <w:numId w:val="27"/>
        </w:numPr>
        <w:spacing w:after="0" w:line="276" w:lineRule="auto"/>
        <w:ind w:left="567" w:hanging="425"/>
        <w:jc w:val="both"/>
      </w:pPr>
      <w:r>
        <w:t>Tato smlouva a vztahy z ní vyplývající se řídí právním řádem České republiky,</w:t>
      </w:r>
      <w:r w:rsidR="00ED5740">
        <w:t xml:space="preserve"> </w:t>
      </w:r>
      <w:r>
        <w:t>zejména příslušnými ustanoveními zák. č. 89/2012 Sb., občanský zákoník, ve znění</w:t>
      </w:r>
      <w:r w:rsidR="00ED5740">
        <w:t xml:space="preserve"> </w:t>
      </w:r>
      <w:r>
        <w:t>pozdějších předpisů.</w:t>
      </w:r>
    </w:p>
    <w:p w14:paraId="5034CA34" w14:textId="77777777" w:rsidR="00ED5740" w:rsidRDefault="00FF35D8" w:rsidP="00FF35D8">
      <w:pPr>
        <w:pStyle w:val="Odstavecseseznamem"/>
        <w:numPr>
          <w:ilvl w:val="0"/>
          <w:numId w:val="27"/>
        </w:numPr>
        <w:spacing w:after="0" w:line="276" w:lineRule="auto"/>
        <w:ind w:left="567" w:hanging="425"/>
        <w:jc w:val="both"/>
      </w:pPr>
      <w:r>
        <w:t>Je-li nebo stane-li se některé ustanovení této smlouvy neplatné či neúčinné, nedotýká</w:t>
      </w:r>
      <w:r w:rsidR="00ED5740">
        <w:t xml:space="preserve"> </w:t>
      </w:r>
      <w:r>
        <w:t>se to ostatních ustanovení této smlouvy, která zůstávají platná a účinná. Smluvní strany se</w:t>
      </w:r>
      <w:r w:rsidR="00ED5740">
        <w:t xml:space="preserve"> </w:t>
      </w:r>
      <w:r>
        <w:t>v tomto případě zavazují dohodou nahradit ustanovení neplatné/neúčinné novým</w:t>
      </w:r>
      <w:r w:rsidR="00ED5740">
        <w:t xml:space="preserve"> </w:t>
      </w:r>
      <w:r>
        <w:t>ustanovením platným/účinným, které nejlépe odpovídá původně zamýšlenému</w:t>
      </w:r>
      <w:r w:rsidR="00ED5740">
        <w:t xml:space="preserve"> </w:t>
      </w:r>
      <w:r>
        <w:t>ekonomickému účelu ustanovení neplatného/neúčinného. Do té doby platí odpovídající</w:t>
      </w:r>
      <w:r w:rsidR="00ED5740">
        <w:t xml:space="preserve"> </w:t>
      </w:r>
      <w:r>
        <w:t>úprava obecně závazných právních předpisů České republiky.</w:t>
      </w:r>
    </w:p>
    <w:p w14:paraId="1C36ACF5" w14:textId="36183CD1" w:rsidR="00FF35D8" w:rsidRDefault="00FF35D8" w:rsidP="00FF35D8">
      <w:pPr>
        <w:pStyle w:val="Odstavecseseznamem"/>
        <w:numPr>
          <w:ilvl w:val="0"/>
          <w:numId w:val="27"/>
        </w:numPr>
        <w:spacing w:after="0" w:line="276" w:lineRule="auto"/>
        <w:ind w:left="567" w:hanging="425"/>
        <w:jc w:val="both"/>
      </w:pPr>
      <w:r>
        <w:t>Měnit nebo doplňovat text smlouvy je možné jen formou písemných vzestupně</w:t>
      </w:r>
      <w:r w:rsidR="00ED5740">
        <w:t xml:space="preserve"> </w:t>
      </w:r>
      <w:r>
        <w:t>číslovaných dodatků podepsaných zástupci obou smluvních stran. Smluvní strany</w:t>
      </w:r>
      <w:r w:rsidR="00ED5740">
        <w:t xml:space="preserve"> </w:t>
      </w:r>
      <w:r>
        <w:t>sjednávají, že § 564 zákona č. 89/2012 Sb., občanský zákoník, ve znění pozdějších</w:t>
      </w:r>
      <w:r w:rsidR="00ED5740">
        <w:t xml:space="preserve"> </w:t>
      </w:r>
      <w:r>
        <w:t>předpisů se nepoužije, tzn., měnit nebo doplňovat text smlouvy je možné pouze formou</w:t>
      </w:r>
      <w:r w:rsidR="00ED5740">
        <w:t xml:space="preserve"> </w:t>
      </w:r>
      <w:r>
        <w:t>písemných dodatků podepsaných oběma smluvními stranami. Možnost měnit smlouvu jinou</w:t>
      </w:r>
      <w:r w:rsidR="00ED5740">
        <w:t xml:space="preserve"> </w:t>
      </w:r>
      <w:r>
        <w:t>formou smluvní strany vylučují.</w:t>
      </w:r>
    </w:p>
    <w:p w14:paraId="53557718" w14:textId="77777777" w:rsidR="00D60187" w:rsidRDefault="00D60187" w:rsidP="0079052C">
      <w:pPr>
        <w:pStyle w:val="Odstavecseseznamem"/>
        <w:spacing w:after="0" w:line="276" w:lineRule="auto"/>
        <w:ind w:left="567"/>
        <w:jc w:val="both"/>
      </w:pPr>
    </w:p>
    <w:p w14:paraId="7DA431EA" w14:textId="77777777" w:rsidR="0079052C" w:rsidRDefault="0079052C" w:rsidP="0079052C">
      <w:pPr>
        <w:pStyle w:val="Odstavecseseznamem"/>
        <w:spacing w:after="0" w:line="276" w:lineRule="auto"/>
        <w:jc w:val="center"/>
        <w:rPr>
          <w:b/>
          <w:bCs/>
        </w:rPr>
      </w:pPr>
      <w:r w:rsidRPr="007D432A">
        <w:rPr>
          <w:b/>
          <w:bCs/>
        </w:rPr>
        <w:t xml:space="preserve">Čl. </w:t>
      </w:r>
      <w:r>
        <w:rPr>
          <w:b/>
          <w:bCs/>
        </w:rPr>
        <w:t>XI</w:t>
      </w:r>
    </w:p>
    <w:p w14:paraId="185EFA67" w14:textId="5C106FF7" w:rsidR="0079052C" w:rsidRPr="0079052C" w:rsidRDefault="0079052C" w:rsidP="0079052C">
      <w:pPr>
        <w:pStyle w:val="Odstavecseseznamem"/>
        <w:spacing w:after="0" w:line="276" w:lineRule="auto"/>
        <w:jc w:val="center"/>
        <w:rPr>
          <w:b/>
          <w:bCs/>
        </w:rPr>
      </w:pPr>
      <w:r w:rsidRPr="0079052C">
        <w:rPr>
          <w:b/>
          <w:bCs/>
        </w:rPr>
        <w:t xml:space="preserve">Schvalovací doložka podle § 41 zákona o obcích </w:t>
      </w:r>
    </w:p>
    <w:p w14:paraId="0B7BEB8B" w14:textId="77777777" w:rsidR="0079052C" w:rsidRPr="00F52851" w:rsidRDefault="0079052C" w:rsidP="0079052C">
      <w:pPr>
        <w:pStyle w:val="Odstavecseseznamem"/>
        <w:spacing w:after="0" w:line="276" w:lineRule="auto"/>
        <w:ind w:left="567"/>
        <w:jc w:val="both"/>
        <w:rPr>
          <w:sz w:val="12"/>
          <w:szCs w:val="12"/>
        </w:rPr>
      </w:pPr>
    </w:p>
    <w:p w14:paraId="614258F9" w14:textId="01941681" w:rsidR="0079052C" w:rsidRDefault="0079052C" w:rsidP="0079052C">
      <w:pPr>
        <w:pStyle w:val="Odstavecseseznamem"/>
        <w:spacing w:after="0" w:line="276" w:lineRule="auto"/>
        <w:ind w:left="567"/>
        <w:jc w:val="both"/>
      </w:pPr>
      <w:r w:rsidRPr="0079052C">
        <w:t xml:space="preserve">Tato smlouva byla schválena Zastupitelstvem obce Horosedly dne </w:t>
      </w:r>
      <w:r>
        <w:t>………………</w:t>
      </w:r>
      <w:r w:rsidRPr="0079052C">
        <w:t xml:space="preserve"> číslo usnesení </w:t>
      </w:r>
      <w:r>
        <w:t>……………</w:t>
      </w:r>
      <w:proofErr w:type="gramStart"/>
      <w:r>
        <w:t>…….</w:t>
      </w:r>
      <w:proofErr w:type="gramEnd"/>
      <w:r>
        <w:t>.</w:t>
      </w:r>
      <w:r w:rsidRPr="0079052C">
        <w:t xml:space="preserve">, a to na základě výsledků veřejné zakázky </w:t>
      </w:r>
      <w:r w:rsidR="00F52851" w:rsidRPr="00F52851">
        <w:t>Zpracování projektové dokumentace veřejného osvětlení – obec Horosedly</w:t>
      </w:r>
      <w:r w:rsidRPr="0079052C">
        <w:t>.</w:t>
      </w:r>
    </w:p>
    <w:p w14:paraId="285B5DDA" w14:textId="77777777" w:rsidR="00ED5740" w:rsidRDefault="00ED5740" w:rsidP="00FF35D8">
      <w:pPr>
        <w:spacing w:after="0" w:line="276" w:lineRule="auto"/>
        <w:jc w:val="both"/>
      </w:pPr>
    </w:p>
    <w:p w14:paraId="5B76A4F9" w14:textId="77777777" w:rsidR="0087525E" w:rsidRDefault="0087525E" w:rsidP="00FF35D8">
      <w:pPr>
        <w:spacing w:after="0" w:line="276" w:lineRule="auto"/>
        <w:jc w:val="both"/>
      </w:pPr>
    </w:p>
    <w:p w14:paraId="3579F0BC" w14:textId="77777777" w:rsidR="0087525E" w:rsidRDefault="0087525E" w:rsidP="00FF35D8">
      <w:pPr>
        <w:spacing w:after="0" w:line="276" w:lineRule="auto"/>
        <w:jc w:val="both"/>
      </w:pPr>
    </w:p>
    <w:p w14:paraId="20C545AB" w14:textId="77777777" w:rsidR="0087525E" w:rsidRDefault="0087525E" w:rsidP="00FF35D8">
      <w:pPr>
        <w:spacing w:after="0" w:line="276" w:lineRule="auto"/>
        <w:jc w:val="both"/>
      </w:pPr>
    </w:p>
    <w:p w14:paraId="29B4F9FD" w14:textId="770F94EE" w:rsidR="00FF35D8" w:rsidRDefault="00FF35D8" w:rsidP="00FF35D8">
      <w:pPr>
        <w:spacing w:after="0" w:line="276" w:lineRule="auto"/>
        <w:jc w:val="both"/>
      </w:pPr>
      <w:r>
        <w:lastRenderedPageBreak/>
        <w:t xml:space="preserve">V </w:t>
      </w:r>
      <w:r w:rsidR="00A97706">
        <w:t>Horosedlech</w:t>
      </w:r>
      <w:r>
        <w:t>, dne</w:t>
      </w:r>
      <w:r w:rsidR="00ED5740">
        <w:t xml:space="preserve">                                                                          </w:t>
      </w:r>
      <w:r>
        <w:t>V _____</w:t>
      </w:r>
      <w:r w:rsidR="00ED5740">
        <w:t>_____</w:t>
      </w:r>
      <w:r>
        <w:t>______, dne</w:t>
      </w:r>
    </w:p>
    <w:p w14:paraId="247C51D3" w14:textId="47685697" w:rsidR="00FF35D8" w:rsidRDefault="00FF35D8" w:rsidP="00FF35D8">
      <w:pPr>
        <w:spacing w:after="0" w:line="276" w:lineRule="auto"/>
        <w:jc w:val="both"/>
      </w:pPr>
      <w:r>
        <w:t xml:space="preserve">Za </w:t>
      </w:r>
      <w:proofErr w:type="gramStart"/>
      <w:r>
        <w:t>objednatele:</w:t>
      </w:r>
      <w:r w:rsidR="00ED5740">
        <w:t xml:space="preserve">   </w:t>
      </w:r>
      <w:proofErr w:type="gramEnd"/>
      <w:r w:rsidR="00ED5740">
        <w:t xml:space="preserve">                                                                                 </w:t>
      </w:r>
      <w:r>
        <w:t>Za zhotovitele:</w:t>
      </w:r>
    </w:p>
    <w:p w14:paraId="7E6ACC81" w14:textId="77777777" w:rsidR="00ED5740" w:rsidRDefault="00ED5740" w:rsidP="00FF35D8">
      <w:pPr>
        <w:spacing w:after="0" w:line="276" w:lineRule="auto"/>
        <w:jc w:val="both"/>
      </w:pPr>
    </w:p>
    <w:p w14:paraId="4CC07BA8" w14:textId="77777777" w:rsidR="00ED5740" w:rsidRDefault="00ED5740" w:rsidP="00FF35D8">
      <w:pPr>
        <w:spacing w:after="0" w:line="276" w:lineRule="auto"/>
        <w:jc w:val="both"/>
      </w:pPr>
    </w:p>
    <w:p w14:paraId="06E013C2" w14:textId="77777777" w:rsidR="00D60187" w:rsidRDefault="00D60187" w:rsidP="00FF35D8">
      <w:pPr>
        <w:spacing w:after="0" w:line="276" w:lineRule="auto"/>
        <w:jc w:val="both"/>
      </w:pPr>
    </w:p>
    <w:p w14:paraId="14FD95BE" w14:textId="6303E092" w:rsidR="00ED5740" w:rsidRDefault="00ED5740" w:rsidP="00FF35D8">
      <w:pPr>
        <w:spacing w:after="0" w:line="276" w:lineRule="auto"/>
        <w:jc w:val="both"/>
      </w:pPr>
      <w:r>
        <w:t>……………………………………………………………                                …………………………………………………………………</w:t>
      </w:r>
    </w:p>
    <w:p w14:paraId="0239415C" w14:textId="4F25D089" w:rsidR="00ED5740" w:rsidRDefault="004F33E2" w:rsidP="00ED5740">
      <w:pPr>
        <w:spacing w:after="0" w:line="276" w:lineRule="auto"/>
        <w:jc w:val="both"/>
      </w:pPr>
      <w:r>
        <w:t xml:space="preserve">Lada Hašková                                                                                   </w:t>
      </w:r>
      <w:proofErr w:type="gramStart"/>
      <w:r>
        <w:t xml:space="preserve">   </w:t>
      </w:r>
      <w:r w:rsidR="00ED5740">
        <w:t>(</w:t>
      </w:r>
      <w:proofErr w:type="gramEnd"/>
      <w:r w:rsidR="00ED5740">
        <w:t>jméno a podpis osoby oprávněné</w:t>
      </w:r>
    </w:p>
    <w:p w14:paraId="5B83A289" w14:textId="438AC86A" w:rsidR="00ED5740" w:rsidRPr="00FF35D8" w:rsidRDefault="00ED5740">
      <w:pPr>
        <w:spacing w:after="0" w:line="276" w:lineRule="auto"/>
        <w:jc w:val="both"/>
      </w:pPr>
      <w:r>
        <w:t xml:space="preserve">starostka obce </w:t>
      </w:r>
      <w:r w:rsidR="004F33E2">
        <w:t>Horosedly</w:t>
      </w:r>
      <w:r w:rsidRPr="00ED5740">
        <w:t xml:space="preserve"> </w:t>
      </w:r>
      <w:r>
        <w:t xml:space="preserve">                                                                               jednat za zhotovitele)</w:t>
      </w:r>
    </w:p>
    <w:sectPr w:rsidR="00ED5740" w:rsidRPr="00FF35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0375" w14:textId="77777777" w:rsidR="00EC401A" w:rsidRDefault="00EC401A" w:rsidP="00BC545F">
      <w:pPr>
        <w:spacing w:after="0" w:line="240" w:lineRule="auto"/>
      </w:pPr>
      <w:r>
        <w:separator/>
      </w:r>
    </w:p>
  </w:endnote>
  <w:endnote w:type="continuationSeparator" w:id="0">
    <w:p w14:paraId="3EBF9309" w14:textId="77777777" w:rsidR="00EC401A" w:rsidRDefault="00EC401A" w:rsidP="00B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569306"/>
      <w:docPartObj>
        <w:docPartGallery w:val="Page Numbers (Bottom of Page)"/>
        <w:docPartUnique/>
      </w:docPartObj>
    </w:sdtPr>
    <w:sdtEndPr/>
    <w:sdtContent>
      <w:p w14:paraId="3A3F7120" w14:textId="6790AF67" w:rsidR="00BC545F" w:rsidRDefault="00BC545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8757A" w14:textId="77777777" w:rsidR="00BC545F" w:rsidRDefault="00BC54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367A" w14:textId="77777777" w:rsidR="00EC401A" w:rsidRDefault="00EC401A" w:rsidP="00BC545F">
      <w:pPr>
        <w:spacing w:after="0" w:line="240" w:lineRule="auto"/>
      </w:pPr>
      <w:r>
        <w:separator/>
      </w:r>
    </w:p>
  </w:footnote>
  <w:footnote w:type="continuationSeparator" w:id="0">
    <w:p w14:paraId="4AAF0053" w14:textId="77777777" w:rsidR="00EC401A" w:rsidRDefault="00EC401A" w:rsidP="00B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0E7"/>
    <w:multiLevelType w:val="hybridMultilevel"/>
    <w:tmpl w:val="8E0E4E00"/>
    <w:lvl w:ilvl="0" w:tplc="AC9450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050602A">
      <w:start w:val="8"/>
      <w:numFmt w:val="bullet"/>
      <w:lvlText w:val="•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E15EE6"/>
    <w:multiLevelType w:val="hybridMultilevel"/>
    <w:tmpl w:val="E25A38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D2032"/>
    <w:multiLevelType w:val="hybridMultilevel"/>
    <w:tmpl w:val="94528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35BAE"/>
    <w:multiLevelType w:val="hybridMultilevel"/>
    <w:tmpl w:val="CA1C4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C6B43"/>
    <w:multiLevelType w:val="hybridMultilevel"/>
    <w:tmpl w:val="602CD7CC"/>
    <w:lvl w:ilvl="0" w:tplc="AC9450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41F9"/>
    <w:multiLevelType w:val="hybridMultilevel"/>
    <w:tmpl w:val="58A400E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8E3AD0"/>
    <w:multiLevelType w:val="hybridMultilevel"/>
    <w:tmpl w:val="FD184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17A8"/>
    <w:multiLevelType w:val="hybridMultilevel"/>
    <w:tmpl w:val="68C4A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82E39"/>
    <w:multiLevelType w:val="hybridMultilevel"/>
    <w:tmpl w:val="A370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0C4F66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7152"/>
    <w:multiLevelType w:val="hybridMultilevel"/>
    <w:tmpl w:val="31DAE74C"/>
    <w:lvl w:ilvl="0" w:tplc="AC94503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3263433"/>
    <w:multiLevelType w:val="hybridMultilevel"/>
    <w:tmpl w:val="EF02BA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51C5C"/>
    <w:multiLevelType w:val="hybridMultilevel"/>
    <w:tmpl w:val="608EBD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452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8C0F1F"/>
    <w:multiLevelType w:val="hybridMultilevel"/>
    <w:tmpl w:val="9AC28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44E41"/>
    <w:multiLevelType w:val="hybridMultilevel"/>
    <w:tmpl w:val="E2A2F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33984"/>
    <w:multiLevelType w:val="multilevel"/>
    <w:tmpl w:val="E9061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0145EB"/>
    <w:multiLevelType w:val="hybridMultilevel"/>
    <w:tmpl w:val="1F30D7C4"/>
    <w:lvl w:ilvl="0" w:tplc="AC9450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817B86"/>
    <w:multiLevelType w:val="hybridMultilevel"/>
    <w:tmpl w:val="FC98F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463ED"/>
    <w:multiLevelType w:val="hybridMultilevel"/>
    <w:tmpl w:val="A86A55F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B321273"/>
    <w:multiLevelType w:val="hybridMultilevel"/>
    <w:tmpl w:val="31D057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45DA1"/>
    <w:multiLevelType w:val="hybridMultilevel"/>
    <w:tmpl w:val="5C409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81778"/>
    <w:multiLevelType w:val="multilevel"/>
    <w:tmpl w:val="2E74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94422"/>
    <w:multiLevelType w:val="hybridMultilevel"/>
    <w:tmpl w:val="810E9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80958"/>
    <w:multiLevelType w:val="hybridMultilevel"/>
    <w:tmpl w:val="5CAE1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816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D0E19CC"/>
    <w:multiLevelType w:val="hybridMultilevel"/>
    <w:tmpl w:val="60FE7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A02BD"/>
    <w:multiLevelType w:val="hybridMultilevel"/>
    <w:tmpl w:val="7A2C4AA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25A667E"/>
    <w:multiLevelType w:val="hybridMultilevel"/>
    <w:tmpl w:val="5378A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85CAD"/>
    <w:multiLevelType w:val="hybridMultilevel"/>
    <w:tmpl w:val="4FA0F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71EB7"/>
    <w:multiLevelType w:val="hybridMultilevel"/>
    <w:tmpl w:val="220A5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909E5"/>
    <w:multiLevelType w:val="hybridMultilevel"/>
    <w:tmpl w:val="7BDAC32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39B5B70"/>
    <w:multiLevelType w:val="hybridMultilevel"/>
    <w:tmpl w:val="8A3ECE42"/>
    <w:lvl w:ilvl="0" w:tplc="8B0602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8956AC"/>
    <w:multiLevelType w:val="hybridMultilevel"/>
    <w:tmpl w:val="4EDCA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729BB"/>
    <w:multiLevelType w:val="hybridMultilevel"/>
    <w:tmpl w:val="CE08A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3144C"/>
    <w:multiLevelType w:val="hybridMultilevel"/>
    <w:tmpl w:val="E2A2F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09895">
    <w:abstractNumId w:val="15"/>
  </w:num>
  <w:num w:numId="2" w16cid:durableId="1362701791">
    <w:abstractNumId w:val="6"/>
  </w:num>
  <w:num w:numId="3" w16cid:durableId="1158694701">
    <w:abstractNumId w:val="24"/>
  </w:num>
  <w:num w:numId="4" w16cid:durableId="417364504">
    <w:abstractNumId w:val="19"/>
  </w:num>
  <w:num w:numId="5" w16cid:durableId="1770463363">
    <w:abstractNumId w:val="17"/>
  </w:num>
  <w:num w:numId="6" w16cid:durableId="2007130577">
    <w:abstractNumId w:val="23"/>
  </w:num>
  <w:num w:numId="7" w16cid:durableId="738022836">
    <w:abstractNumId w:val="12"/>
  </w:num>
  <w:num w:numId="8" w16cid:durableId="306934768">
    <w:abstractNumId w:val="3"/>
  </w:num>
  <w:num w:numId="9" w16cid:durableId="809907428">
    <w:abstractNumId w:val="20"/>
  </w:num>
  <w:num w:numId="10" w16cid:durableId="1309357461">
    <w:abstractNumId w:val="27"/>
  </w:num>
  <w:num w:numId="11" w16cid:durableId="1892617914">
    <w:abstractNumId w:val="13"/>
  </w:num>
  <w:num w:numId="12" w16cid:durableId="1652442040">
    <w:abstractNumId w:val="32"/>
  </w:num>
  <w:num w:numId="13" w16cid:durableId="1604528194">
    <w:abstractNumId w:val="10"/>
  </w:num>
  <w:num w:numId="14" w16cid:durableId="1790393326">
    <w:abstractNumId w:val="25"/>
  </w:num>
  <w:num w:numId="15" w16cid:durableId="882206100">
    <w:abstractNumId w:val="8"/>
  </w:num>
  <w:num w:numId="16" w16cid:durableId="1707410210">
    <w:abstractNumId w:val="30"/>
  </w:num>
  <w:num w:numId="17" w16cid:durableId="1124421876">
    <w:abstractNumId w:val="29"/>
  </w:num>
  <w:num w:numId="18" w16cid:durableId="1067148547">
    <w:abstractNumId w:val="28"/>
  </w:num>
  <w:num w:numId="19" w16cid:durableId="256719371">
    <w:abstractNumId w:val="2"/>
  </w:num>
  <w:num w:numId="20" w16cid:durableId="2899032">
    <w:abstractNumId w:val="31"/>
  </w:num>
  <w:num w:numId="21" w16cid:durableId="526873554">
    <w:abstractNumId w:val="7"/>
  </w:num>
  <w:num w:numId="22" w16cid:durableId="446852385">
    <w:abstractNumId w:val="0"/>
  </w:num>
  <w:num w:numId="23" w16cid:durableId="889925056">
    <w:abstractNumId w:val="26"/>
  </w:num>
  <w:num w:numId="24" w16cid:durableId="1348796765">
    <w:abstractNumId w:val="4"/>
  </w:num>
  <w:num w:numId="25" w16cid:durableId="873351342">
    <w:abstractNumId w:val="16"/>
  </w:num>
  <w:num w:numId="26" w16cid:durableId="1141070073">
    <w:abstractNumId w:val="9"/>
  </w:num>
  <w:num w:numId="27" w16cid:durableId="1711105710">
    <w:abstractNumId w:val="33"/>
  </w:num>
  <w:num w:numId="28" w16cid:durableId="922684494">
    <w:abstractNumId w:val="21"/>
  </w:num>
  <w:num w:numId="29" w16cid:durableId="681902449">
    <w:abstractNumId w:val="1"/>
  </w:num>
  <w:num w:numId="30" w16cid:durableId="2085879979">
    <w:abstractNumId w:val="22"/>
  </w:num>
  <w:num w:numId="31" w16cid:durableId="1241871633">
    <w:abstractNumId w:val="14"/>
  </w:num>
  <w:num w:numId="32" w16cid:durableId="1616981436">
    <w:abstractNumId w:val="34"/>
  </w:num>
  <w:num w:numId="33" w16cid:durableId="2104104244">
    <w:abstractNumId w:val="5"/>
  </w:num>
  <w:num w:numId="34" w16cid:durableId="1055741916">
    <w:abstractNumId w:val="18"/>
  </w:num>
  <w:num w:numId="35" w16cid:durableId="168646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9F"/>
    <w:rsid w:val="00000781"/>
    <w:rsid w:val="00021905"/>
    <w:rsid w:val="00022AF1"/>
    <w:rsid w:val="000243CA"/>
    <w:rsid w:val="000301FA"/>
    <w:rsid w:val="00035255"/>
    <w:rsid w:val="000750DF"/>
    <w:rsid w:val="000C08D8"/>
    <w:rsid w:val="00115321"/>
    <w:rsid w:val="001363B6"/>
    <w:rsid w:val="001575EF"/>
    <w:rsid w:val="001665A4"/>
    <w:rsid w:val="001714CD"/>
    <w:rsid w:val="00182D58"/>
    <w:rsid w:val="0019168A"/>
    <w:rsid w:val="00196C37"/>
    <w:rsid w:val="001A447A"/>
    <w:rsid w:val="001A6F8F"/>
    <w:rsid w:val="001B62D9"/>
    <w:rsid w:val="001F3272"/>
    <w:rsid w:val="002513F1"/>
    <w:rsid w:val="00255205"/>
    <w:rsid w:val="00267DD4"/>
    <w:rsid w:val="002835B2"/>
    <w:rsid w:val="002B62E1"/>
    <w:rsid w:val="003153BB"/>
    <w:rsid w:val="003174D8"/>
    <w:rsid w:val="003260F1"/>
    <w:rsid w:val="00350523"/>
    <w:rsid w:val="00360DC9"/>
    <w:rsid w:val="003830A9"/>
    <w:rsid w:val="003A681D"/>
    <w:rsid w:val="004379F1"/>
    <w:rsid w:val="004462BE"/>
    <w:rsid w:val="00452AFD"/>
    <w:rsid w:val="00477733"/>
    <w:rsid w:val="004C4D05"/>
    <w:rsid w:val="004C79C1"/>
    <w:rsid w:val="004F33E2"/>
    <w:rsid w:val="00590210"/>
    <w:rsid w:val="005947BF"/>
    <w:rsid w:val="005A5BB5"/>
    <w:rsid w:val="005D301B"/>
    <w:rsid w:val="005D669E"/>
    <w:rsid w:val="00607ABC"/>
    <w:rsid w:val="006359E4"/>
    <w:rsid w:val="00674CCE"/>
    <w:rsid w:val="00680657"/>
    <w:rsid w:val="00692A07"/>
    <w:rsid w:val="006A52BB"/>
    <w:rsid w:val="006B3BF8"/>
    <w:rsid w:val="006B4B1E"/>
    <w:rsid w:val="006E2C79"/>
    <w:rsid w:val="006E5663"/>
    <w:rsid w:val="0070288E"/>
    <w:rsid w:val="00703BD6"/>
    <w:rsid w:val="007052A6"/>
    <w:rsid w:val="00725154"/>
    <w:rsid w:val="00737AE6"/>
    <w:rsid w:val="00745739"/>
    <w:rsid w:val="00753131"/>
    <w:rsid w:val="0075543D"/>
    <w:rsid w:val="00771D24"/>
    <w:rsid w:val="0079052C"/>
    <w:rsid w:val="007D1EB7"/>
    <w:rsid w:val="007D432A"/>
    <w:rsid w:val="008264D6"/>
    <w:rsid w:val="0085251E"/>
    <w:rsid w:val="00860D2F"/>
    <w:rsid w:val="00865F80"/>
    <w:rsid w:val="0087525E"/>
    <w:rsid w:val="008A0143"/>
    <w:rsid w:val="008A2361"/>
    <w:rsid w:val="008C310A"/>
    <w:rsid w:val="008D4230"/>
    <w:rsid w:val="00953E20"/>
    <w:rsid w:val="00961B9F"/>
    <w:rsid w:val="0097356D"/>
    <w:rsid w:val="00985958"/>
    <w:rsid w:val="009A21E2"/>
    <w:rsid w:val="009B0E0E"/>
    <w:rsid w:val="009B3F38"/>
    <w:rsid w:val="009B49E3"/>
    <w:rsid w:val="00A274E3"/>
    <w:rsid w:val="00A35B3E"/>
    <w:rsid w:val="00A4300F"/>
    <w:rsid w:val="00A43135"/>
    <w:rsid w:val="00A4488D"/>
    <w:rsid w:val="00A81F7C"/>
    <w:rsid w:val="00A97182"/>
    <w:rsid w:val="00A97706"/>
    <w:rsid w:val="00AB32D3"/>
    <w:rsid w:val="00AD1039"/>
    <w:rsid w:val="00B06ACF"/>
    <w:rsid w:val="00B30667"/>
    <w:rsid w:val="00B61930"/>
    <w:rsid w:val="00B754D4"/>
    <w:rsid w:val="00B83A96"/>
    <w:rsid w:val="00B84BCF"/>
    <w:rsid w:val="00B86A3C"/>
    <w:rsid w:val="00B8762B"/>
    <w:rsid w:val="00B917AC"/>
    <w:rsid w:val="00B927E8"/>
    <w:rsid w:val="00B9450C"/>
    <w:rsid w:val="00BC545D"/>
    <w:rsid w:val="00BC545F"/>
    <w:rsid w:val="00BD0259"/>
    <w:rsid w:val="00BD2564"/>
    <w:rsid w:val="00BF3CBE"/>
    <w:rsid w:val="00C35A58"/>
    <w:rsid w:val="00C43BEE"/>
    <w:rsid w:val="00C53790"/>
    <w:rsid w:val="00C553BB"/>
    <w:rsid w:val="00C70024"/>
    <w:rsid w:val="00C86D30"/>
    <w:rsid w:val="00CB0F60"/>
    <w:rsid w:val="00CB6CA1"/>
    <w:rsid w:val="00CC4194"/>
    <w:rsid w:val="00D35306"/>
    <w:rsid w:val="00D370BA"/>
    <w:rsid w:val="00D4454D"/>
    <w:rsid w:val="00D60187"/>
    <w:rsid w:val="00D73F20"/>
    <w:rsid w:val="00DC77F6"/>
    <w:rsid w:val="00E43BF8"/>
    <w:rsid w:val="00E627F5"/>
    <w:rsid w:val="00E832AD"/>
    <w:rsid w:val="00EC401A"/>
    <w:rsid w:val="00ED5740"/>
    <w:rsid w:val="00EE21AA"/>
    <w:rsid w:val="00F07095"/>
    <w:rsid w:val="00F12777"/>
    <w:rsid w:val="00F355AF"/>
    <w:rsid w:val="00F52851"/>
    <w:rsid w:val="00F83595"/>
    <w:rsid w:val="00F8771B"/>
    <w:rsid w:val="00FA6760"/>
    <w:rsid w:val="00FC450E"/>
    <w:rsid w:val="00FD3603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E5EA"/>
  <w15:chartTrackingRefBased/>
  <w15:docId w15:val="{C133389C-9992-45CA-99A6-61B1668C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1B9F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61B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1B9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61B9F"/>
    <w:pPr>
      <w:ind w:left="720"/>
      <w:contextualSpacing/>
    </w:pPr>
  </w:style>
  <w:style w:type="table" w:styleId="Mkatabulky">
    <w:name w:val="Table Grid"/>
    <w:basedOn w:val="Normlntabulka"/>
    <w:uiPriority w:val="39"/>
    <w:rsid w:val="0075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45F"/>
  </w:style>
  <w:style w:type="paragraph" w:styleId="Zpat">
    <w:name w:val="footer"/>
    <w:basedOn w:val="Normln"/>
    <w:link w:val="ZpatChar"/>
    <w:uiPriority w:val="99"/>
    <w:unhideWhenUsed/>
    <w:rsid w:val="00B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45F"/>
  </w:style>
  <w:style w:type="paragraph" w:styleId="Normlnweb">
    <w:name w:val="Normal (Web)"/>
    <w:basedOn w:val="Normln"/>
    <w:uiPriority w:val="99"/>
    <w:unhideWhenUsed/>
    <w:rsid w:val="002B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B6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horosed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1467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Šedivá</dc:creator>
  <cp:keywords/>
  <dc:description/>
  <cp:lastModifiedBy>Helena Šedivá</cp:lastModifiedBy>
  <cp:revision>38</cp:revision>
  <dcterms:created xsi:type="dcterms:W3CDTF">2024-01-26T06:19:00Z</dcterms:created>
  <dcterms:modified xsi:type="dcterms:W3CDTF">2025-10-28T06:18:00Z</dcterms:modified>
</cp:coreProperties>
</file>